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Zápis</w:t>
      </w:r>
      <w:r>
        <w:t xml:space="preserve"> </w:t>
      </w:r>
      <w:r>
        <w:t xml:space="preserve">ADB</w:t>
      </w:r>
    </w:p>
    <w:p>
      <w:pPr>
        <w:pStyle w:val="Subtitle"/>
      </w:pPr>
      <w:r>
        <w:t xml:space="preserve">Návod</w:t>
      </w:r>
      <w:r>
        <w:t xml:space="preserve"> </w:t>
      </w:r>
      <w:r>
        <w:t xml:space="preserve">k</w:t>
      </w:r>
      <w:r>
        <w:t xml:space="preserve"> </w:t>
      </w:r>
      <w:r>
        <w:t xml:space="preserve">zápisu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dokumentačních</w:t>
      </w:r>
      <w:r>
        <w:t xml:space="preserve"> </w:t>
      </w:r>
      <w:r>
        <w:t xml:space="preserve">bodů</w:t>
      </w:r>
      <w:r>
        <w:t xml:space="preserve"> </w:t>
      </w:r>
      <w:r>
        <w:t xml:space="preserve">(ADB)</w:t>
      </w:r>
      <w:r>
        <w:t xml:space="preserve"> </w:t>
      </w:r>
      <w:r>
        <w:t xml:space="preserve">v</w:t>
      </w:r>
      <w:r>
        <w:t xml:space="preserve"> </w:t>
      </w:r>
      <w:r>
        <w:t xml:space="preserve">rámci</w:t>
      </w:r>
      <w:r>
        <w:t xml:space="preserve"> </w:t>
      </w:r>
      <w:r>
        <w:t xml:space="preserve">Pražské</w:t>
      </w:r>
      <w:r>
        <w:t xml:space="preserve"> </w:t>
      </w:r>
      <w:r>
        <w:t xml:space="preserve">památkové</w:t>
      </w:r>
      <w:r>
        <w:t xml:space="preserve"> </w:t>
      </w:r>
      <w:r>
        <w:t xml:space="preserve">rezervace</w:t>
      </w:r>
    </w:p>
    <w:bookmarkStart w:id="22" w:name="Xe32f38ece71787f64bb1c58f9337f4c501b0913"/>
    <w:p>
      <w:pPr>
        <w:pStyle w:val="Heading2"/>
      </w:pPr>
      <w:r>
        <w:t xml:space="preserve">Popis archeologického dokumentačního bodu</w:t>
      </w:r>
    </w:p>
    <w:p>
      <w:pPr>
        <w:pStyle w:val="FirstParagraph"/>
      </w:pPr>
      <w:r>
        <w:t xml:space="preserve">Popis archeologických dokumentačních bodů (</w:t>
      </w:r>
      <w:hyperlink r:id="rId20">
        <w:r>
          <w:rPr>
            <w:rStyle w:val="Hyperlink"/>
          </w:rPr>
          <w:t xml:space="preserve">ADB</w:t>
        </w:r>
      </w:hyperlink>
      <w:r>
        <w:t xml:space="preserve">) se řídí metodikou dostupnou</w:t>
      </w:r>
      <w:r>
        <w:t xml:space="preserve"> </w:t>
      </w:r>
      <w:hyperlink r:id="rId21">
        <w:r>
          <w:rPr>
            <w:rStyle w:val="Hyperlink"/>
          </w:rPr>
          <w:t xml:space="preserve">zde</w:t>
        </w:r>
      </w:hyperlink>
      <w:r>
        <w:t xml:space="preserve">.</w:t>
      </w:r>
      <w:r>
        <w:t xml:space="preserve"> </w:t>
      </w:r>
      <w:r>
        <w:t xml:space="preserve">Ke každému ADB jsou připojeny popisné údaje, které jej blíže specifikují.</w:t>
      </w:r>
      <w:r>
        <w:t xml:space="preserve"> </w:t>
      </w:r>
      <w:r>
        <w:t xml:space="preserve">Popis zahrnuje adresní údaje, identifikaci parcelním číslem a interní identifikátor organizace, která výzkum prováděla.</w:t>
      </w:r>
      <w:r>
        <w:t xml:space="preserve"> </w:t>
      </w:r>
      <w:r>
        <w:t xml:space="preserve">Dále je udán autor a rok odborného popisu, druh zásahu a jeho podnět.</w:t>
      </w:r>
      <w:r>
        <w:t xml:space="preserve"> </w:t>
      </w:r>
      <w:r>
        <w:t xml:space="preserve">Součást popisu ADB představují též výškové informace v podobě výškových bodů (VB; v systému Balt po vyrovnání – Bpv), konkrétně niveleta podloží, základních stratigraficko-chronologických celků a současného povrchu.</w:t>
      </w:r>
    </w:p>
    <w:bookmarkEnd w:id="22"/>
    <w:bookmarkStart w:id="27" w:name="použití-dj-typu-sonda-a-vyznačení-pian"/>
    <w:p>
      <w:pPr>
        <w:pStyle w:val="Heading2"/>
      </w:pPr>
      <w:r>
        <w:t xml:space="preserve">Použití DJ typu sonda a vyznačení PIAN</w:t>
      </w:r>
    </w:p>
    <w:p>
      <w:pPr>
        <w:pStyle w:val="FirstParagraph"/>
      </w:pPr>
      <w:r>
        <w:t xml:space="preserve">Pro zápis ADB v AMČR je nutné používat</w:t>
      </w:r>
      <w:r>
        <w:t xml:space="preserve"> </w:t>
      </w:r>
      <w:hyperlink r:id="rId23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(</w:t>
      </w:r>
      <w:r>
        <w:rPr>
          <w:i/>
          <w:iCs/>
        </w:rPr>
        <w:t xml:space="preserve">DJ</w:t>
      </w:r>
      <w:r>
        <w:t xml:space="preserve">) typu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Označení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je v tomto případě třeba brát jako arbitrární, které se vymezuje oproti použití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typů</w:t>
      </w:r>
      <w:r>
        <w:t xml:space="preserve"> </w:t>
      </w:r>
      <w:r>
        <w:rPr>
          <w:b/>
          <w:bCs/>
        </w:rPr>
        <w:t xml:space="preserve">Celek/Část akce</w:t>
      </w:r>
      <w:r>
        <w:t xml:space="preserve">.</w:t>
      </w:r>
      <w:r>
        <w:t xml:space="preserve"> </w:t>
      </w:r>
      <w:r>
        <w:t xml:space="preserve">Sonda v tomto případě může znamenat jak skutečnou jednotlivou sondu, tak i např. skupiny sond či řezů atp. (srov.</w:t>
      </w:r>
      <w:r>
        <w:t xml:space="preserve"> </w:t>
      </w:r>
      <w:hyperlink r:id="rId24">
        <w:r>
          <w:rPr>
            <w:rStyle w:val="Hyperlink"/>
          </w:rPr>
          <w:t xml:space="preserve">heslář</w:t>
        </w:r>
      </w:hyperlink>
      <w:r>
        <w:t xml:space="preserve"> </w:t>
      </w:r>
      <w:r>
        <w:t xml:space="preserve">v poli</w:t>
      </w:r>
      <w:r>
        <w:t xml:space="preserve"> </w:t>
      </w:r>
      <w:r>
        <w:rPr>
          <w:i/>
          <w:iCs/>
        </w:rPr>
        <w:t xml:space="preserve">Typ sondy</w:t>
      </w:r>
      <w:r>
        <w:t xml:space="preserve">), které je vhodné popisovat jako jeden celek.</w:t>
      </w:r>
      <w:r>
        <w:t xml:space="preserve"> </w:t>
      </w:r>
      <w:r>
        <w:t xml:space="preserve">Tomu pak odpovídá i vyznačení</w:t>
      </w:r>
      <w:r>
        <w:t xml:space="preserve"> </w:t>
      </w:r>
      <w:hyperlink r:id="rId25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v mapovém okně.</w:t>
      </w:r>
      <w:r>
        <w:t xml:space="preserve"> </w:t>
      </w:r>
      <w:r>
        <w:t xml:space="preserve">Popis ADB je pouze nadstavbou standardního zápisu, a proto se ke každé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připojují zachycené</w:t>
      </w:r>
      <w:r>
        <w:t xml:space="preserve"> </w:t>
      </w:r>
      <w:hyperlink r:id="rId26">
        <w:r>
          <w:rPr>
            <w:rStyle w:val="Hyperlink"/>
          </w:rPr>
          <w:t xml:space="preserve">komponenty</w:t>
        </w:r>
      </w:hyperlink>
      <w:r>
        <w:t xml:space="preserve">, které mohou mít vliv na celkové rozdělení výzkumu do jednotlivých</w:t>
      </w:r>
      <w:r>
        <w:t xml:space="preserve"> </w:t>
      </w:r>
      <w:r>
        <w:rPr>
          <w:i/>
          <w:iCs/>
        </w:rPr>
        <w:t xml:space="preserve">DJ</w:t>
      </w:r>
      <w:r>
        <w:t xml:space="preserve">.</w:t>
      </w:r>
    </w:p>
    <w:bookmarkEnd w:id="27"/>
    <w:bookmarkStart w:id="28" w:name="zápis-adb-v-rámci-amčr"/>
    <w:p>
      <w:pPr>
        <w:pStyle w:val="Heading2"/>
      </w:pPr>
      <w:r>
        <w:t xml:space="preserve">Zápis ADB v rámci AMČR</w:t>
      </w:r>
    </w:p>
    <w:p>
      <w:pPr>
        <w:pStyle w:val="FirstParagraph"/>
      </w:pPr>
      <w:r>
        <w:t xml:space="preserve">Pro zápis ADB v systému AMČR je třeba volit jako typ dokumentační jednotky možnost</w:t>
      </w:r>
      <w:r>
        <w:t xml:space="preserve"> </w:t>
      </w:r>
      <w:r>
        <w:rPr>
          <w:b/>
          <w:bCs/>
        </w:rPr>
        <w:t xml:space="preserve">Sonda</w:t>
      </w:r>
      <w:r>
        <w:t xml:space="preserve">, ke které je po vytvoření PIAN možné připojovat ADB.</w:t>
      </w:r>
      <w:r>
        <w:t xml:space="preserve"> </w:t>
      </w:r>
      <w:r>
        <w:t xml:space="preserve">Zápis ADB se aktivuje zaškrtávacím políčkem</w:t>
      </w:r>
      <w:r>
        <w:t xml:space="preserve"> </w:t>
      </w:r>
      <w:r>
        <w:rPr>
          <w:i/>
          <w:iCs/>
        </w:rPr>
        <w:t xml:space="preserve">Zobrazit popis ADB</w:t>
      </w:r>
      <w:r>
        <w:t xml:space="preserve"> </w:t>
      </w:r>
      <w:r>
        <w:t xml:space="preserve">(</w:t>
      </w:r>
      <w:r>
        <w:rPr>
          <w:b/>
          <w:bCs/>
        </w:rPr>
        <w:t xml:space="preserve">?@fig-adb-init</w:t>
      </w:r>
      <w:r>
        <w:t xml:space="preserve">).</w:t>
      </w:r>
    </w:p>
    <w:p>
      <w:pPr>
        <w:pStyle w:val="BodyText"/>
      </w:pPr>
      <w:r>
        <w:t xml:space="preserve">Zaškrtnutím políčka</w:t>
      </w:r>
      <w:r>
        <w:t xml:space="preserve"> </w:t>
      </w:r>
      <w:r>
        <w:rPr>
          <w:i/>
          <w:iCs/>
        </w:rPr>
        <w:t xml:space="preserve">Zobrazit popis ADB</w:t>
      </w:r>
      <w:r>
        <w:t xml:space="preserve"> </w:t>
      </w:r>
      <w:r>
        <w:t xml:space="preserve">se zpřístupní pole pro jeho popis.</w:t>
      </w:r>
      <w:r>
        <w:t xml:space="preserve"> </w:t>
      </w:r>
      <w:r>
        <w:t xml:space="preserve">Povinná pole jsou podbarvena stejně jako v jiných částech AMČR (</w:t>
      </w:r>
      <w:r>
        <w:rPr>
          <w:b/>
          <w:bCs/>
        </w:rPr>
        <w:t xml:space="preserve">?@fig-adb-pole</w:t>
      </w:r>
      <w:r>
        <w:t xml:space="preserve">).</w:t>
      </w:r>
    </w:p>
    <w:p>
      <w:pPr>
        <w:pStyle w:val="BodyText"/>
      </w:pPr>
      <w:r>
        <w:t xml:space="preserve">Po vyplnění popisných údajů je třeba záznam uložit, aby se zobrazila nabídka pro zápis výškových bodů, které lze k vytvořenému ADB připojovat pomocí tlačítka</w:t>
      </w:r>
      <w:r>
        <w:t xml:space="preserve"> </w:t>
      </w:r>
      <w:r>
        <w:rPr>
          <w:i/>
          <w:iCs/>
        </w:rPr>
        <w:t xml:space="preserve">Přidat</w:t>
      </w:r>
      <w:r>
        <w:t xml:space="preserve"> </w:t>
      </w:r>
      <w:r>
        <w:t xml:space="preserve">(</w:t>
      </w:r>
      <w:r>
        <w:rPr>
          <w:b/>
          <w:bCs/>
        </w:rPr>
        <w:t xml:space="preserve">?@fig-adb-bod</w:t>
      </w:r>
      <w:r>
        <w:t xml:space="preserve">).</w:t>
      </w:r>
    </w:p>
    <w:p>
      <w:pPr>
        <w:pStyle w:val="BodyText"/>
      </w:pPr>
      <w:r>
        <w:t xml:space="preserve">Podle zachycené situace je možné připojit odpovídající počet výškových bodů (</w:t>
      </w:r>
      <w:r>
        <w:rPr>
          <w:b/>
          <w:bCs/>
        </w:rPr>
        <w:t xml:space="preserve">?@fig-adb-uroven</w:t>
      </w:r>
      <w:r>
        <w:t xml:space="preserve">).</w:t>
      </w:r>
    </w:p>
    <w:bookmarkEnd w:id="28"/>
    <w:bookmarkStart w:id="31" w:name="příklady-dobré-praxe"/>
    <w:p>
      <w:pPr>
        <w:pStyle w:val="Heading2"/>
      </w:pPr>
      <w:r>
        <w:t xml:space="preserve">Příklady dobré praxe</w:t>
      </w:r>
    </w:p>
    <w:bookmarkStart w:id="29" w:name="oddělené-sondy"/>
    <w:p>
      <w:pPr>
        <w:pStyle w:val="Heading3"/>
      </w:pPr>
      <w:r>
        <w:t xml:space="preserve">Oddělené sondy</w:t>
      </w:r>
    </w:p>
    <w:p>
      <w:pPr>
        <w:pStyle w:val="FirstParagraph"/>
      </w:pPr>
      <w:r>
        <w:t xml:space="preserve">Jako první příklad si uvedeme dvě oddělené sondy dokumentované při výstavbě inženýrských sítí.</w:t>
      </w:r>
      <w:r>
        <w:t xml:space="preserve"> </w:t>
      </w:r>
      <w:r>
        <w:t xml:space="preserve">Pro každou ze sond byla vytvořena vlastní dokumentační jednotka typu sonda a v rámci jejího popisu byly zaznamenány také informace o ADB.</w:t>
      </w:r>
      <w:r>
        <w:t xml:space="preserve"> </w:t>
      </w:r>
      <w:r>
        <w:t xml:space="preserve">Zápis v AMČR a vyznačení v mapě v tomto případě zobrazují</w:t>
      </w:r>
      <w:r>
        <w:t xml:space="preserve"> </w:t>
      </w:r>
      <w:r>
        <w:rPr>
          <w:b/>
          <w:bCs/>
        </w:rPr>
        <w:t xml:space="preserve">?@fig-adb-sonda1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?@fig-adb-sonda2</w:t>
      </w:r>
      <w:r>
        <w:t xml:space="preserve">.</w:t>
      </w:r>
    </w:p>
    <w:bookmarkEnd w:id="29"/>
    <w:bookmarkStart w:id="30" w:name="síť-sond"/>
    <w:p>
      <w:pPr>
        <w:pStyle w:val="Heading3"/>
      </w:pPr>
      <w:r>
        <w:t xml:space="preserve">Síť sond</w:t>
      </w:r>
    </w:p>
    <w:p>
      <w:pPr>
        <w:pStyle w:val="FirstParagraph"/>
      </w:pPr>
      <w:r>
        <w:t xml:space="preserve">Výzkum v rámci uzavřené parcely se sítí sond v interiéru domu a na dvoře domu.</w:t>
      </w:r>
      <w:r>
        <w:t xml:space="preserve"> </w:t>
      </w:r>
      <w:r>
        <w:t xml:space="preserve">V rámci tohoto výzkumy byla ve sklepě domu a na jeho dvoře položena pravidelná síť sond, ve které probíhal výzkum.</w:t>
      </w:r>
      <w:r>
        <w:t xml:space="preserve"> </w:t>
      </w:r>
      <w:r>
        <w:t xml:space="preserve">Vzhledem ke stejnému charakteru situace, která byla zachycena v sondách na dvoře není třeba zadávat do AMČR všechny dílčí sondy odděleně, ale je možné je zadat jako jedinou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(pokud to odpovídá charakteru nálezové situace).</w:t>
      </w:r>
      <w:r>
        <w:t xml:space="preserve"> </w:t>
      </w:r>
      <w:r>
        <w:t xml:space="preserve">Stejně tak bychom zadali jako jednu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i všechny sondy ve sklepě domu, pokud by tomu charakter nálezové situace odpovídal.</w:t>
      </w:r>
      <w:r>
        <w:t xml:space="preserve"> </w:t>
      </w:r>
      <w:r>
        <w:t xml:space="preserve">Zápis v AMČR a vyznačení PIAN pak zobrazují</w:t>
      </w:r>
      <w:r>
        <w:t xml:space="preserve"> </w:t>
      </w:r>
      <w:r>
        <w:rPr>
          <w:b/>
          <w:bCs/>
        </w:rPr>
        <w:t xml:space="preserve">?@fig-adb-sit1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?@fig-adb-sit2</w:t>
      </w:r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ADB</dc:title>
  <dc:creator/>
  <dc:language>cs</dc:language>
  <cp:keywords/>
  <dcterms:created xsi:type="dcterms:W3CDTF">2024-07-09T14:31:44Z</dcterms:created>
  <dcterms:modified xsi:type="dcterms:W3CDTF">2024-07-09T14:31:44Z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Návod k zápisu Archeologických dokumentačních bodů (ADB) v rámci Pražské památkové rezervace</vt:lpwstr>
  </property>
  <property fmtid="{D5CDD505-2E9C-101B-9397-08002B2CF9AE}" pid="11" name="toc-title">
    <vt:lpwstr>Na této stránce…</vt:lpwstr>
  </property>
</Properties>
</file>