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Sub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volíme když:</w:t>
      </w:r>
    </w:p>
    <w:p>
      <w:pPr>
        <w:pStyle w:val="Compact"/>
        <w:numPr>
          <w:ilvl w:val="0"/>
          <w:numId w:val="1001"/>
        </w:numPr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/>
                <w:iCs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/>
          <w:iCs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/>
          <w:bCs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/>
          <w:bCs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/>
          <w:bCs/>
        </w:rPr>
        <w:t xml:space="preserve">?@fig-dj-dalnic</w:t>
      </w:r>
      <w:r>
        <w:t xml:space="preserve">).</w:t>
      </w:r>
      <w:r>
        <w:t xml:space="preserve"> </w:t>
      </w:r>
      <w:r>
        <w:rPr>
          <w:b/>
          <w:bCs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/>
          <w:bCs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/>
          <w:bCs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language>cs</dc:language>
  <cp:keywords/>
  <dcterms:created xsi:type="dcterms:W3CDTF">2024-07-04T10:58:34Z</dcterms:created>
  <dcterms:modified xsi:type="dcterms:W3CDTF">2024-07-04T10:58:34Z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Pokyny pro volbu a zápis správného typu dokumentačních jednotek</vt:lpwstr>
  </property>
  <property fmtid="{D5CDD505-2E9C-101B-9397-08002B2CF9AE}" pid="11" name="toc-title">
    <vt:lpwstr>Na této stránce…</vt:lpwstr>
  </property>
</Properties>
</file>