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Sub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1"/>
        </w:numPr>
        <w:pStyle w:val="Compact"/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Cs/>
                <w:i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Cs/>
          <w:i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Cs/>
          <w:b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Cs/>
          <w:b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Cs/>
          <w:b/>
        </w:rPr>
        <w:t xml:space="preserve">?@fig-dj-dalnic</w:t>
      </w:r>
      <w:r>
        <w:t xml:space="preserve">).</w:t>
      </w:r>
      <w:r>
        <w:t xml:space="preserve"> </w:t>
      </w:r>
      <w:r>
        <w:rPr>
          <w:bCs/>
          <w:b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Cs/>
          <w:b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Cs/>
          <w:b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language>cs</dc:language>
  <cp:keywords/>
  <dcterms:created xsi:type="dcterms:W3CDTF">2024-03-01T11:34:31Z</dcterms:created>
  <dcterms:modified xsi:type="dcterms:W3CDTF">2024-03-01T11:34:31Z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Pokyny pro volbu a zápis správného typu dokumentačních jednotek</vt:lpwstr>
  </property>
  <property fmtid="{D5CDD505-2E9C-101B-9397-08002B2CF9AE}" pid="11" name="toc-title">
    <vt:lpwstr>Na této stránce…</vt:lpwstr>
  </property>
</Properties>
</file>