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VZOR </w:t>
      </w:r>
      <w:r w:rsidDel="00000000" w:rsidR="00000000" w:rsidRPr="00000000">
        <w:rPr>
          <w:b w:val="1"/>
          <w:sz w:val="22"/>
          <w:szCs w:val="22"/>
          <w:rtl w:val="0"/>
        </w:rPr>
        <w:t xml:space="preserve">(30. 3. 2021)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Tento vzor slouží jako modelový příklad dohody, který vhodně postihuje základní vztahy mezi oprávněnou organizací a spolupracovníkem. Text dohody lze v individuálních případech upravovat podle konkrétních potřeb oprávněné organizace a ve vztahu ke konkrétním spolupracovníkům.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Dohoda o spolupráci na archeologických výzkumech</w:t>
      </w:r>
    </w:p>
    <w:p w:rsidR="00000000" w:rsidDel="00000000" w:rsidP="00000000" w:rsidRDefault="00000000" w:rsidRPr="00000000" w14:paraId="00000005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dle ust. § 1724 a násl. zákona č. 89/2012 Sb., občanský zákoník, ve znění pozdějších předpisů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Název oprávněné organizace: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Sídlo: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IČO: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zastoupena: </w:t>
      </w:r>
    </w:p>
    <w:p w:rsidR="00000000" w:rsidDel="00000000" w:rsidP="00000000" w:rsidRDefault="00000000" w:rsidRPr="00000000" w14:paraId="0000000B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(dále jen Oprávněná organizace)</w:t>
      </w:r>
    </w:p>
    <w:p w:rsidR="00000000" w:rsidDel="00000000" w:rsidP="00000000" w:rsidRDefault="00000000" w:rsidRPr="00000000" w14:paraId="0000000C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0E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Jméno a příjmení: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adresa: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datum narození: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e-mail:</w:t>
      </w:r>
    </w:p>
    <w:p w:rsidR="00000000" w:rsidDel="00000000" w:rsidP="00000000" w:rsidRDefault="00000000" w:rsidRPr="00000000" w14:paraId="00000013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(dále jen Spolupracovník)</w:t>
      </w:r>
    </w:p>
    <w:p w:rsidR="00000000" w:rsidDel="00000000" w:rsidP="00000000" w:rsidRDefault="00000000" w:rsidRPr="00000000" w14:paraId="00000014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spolu uzavřeli dohodu o spolupráci na archeologických výzkumech v následujícím znění:</w:t>
      </w:r>
    </w:p>
    <w:p w:rsidR="00000000" w:rsidDel="00000000" w:rsidP="00000000" w:rsidRDefault="00000000" w:rsidRPr="00000000" w14:paraId="00000016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Smluvní strany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je organizací oprávněnou k provádění archeologických výzkumů dle § 21 zákona č. 20/1987 Sb., o státní památkové péči, ve znění pozdějších předpisů </w:t>
      </w:r>
      <w:r w:rsidDel="00000000" w:rsidR="00000000" w:rsidRPr="00000000">
        <w:rPr>
          <w:sz w:val="22"/>
          <w:szCs w:val="22"/>
          <w:rtl w:val="0"/>
        </w:rPr>
        <w:t xml:space="preserve">(dále jen “Památkový zákon”)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 Oprávněná organizace splňuje všechny podmínky k provádění archeologických výzkumů stanovené zákonem a Dohodou o podmínkách a rozsahu provádění archeologických výzkumů uzavřenou s Akademií věd České republiky.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je fyzickou osobou, který má zájem podílet se na provádění archeologických výzkumů. Spolupracovník se na provádění archeologických výzkumů podílí osobně. Všechny práva a povinnosti plynoucí z této dohody se vážou pouze na jeho osobu.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Územní a časový rozsah spolupráce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se bude aktivně podílet na provádění archeologických výzkumů vedených Oprávněnou organizací, a to na území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[definovat region (např.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k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raj/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o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kres/katastr)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Dohoda o spolupráci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Oprávněné organizace 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Spolupracovníka (dále jen </w:t>
      </w:r>
      <w:r w:rsidDel="00000000" w:rsidR="00000000" w:rsidRPr="00000000">
        <w:rPr>
          <w:sz w:val="22"/>
          <w:szCs w:val="22"/>
          <w:rtl w:val="0"/>
        </w:rPr>
        <w:t xml:space="preserve">„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Smluvní strany</w:t>
      </w:r>
      <w:r w:rsidDel="00000000" w:rsidR="00000000" w:rsidRPr="00000000">
        <w:rPr>
          <w:sz w:val="22"/>
          <w:szCs w:val="22"/>
          <w:rtl w:val="0"/>
        </w:rPr>
        <w:t xml:space="preserve">”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se uzavírá </w:t>
      </w:r>
      <w:r w:rsidDel="00000000" w:rsidR="00000000" w:rsidRPr="00000000">
        <w:rPr>
          <w:sz w:val="22"/>
          <w:szCs w:val="22"/>
          <w:rtl w:val="0"/>
        </w:rPr>
        <w:t xml:space="preserve">na dobu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[neurčitou / určitou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, s ukončením ke dni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……..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.]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III.  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Věcný rozsah spolupráce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provádí archeologické výzkumy v souladu s ust. § 22 odst. 1 a násl. </w:t>
      </w:r>
      <w:r w:rsidDel="00000000" w:rsidR="00000000" w:rsidRPr="00000000">
        <w:rPr>
          <w:sz w:val="22"/>
          <w:szCs w:val="22"/>
          <w:rtl w:val="0"/>
        </w:rPr>
        <w:t xml:space="preserve">Památkového zákona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se bude podílet na provádění archeologických výzkumů Oprávněné </w:t>
      </w:r>
      <w:r w:rsidDel="00000000" w:rsidR="00000000" w:rsidRPr="00000000">
        <w:rPr>
          <w:sz w:val="22"/>
          <w:szCs w:val="22"/>
          <w:rtl w:val="0"/>
        </w:rPr>
        <w:t xml:space="preserve">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rganizace dle dohody a aktuální potřeby Oprávněné organizace.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vede evidenci archeologických výzkumů (projektů), kterých se spolupracovník účastní.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Potvrzení o spolupráci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vydá Spolupracovníkovi </w:t>
      </w:r>
      <w:r w:rsidDel="00000000" w:rsidR="00000000" w:rsidRPr="00000000">
        <w:rPr>
          <w:sz w:val="22"/>
          <w:szCs w:val="22"/>
          <w:rtl w:val="0"/>
        </w:rPr>
        <w:t xml:space="preserve">Potvrzení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spolupráci.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Potvrzení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spolupráci obsahuje </w:t>
      </w:r>
      <w:r w:rsidDel="00000000" w:rsidR="00000000" w:rsidRPr="00000000">
        <w:rPr>
          <w:sz w:val="22"/>
          <w:szCs w:val="22"/>
          <w:rtl w:val="0"/>
        </w:rPr>
        <w:t xml:space="preserve">osobní údaje a vymezení územního a časového rozsahu spolupráce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Potvrzení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spolupráci dále obsahuje údaje o </w:t>
      </w:r>
      <w:r w:rsidDel="00000000" w:rsidR="00000000" w:rsidRPr="00000000">
        <w:rPr>
          <w:sz w:val="22"/>
          <w:szCs w:val="22"/>
          <w:rtl w:val="0"/>
        </w:rPr>
        <w:t xml:space="preserve">věcném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rozsahu spolupráce v podobě označení projektu. </w:t>
      </w:r>
      <w:r w:rsidDel="00000000" w:rsidR="00000000" w:rsidRPr="00000000">
        <w:rPr>
          <w:sz w:val="22"/>
          <w:szCs w:val="22"/>
          <w:rtl w:val="0"/>
        </w:rPr>
        <w:t xml:space="preserve">Potvrzení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dále obsahuje kontaktní údaje na vedoucího projektu nebo jinou osobu zastupující Oprávněnou organizaci.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je na vyzvání povinen se prokázat </w:t>
      </w:r>
      <w:r w:rsidDel="00000000" w:rsidR="00000000" w:rsidRPr="00000000">
        <w:rPr>
          <w:sz w:val="22"/>
          <w:szCs w:val="22"/>
          <w:rtl w:val="0"/>
        </w:rPr>
        <w:t xml:space="preserve">Potvrzením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spolupráci orgánům veřejné moci, vlastníkovi pozemku, na kterém má být výzkum proveden, a dále také pracovníkům Archeologického ústavu AV ČR a dalších oprávněných organizací.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Potvrzení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spolupráci je nepřenosn</w:t>
      </w:r>
      <w:r w:rsidDel="00000000" w:rsidR="00000000" w:rsidRPr="00000000">
        <w:rPr>
          <w:sz w:val="22"/>
          <w:szCs w:val="22"/>
          <w:rtl w:val="0"/>
        </w:rPr>
        <w:t xml:space="preserve">é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dokládá tak spolupráci výhradně v něm uvedeného Spolupracovníka. Spolupracovník nesmí </w:t>
      </w:r>
      <w:r w:rsidDel="00000000" w:rsidR="00000000" w:rsidRPr="00000000">
        <w:rPr>
          <w:sz w:val="22"/>
          <w:szCs w:val="22"/>
          <w:rtl w:val="0"/>
        </w:rPr>
        <w:t xml:space="preserve">Potvrzení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 spolupráci poskytnout dalším osobám.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Potvrzení o spolupráci se vydává s dobou platnosti nejvýše na jeden rok.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Náležitosti spolupráce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425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Spolupracovník smí provádět terénní průzkumy pouze na pokyn Oprávněné organizace, s platným Potvrzením o spolupráci.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425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Spolupracovník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provádí výzkum výhradně na území a za podmínek stanovených Oprávněnou organizací.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425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Oprávněná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organizace je ve věci spolupráce </w:t>
      </w:r>
      <w:r w:rsidDel="00000000" w:rsidR="00000000" w:rsidRPr="00000000">
        <w:rPr>
          <w:sz w:val="22"/>
          <w:szCs w:val="22"/>
          <w:rtl w:val="0"/>
        </w:rPr>
        <w:t xml:space="preserve">zastoupená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[jméno a pozice]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je povinen informovat Oprávněnou organizaci o záměru provést průzkum v konkrétním </w:t>
      </w:r>
      <w:r w:rsidDel="00000000" w:rsidR="00000000" w:rsidRPr="00000000">
        <w:rPr>
          <w:sz w:val="22"/>
          <w:szCs w:val="22"/>
          <w:rtl w:val="0"/>
        </w:rPr>
        <w:t xml:space="preserve">termínu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 oblasti, a to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[stanovit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požadovaný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způsob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 a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 termín]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Smluvní strany spolu </w:t>
      </w:r>
      <w:r w:rsidDel="00000000" w:rsidR="00000000" w:rsidRPr="00000000">
        <w:rPr>
          <w:sz w:val="22"/>
          <w:szCs w:val="22"/>
          <w:rtl w:val="0"/>
        </w:rPr>
        <w:t xml:space="preserve">průběžně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konzultují průběh a provádění archeologického výzkumu, a to v maximálním intervalu 6 měsíců.</w:t>
      </w:r>
      <w:r w:rsidDel="00000000" w:rsidR="00000000" w:rsidRPr="00000000">
        <w:rPr>
          <w:color w:val="000000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 rámci konzultace Oprávněná organizace koordinuje a kontroluje postup Spolupracovníka, a to s důrazem na rozsah spolupráce a odbornost provádění výzkumu.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je povinen předat Oprávněné organizaci movité archeologické nálezy získané při průzkumu, a to bez zbytečného odkladu, nejpozději však při pravidelné konzultaci podle předchozího odstavce.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je povinna od Spolupracovníka movité archeologické nálezy převzít.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Evidence spolupráce a movitých archeologických nálezů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Smluvní strany využívají k zajištění vzájemné součinnosti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při s</w:t>
      </w:r>
      <w:r w:rsidDel="00000000" w:rsidR="00000000" w:rsidRPr="00000000">
        <w:rPr>
          <w:sz w:val="22"/>
          <w:szCs w:val="22"/>
          <w:rtl w:val="0"/>
        </w:rPr>
        <w:t xml:space="preserve">polupráci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informační systém </w:t>
      </w:r>
      <w:r w:rsidDel="00000000" w:rsidR="00000000" w:rsidRPr="00000000">
        <w:rPr>
          <w:i w:val="1"/>
          <w:sz w:val="22"/>
          <w:szCs w:val="22"/>
          <w:rtl w:val="0"/>
        </w:rPr>
        <w:t xml:space="preserve">Portál amatérských spolupracovníků a evidence samostatných nálezů Archeologické mapy České republiky</w:t>
      </w:r>
      <w:r w:rsidDel="00000000" w:rsidR="00000000" w:rsidRPr="00000000">
        <w:rPr>
          <w:sz w:val="22"/>
          <w:szCs w:val="22"/>
          <w:rtl w:val="0"/>
        </w:rPr>
        <w:t xml:space="preserve"> (dále jen “AMČR-PAS”), provozovaný Archeologickými ústavy AV ČR.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Spolupracovník je v AMČR-PAS evidován pod identifikačním číslem: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……………</w:t>
      </w:r>
      <w:r w:rsidDel="00000000" w:rsidR="00000000" w:rsidRPr="00000000">
        <w:rPr>
          <w:sz w:val="22"/>
          <w:szCs w:val="22"/>
          <w:highlight w:val="yellow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dle pokynů Oprávněné organizace průběžně eviduje veš</w:t>
      </w:r>
      <w:r w:rsidDel="00000000" w:rsidR="00000000" w:rsidRPr="00000000">
        <w:rPr>
          <w:sz w:val="22"/>
          <w:szCs w:val="22"/>
          <w:rtl w:val="0"/>
        </w:rPr>
        <w:t xml:space="preserve">k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sz w:val="22"/>
          <w:szCs w:val="22"/>
          <w:rtl w:val="0"/>
        </w:rPr>
        <w:t xml:space="preserve">é jím nalezené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movité archeologické nálezy v AMČR-PAS.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provádí kontrolu evidovaných nálezů a předává je k dalšímu zpracování Archeologickým ústavům AV ČR.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Nakládání s movitými archeologickými nálezy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Archeologické výzkumy je nutno provádět s ohledem na veřejný zájem na ochraně kulturního </w:t>
      </w:r>
      <w:r w:rsidDel="00000000" w:rsidR="00000000" w:rsidRPr="00000000">
        <w:rPr>
          <w:sz w:val="22"/>
          <w:szCs w:val="22"/>
          <w:rtl w:val="0"/>
        </w:rPr>
        <w:t xml:space="preserve">dědictví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je povinna proškolit Spolupracovníka ohledně metod vyhledávání a vyzdvihování movitých archeologických nálezů. Oprávněná organizace je dále povinna Spolupracovníka proškolit ohledně ošetření a uložení movitých archeologických nálezů do jejich předání Oprávněné organizaci.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Oprávněná organizace Spolupracovníka dále proškoluje v rámci pravidelných konzultací dle čl. IV. odst.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Spolupracovník je povinen dodržovat všechny Oprávněnou organizací stanovené postupy tak, aby nedošlo k poškození archeologických nálezů, </w:t>
      </w:r>
      <w:r w:rsidDel="00000000" w:rsidR="00000000" w:rsidRPr="00000000">
        <w:rPr>
          <w:sz w:val="22"/>
          <w:szCs w:val="22"/>
          <w:rtl w:val="0"/>
        </w:rPr>
        <w:t xml:space="preserve">movitých i nemovitých, a k zásahu do práv třetích osob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Protokol o proškolení Spolupracovníka je přílohou této Dohody.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Závěrečná ustanovení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Dohoda se řídí českým právním řádem, zejména pak zákonem č. 89/2012 Sb., občanský zákoník, v znění pozdějších předpisů, a souvisejícími právními předpisy. Smluvní strany se zavazují řešit veškeré spory vyp</w:t>
      </w:r>
      <w:r w:rsidDel="00000000" w:rsidR="00000000" w:rsidRPr="00000000">
        <w:rPr>
          <w:sz w:val="22"/>
          <w:szCs w:val="22"/>
          <w:rtl w:val="0"/>
        </w:rPr>
        <w:t xml:space="preserve">lývající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z Dohody primárně jednáním s cílem dosáhnout smírného řešení.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Dohodu je možné měnit pouze písemnou dohodou Smluvních stran ve formě vzestupně číslovaných dodatků, podepsaných oprávněnými zástupci obou Smluvních stran.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Dohodu o spolupráci lze vypovědět bez udání důvodu. Výpovědní doba se nestanovuje. 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 případě podstatného porušení Dohody jednou ze stran může druhá strana od Dohody odstoupit.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425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Výpovědí Dohody či odstoupením od Dohody nezaniká povinnost Spolupracovníka předat movité archeologické nálezy Oprávněné organizaci podle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čl. IV. odst. 6</w:t>
      </w:r>
      <w:r w:rsidDel="00000000" w:rsidR="00000000" w:rsidRPr="00000000">
        <w:rPr>
          <w:sz w:val="22"/>
          <w:szCs w:val="22"/>
          <w:rtl w:val="0"/>
        </w:rPr>
        <w:t xml:space="preserve">, a to nejpozději do jednoho měsíce od ukončení platnosti této Dohody.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Obě smluvní strany prohlašují, že si tuto dohodu před podpisem přečetly, porozuměly jejímu obsahu, s obsahem souhlasí, a že je tato Dohoda projevem jejich svobodné vůle.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Dohoda nabývá platnosti dnem jejího uzavření.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Dohoda se vyhotovuje ve 2 vyhotoveních.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V…………………….. dne………………………</w:t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58"/>
        <w:gridCol w:w="2126"/>
        <w:gridCol w:w="3458"/>
        <w:tblGridChange w:id="0">
          <w:tblGrid>
            <w:gridCol w:w="3458"/>
            <w:gridCol w:w="2126"/>
            <w:gridCol w:w="3458"/>
          </w:tblGrid>
        </w:tblGridChange>
      </w:tblGrid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Za Oprávněnou organizaci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[Název OAO] 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[jméno zástupce]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Spolupracovník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[jméno spolupracovníka]</w:t>
            </w:r>
          </w:p>
        </w:tc>
      </w:tr>
    </w:tbl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/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 Doporučujeme ale spíše 3 měsíce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Údaj ve formátu „U-123456“, který lze získat po přihlášení do AMČR-PAS, kde je uveden vedle e-mailu v tabulce „Spolupráce“. Údaj vidí na základě žádosti o spolupráci jak badatel, tak příslušný archeolog.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0" w:firstLine="0"/>
      </w:pPr>
      <w:rPr/>
    </w:lvl>
    <w:lvl w:ilvl="1">
      <w:start w:val="1"/>
      <w:numFmt w:val="upperLetter"/>
      <w:lvlText w:val="%2."/>
      <w:lvlJc w:val="left"/>
      <w:pPr>
        <w:ind w:left="720" w:firstLine="0"/>
      </w:pPr>
      <w:rPr/>
    </w:lvl>
    <w:lvl w:ilvl="2">
      <w:start w:val="1"/>
      <w:numFmt w:val="decimal"/>
      <w:lvlText w:val="%3."/>
      <w:lvlJc w:val="left"/>
      <w:pPr>
        <w:ind w:left="1440" w:firstLine="0"/>
      </w:pPr>
      <w:rPr/>
    </w:lvl>
    <w:lvl w:ilvl="3">
      <w:start w:val="1"/>
      <w:numFmt w:val="lowerLetter"/>
      <w:lvlText w:val="%4)"/>
      <w:lvlJc w:val="left"/>
      <w:pPr>
        <w:ind w:left="2160" w:firstLine="0"/>
      </w:pPr>
      <w:rPr/>
    </w:lvl>
    <w:lvl w:ilvl="4">
      <w:start w:val="1"/>
      <w:numFmt w:val="decimal"/>
      <w:lvlText w:val="(%5)"/>
      <w:lvlJc w:val="left"/>
      <w:pPr>
        <w:ind w:left="288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s-CZ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720"/>
      <w:jc w:val="center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1440" w:hanging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2160" w:hanging="72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880" w:hanging="72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72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72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28"/>
      <w:szCs w:val="28"/>
    </w:rPr>
  </w:style>
  <w:style w:type="paragraph" w:styleId="Normln" w:default="1">
    <w:name w:val="Normal"/>
    <w:qFormat w:val="1"/>
    <w:rsid w:val="00922C58"/>
    <w:rPr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 w:val="1"/>
    <w:rsid w:val="00402DB0"/>
    <w:pPr>
      <w:numPr>
        <w:numId w:val="9"/>
      </w:numPr>
      <w:jc w:val="center"/>
      <w:outlineLvl w:val="0"/>
    </w:pPr>
    <w:rPr>
      <w:b w:val="1"/>
      <w:bCs w:val="1"/>
      <w:sz w:val="22"/>
      <w:szCs w:val="20"/>
    </w:rPr>
  </w:style>
  <w:style w:type="paragraph" w:styleId="Nadpis2">
    <w:name w:val="heading 2"/>
    <w:basedOn w:val="Normln"/>
    <w:next w:val="Normln"/>
    <w:link w:val="Nadpis2Char"/>
    <w:uiPriority w:val="9"/>
    <w:semiHidden w:val="1"/>
    <w:unhideWhenUsed w:val="1"/>
    <w:qFormat w:val="1"/>
    <w:rsid w:val="00922C58"/>
    <w:pPr>
      <w:keepNext w:val="1"/>
      <w:keepLines w:val="1"/>
      <w:numPr>
        <w:ilvl w:val="1"/>
        <w:numId w:val="9"/>
      </w:numPr>
      <w:spacing w:before="240"/>
      <w:outlineLvl w:val="1"/>
    </w:pPr>
    <w:rPr>
      <w:rFonts w:cstheme="majorBidi" w:eastAsiaTheme="majorEastAsia"/>
      <w:b w:val="1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 w:val="1"/>
    <w:unhideWhenUsed w:val="1"/>
    <w:qFormat w:val="1"/>
    <w:rsid w:val="00922C58"/>
    <w:pPr>
      <w:keepNext w:val="1"/>
      <w:keepLines w:val="1"/>
      <w:numPr>
        <w:ilvl w:val="2"/>
        <w:numId w:val="9"/>
      </w:numPr>
      <w:spacing w:before="40"/>
      <w:outlineLvl w:val="2"/>
    </w:pPr>
    <w:rPr>
      <w:rFonts w:cstheme="majorBidi" w:eastAsiaTheme="majorEastAsia"/>
      <w:i w:val="1"/>
    </w:rPr>
  </w:style>
  <w:style w:type="paragraph" w:styleId="Nadpis4">
    <w:name w:val="heading 4"/>
    <w:basedOn w:val="Normln"/>
    <w:next w:val="Normln"/>
    <w:link w:val="Nadpis4Char"/>
    <w:uiPriority w:val="9"/>
    <w:semiHidden w:val="1"/>
    <w:unhideWhenUsed w:val="1"/>
    <w:qFormat w:val="1"/>
    <w:rsid w:val="00402DB0"/>
    <w:pPr>
      <w:keepNext w:val="1"/>
      <w:keepLines w:val="1"/>
      <w:numPr>
        <w:ilvl w:val="3"/>
        <w:numId w:val="9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adpis5">
    <w:name w:val="heading 5"/>
    <w:basedOn w:val="Normln"/>
    <w:next w:val="Normln"/>
    <w:link w:val="Nadpis5Char"/>
    <w:uiPriority w:val="9"/>
    <w:semiHidden w:val="1"/>
    <w:unhideWhenUsed w:val="1"/>
    <w:qFormat w:val="1"/>
    <w:rsid w:val="00402DB0"/>
    <w:pPr>
      <w:keepNext w:val="1"/>
      <w:keepLines w:val="1"/>
      <w:numPr>
        <w:ilvl w:val="4"/>
        <w:numId w:val="9"/>
      </w:numPr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Nadpis6">
    <w:name w:val="heading 6"/>
    <w:basedOn w:val="Normln"/>
    <w:next w:val="Normln"/>
    <w:link w:val="Nadpis6Char"/>
    <w:uiPriority w:val="9"/>
    <w:semiHidden w:val="1"/>
    <w:unhideWhenUsed w:val="1"/>
    <w:qFormat w:val="1"/>
    <w:rsid w:val="00402DB0"/>
    <w:pPr>
      <w:keepNext w:val="1"/>
      <w:keepLines w:val="1"/>
      <w:numPr>
        <w:ilvl w:val="5"/>
        <w:numId w:val="9"/>
      </w:numPr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adpis7">
    <w:name w:val="heading 7"/>
    <w:basedOn w:val="Normln"/>
    <w:next w:val="Normln"/>
    <w:link w:val="Nadpis7Char"/>
    <w:uiPriority w:val="9"/>
    <w:semiHidden w:val="1"/>
    <w:unhideWhenUsed w:val="1"/>
    <w:qFormat w:val="1"/>
    <w:rsid w:val="00402DB0"/>
    <w:pPr>
      <w:keepNext w:val="1"/>
      <w:keepLines w:val="1"/>
      <w:numPr>
        <w:ilvl w:val="6"/>
        <w:numId w:val="9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Nadpis8">
    <w:name w:val="heading 8"/>
    <w:basedOn w:val="Normln"/>
    <w:next w:val="Normln"/>
    <w:link w:val="Nadpis8Char"/>
    <w:uiPriority w:val="9"/>
    <w:semiHidden w:val="1"/>
    <w:unhideWhenUsed w:val="1"/>
    <w:qFormat w:val="1"/>
    <w:rsid w:val="00402DB0"/>
    <w:pPr>
      <w:keepNext w:val="1"/>
      <w:keepLines w:val="1"/>
      <w:numPr>
        <w:ilvl w:val="7"/>
        <w:numId w:val="9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 w:val="1"/>
    <w:unhideWhenUsed w:val="1"/>
    <w:qFormat w:val="1"/>
    <w:rsid w:val="00402DB0"/>
    <w:pPr>
      <w:keepNext w:val="1"/>
      <w:keepLines w:val="1"/>
      <w:numPr>
        <w:ilvl w:val="8"/>
        <w:numId w:val="9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 w:val="1"/>
    <w:rsid w:val="00922C58"/>
    <w:pPr>
      <w:spacing w:line="240" w:lineRule="auto"/>
      <w:contextualSpacing w:val="1"/>
      <w:jc w:val="center"/>
    </w:pPr>
    <w:rPr>
      <w:rFonts w:cstheme="majorBidi" w:eastAsiaTheme="majorEastAsia"/>
      <w:b w:val="1"/>
      <w:spacing w:val="-10"/>
      <w:kern w:val="28"/>
      <w:sz w:val="28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Nadpis1Char" w:customStyle="1">
    <w:name w:val="Nadpis 1 Char"/>
    <w:basedOn w:val="Standardnpsmoodstavce"/>
    <w:link w:val="Nadpis1"/>
    <w:uiPriority w:val="9"/>
    <w:rsid w:val="00402DB0"/>
    <w:rPr>
      <w:rFonts w:ascii="Arial" w:hAnsi="Arial"/>
      <w:b w:val="1"/>
      <w:bCs w:val="1"/>
      <w:color w:val="000000" w:themeColor="text1"/>
      <w:szCs w:val="20"/>
      <w:lang w:val="cs-CZ"/>
    </w:rPr>
  </w:style>
  <w:style w:type="character" w:styleId="NzevChar" w:customStyle="1">
    <w:name w:val="Název Char"/>
    <w:basedOn w:val="Standardnpsmoodstavce"/>
    <w:link w:val="Nzev"/>
    <w:uiPriority w:val="10"/>
    <w:rsid w:val="00922C58"/>
    <w:rPr>
      <w:rFonts w:ascii="Arial" w:hAnsi="Arial" w:cstheme="majorBidi" w:eastAsiaTheme="majorEastAsia"/>
      <w:b w:val="1"/>
      <w:color w:val="000000" w:themeColor="text1"/>
      <w:spacing w:val="-10"/>
      <w:kern w:val="28"/>
      <w:sz w:val="28"/>
      <w:szCs w:val="56"/>
    </w:rPr>
  </w:style>
  <w:style w:type="character" w:styleId="Nadpis2Char" w:customStyle="1">
    <w:name w:val="Nadpis 2 Char"/>
    <w:basedOn w:val="Standardnpsmoodstavce"/>
    <w:link w:val="Nadpis2"/>
    <w:uiPriority w:val="9"/>
    <w:rsid w:val="00922C58"/>
    <w:rPr>
      <w:rFonts w:ascii="Arial" w:hAnsi="Arial" w:cstheme="majorBidi" w:eastAsiaTheme="majorEastAsia"/>
      <w:b w:val="1"/>
      <w:color w:val="000000" w:themeColor="text1"/>
      <w:sz w:val="24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922C58"/>
    <w:rPr>
      <w:rFonts w:ascii="Arial" w:hAnsi="Arial" w:cstheme="majorBidi" w:eastAsiaTheme="majorEastAsia"/>
      <w:i w:val="1"/>
      <w:color w:val="000000" w:themeColor="text1"/>
      <w:sz w:val="24"/>
      <w:szCs w:val="24"/>
    </w:rPr>
  </w:style>
  <w:style w:type="paragraph" w:styleId="Odstavecseseznamem">
    <w:name w:val="List Paragraph"/>
    <w:basedOn w:val="Normln"/>
    <w:uiPriority w:val="34"/>
    <w:qFormat w:val="1"/>
    <w:rsid w:val="001B7776"/>
    <w:pPr>
      <w:ind w:left="720"/>
      <w:contextualSpacing w:val="1"/>
    </w:pPr>
  </w:style>
  <w:style w:type="character" w:styleId="Odkaznakoment">
    <w:name w:val="annotation reference"/>
    <w:uiPriority w:val="99"/>
    <w:semiHidden w:val="1"/>
    <w:unhideWhenUsed w:val="1"/>
    <w:rPr>
      <w:sz w:val="16"/>
      <w:szCs w:val="16"/>
    </w:rPr>
  </w:style>
  <w:style w:type="paragraph" w:styleId="Textkomente">
    <w:name w:val="annotation text"/>
    <w:basedOn w:val="Normln"/>
    <w:link w:val="TextkomenteChar1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uiPriority w:val="99"/>
    <w:semiHidden w:val="1"/>
    <w:rsid w:val="008E1C14"/>
    <w:rPr>
      <w:rFonts w:ascii="Arial" w:hAnsi="Arial"/>
      <w:color w:val="000000" w:themeColor="text1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1"/>
    <w:uiPriority w:val="99"/>
    <w:semiHidden w:val="1"/>
    <w:unhideWhenUsed w:val="1"/>
    <w:rPr>
      <w:b w:val="1"/>
      <w:bCs w:val="1"/>
    </w:rPr>
  </w:style>
  <w:style w:type="character" w:styleId="PedmtkomenteChar" w:customStyle="1">
    <w:name w:val="Předmět komentáře Char"/>
    <w:basedOn w:val="TextkomenteChar"/>
    <w:uiPriority w:val="99"/>
    <w:semiHidden w:val="1"/>
    <w:rsid w:val="008E1C14"/>
    <w:rPr>
      <w:rFonts w:ascii="Arial" w:hAnsi="Arial"/>
      <w:b w:val="1"/>
      <w:bCs w:val="1"/>
      <w:color w:val="000000" w:themeColor="text1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 w:val="1"/>
    <w:unhideWhenUsed w:val="1"/>
    <w:rsid w:val="00BC5381"/>
    <w:pPr>
      <w:spacing w:line="240" w:lineRule="auto"/>
    </w:pPr>
    <w:rPr>
      <w:sz w:val="20"/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 w:val="1"/>
    <w:rsid w:val="00BC5381"/>
    <w:rPr>
      <w:rFonts w:ascii="Arial" w:hAnsi="Arial"/>
      <w:color w:val="000000" w:themeColor="text1"/>
      <w:sz w:val="20"/>
      <w:szCs w:val="20"/>
    </w:rPr>
  </w:style>
  <w:style w:type="character" w:styleId="Znakapoznpodarou">
    <w:name w:val="footnote reference"/>
    <w:basedOn w:val="Standardnpsmoodstavce"/>
    <w:uiPriority w:val="99"/>
    <w:semiHidden w:val="1"/>
    <w:unhideWhenUsed w:val="1"/>
    <w:rsid w:val="00BC5381"/>
    <w:rPr>
      <w:vertAlign w:val="superscript"/>
    </w:rPr>
  </w:style>
  <w:style w:type="paragraph" w:styleId="Default" w:customStyle="1">
    <w:name w:val="Default"/>
    <w:rsid w:val="009E170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Mkatabulky">
    <w:name w:val="Table Grid"/>
    <w:basedOn w:val="Normlntabulka"/>
    <w:uiPriority w:val="39"/>
    <w:rsid w:val="00D3738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0D167A"/>
    <w:pPr>
      <w:tabs>
        <w:tab w:val="center" w:pos="4536"/>
        <w:tab w:val="right" w:pos="9072"/>
      </w:tabs>
      <w:spacing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0D167A"/>
    <w:rPr>
      <w:rFonts w:ascii="Arial" w:hAnsi="Arial"/>
      <w:color w:val="000000" w:themeColor="text1"/>
      <w:sz w:val="24"/>
    </w:rPr>
  </w:style>
  <w:style w:type="paragraph" w:styleId="Zpat">
    <w:name w:val="footer"/>
    <w:basedOn w:val="Normln"/>
    <w:link w:val="ZpatChar"/>
    <w:uiPriority w:val="99"/>
    <w:unhideWhenUsed w:val="1"/>
    <w:rsid w:val="000D167A"/>
    <w:pPr>
      <w:tabs>
        <w:tab w:val="center" w:pos="4536"/>
        <w:tab w:val="right" w:pos="9072"/>
      </w:tabs>
      <w:spacing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0D167A"/>
    <w:rPr>
      <w:rFonts w:ascii="Arial" w:hAnsi="Arial"/>
      <w:color w:val="000000" w:themeColor="text1"/>
      <w:sz w:val="24"/>
    </w:rPr>
  </w:style>
  <w:style w:type="character" w:styleId="Nadpis4Char" w:customStyle="1">
    <w:name w:val="Nadpis 4 Char"/>
    <w:basedOn w:val="Standardnpsmoodstavce"/>
    <w:link w:val="Nadpis4"/>
    <w:uiPriority w:val="9"/>
    <w:semiHidden w:val="1"/>
    <w:rsid w:val="00402DB0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Nadpis5Char" w:customStyle="1">
    <w:name w:val="Nadpis 5 Char"/>
    <w:basedOn w:val="Standardnpsmoodstavce"/>
    <w:link w:val="Nadpis5"/>
    <w:uiPriority w:val="9"/>
    <w:semiHidden w:val="1"/>
    <w:rsid w:val="00402DB0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Nadpis6Char" w:customStyle="1">
    <w:name w:val="Nadpis 6 Char"/>
    <w:basedOn w:val="Standardnpsmoodstavce"/>
    <w:link w:val="Nadpis6"/>
    <w:uiPriority w:val="9"/>
    <w:semiHidden w:val="1"/>
    <w:rsid w:val="00402DB0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Nadpis7Char" w:customStyle="1">
    <w:name w:val="Nadpis 7 Char"/>
    <w:basedOn w:val="Standardnpsmoodstavce"/>
    <w:link w:val="Nadpis7"/>
    <w:uiPriority w:val="9"/>
    <w:semiHidden w:val="1"/>
    <w:rsid w:val="00402DB0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</w:rPr>
  </w:style>
  <w:style w:type="character" w:styleId="Nadpis8Char" w:customStyle="1">
    <w:name w:val="Nadpis 8 Char"/>
    <w:basedOn w:val="Standardnpsmoodstavce"/>
    <w:link w:val="Nadpis8"/>
    <w:uiPriority w:val="9"/>
    <w:semiHidden w:val="1"/>
    <w:rsid w:val="00402DB0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Nadpis9Char" w:customStyle="1">
    <w:name w:val="Nadpis 9 Char"/>
    <w:basedOn w:val="Standardnpsmoodstavce"/>
    <w:link w:val="Nadpis9"/>
    <w:uiPriority w:val="9"/>
    <w:semiHidden w:val="1"/>
    <w:rsid w:val="00402DB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PedmtkomenteChar1" w:customStyle="1">
    <w:name w:val="Předmět komentáře Char1"/>
    <w:basedOn w:val="TextkomenteChar1"/>
    <w:link w:val="Pedmtkomente"/>
    <w:uiPriority w:val="99"/>
    <w:semiHidden w:val="1"/>
    <w:rPr>
      <w:b w:val="1"/>
      <w:bCs w:val="1"/>
      <w:sz w:val="20"/>
      <w:szCs w:val="20"/>
    </w:rPr>
  </w:style>
  <w:style w:type="character" w:styleId="TextkomenteChar1" w:customStyle="1">
    <w:name w:val="Text komentáře Char1"/>
    <w:link w:val="Textkomente"/>
    <w:uiPriority w:val="99"/>
    <w:semiHidden w:val="1"/>
    <w:rPr>
      <w:sz w:val="20"/>
      <w:szCs w:val="20"/>
    </w:rPr>
  </w:style>
  <w:style w:type="table" w:styleId="a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64ARmotOIsZM7kmJannh2zqtbQ==">AMUW2mW/zuf+tClyJ9ktkbaczSM6daJmntPai8S5X1rCQN8chEMd6Uyxbn4roSt4LRzp2kqpuEWmrxU3/Mr2fM37fzfv5ezhastNZCbTrcrUIVPFXp88dRJ2pPB+dEbc2oYqU/hA8nC8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2021-02-18T10:46:00Z</dcterms:created>
  <dc:creator>Róbert Antal</dc:creator>
</cp:coreProperties>
</file>