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Cs/>
          <w:b/>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Cs/>
          <w:b/>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Cs/>
          <w:b/>
        </w:rPr>
        <w:t xml:space="preserve">Provedení archeologického výzkumu je mimo jiné podmíněno dohodou s vlastníkem (správcem/uživatelem) pozemku.</w:t>
      </w:r>
      <w:r>
        <w:br/>
      </w:r>
      <w:r>
        <w:rPr>
          <w:bCs/>
          <w:b/>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Cs/>
          <w:b/>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Cs/>
          <w:b/>
        </w:rPr>
        <w:t xml:space="preserve">Jakou formu bude mít spolupráce mezi archeologem a spolupracovníkem?</w:t>
      </w:r>
      <w:r>
        <w:br/>
      </w:r>
      <w:r>
        <w:rPr>
          <w:bCs/>
          <w:b/>
        </w:rPr>
        <w:t xml:space="preserve">Co by měla obsahovat dohoda o spolupráci?</w:t>
      </w:r>
      <w:r>
        <w:br/>
      </w:r>
      <w:r>
        <w:rPr>
          <w:bCs/>
          <w:b/>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 archeologové</dc:title>
  <dc:creator/>
  <dc:language>cs</dc:language>
  <cp:keywords/>
  <dcterms:created xsi:type="dcterms:W3CDTF">2024-05-27T13:49:17Z</dcterms:created>
  <dcterms:modified xsi:type="dcterms:W3CDTF">2024-05-27T13:49:17Z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