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volbu</w:t>
      </w:r>
      <w:r>
        <w:t xml:space="preserve"> </w:t>
      </w:r>
      <w:r>
        <w:t xml:space="preserve">a</w:t>
      </w:r>
      <w:r>
        <w:t xml:space="preserve"> </w:t>
      </w:r>
      <w:r>
        <w:t xml:space="preserve">zápis</w:t>
      </w:r>
      <w:r>
        <w:t xml:space="preserve"> </w:t>
      </w:r>
      <w:r>
        <w:t xml:space="preserve">správného</w:t>
      </w:r>
      <w:r>
        <w:t xml:space="preserve"> </w:t>
      </w:r>
      <w:r>
        <w:t xml:space="preserve">typu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jednotek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Při popisu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4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volíme když:</w:t>
      </w:r>
    </w:p>
    <w:p>
      <w:pPr>
        <w:pStyle w:val="Compact"/>
        <w:numPr>
          <w:ilvl w:val="0"/>
          <w:numId w:val="1001"/>
        </w:numPr>
      </w:pPr>
      <w:r>
        <w:t xml:space="preserve">Celou akci lze jednotně popsat a vymezit ji právě jedním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dj-schema"/>
          <w:p>
            <w:pPr>
              <w:pStyle w:val="Compact"/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dj-schema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/>
                <w:iCs/>
              </w:rPr>
              <w:t xml:space="preserve">DJ</w:t>
            </w:r>
          </w:p>
          <w:bookmarkEnd w:id="30"/>
        </w:tc>
      </w:tr>
    </w:tbl>
    <w:bookmarkStart w:id="40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/>
          <w:iCs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31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?@fig-dj-linie-z</w:t>
      </w:r>
      <w:r>
        <w:t xml:space="preserve">.</w:t>
      </w:r>
    </w:p>
    <w:bookmarkEnd w:id="31"/>
    <w:bookmarkStart w:id="35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?@fig-dj-linie2-z</w:t>
      </w:r>
      <w:r>
        <w:t xml:space="preserve">.</w:t>
      </w:r>
    </w:p>
    <w:bookmarkStart w:id="32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/>
          <w:bCs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32"/>
    <w:bookmarkStart w:id="34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3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?@fig-dj-sonda-z</w:t>
      </w:r>
      <w:r>
        <w:t xml:space="preserve">.</w:t>
      </w:r>
    </w:p>
    <w:bookmarkEnd w:id="34"/>
    <w:bookmarkEnd w:id="35"/>
    <w:bookmarkStart w:id="36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3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/>
          <w:bCs/>
        </w:rPr>
        <w:t xml:space="preserve">?@fig-dj-plocha-z</w:t>
      </w:r>
      <w:r>
        <w:t xml:space="preserve">.</w:t>
      </w:r>
    </w:p>
    <w:bookmarkEnd w:id="36"/>
    <w:bookmarkStart w:id="37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/>
          <w:bCs/>
        </w:rPr>
        <w:t xml:space="preserve">?@fig-dj-dalnic</w:t>
      </w:r>
      <w:r>
        <w:t xml:space="preserve">).</w:t>
      </w:r>
      <w:r>
        <w:t xml:space="preserve"> </w:t>
      </w:r>
      <w:r>
        <w:rPr>
          <w:b/>
          <w:bCs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/>
          <w:bCs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/>
          <w:bCs/>
        </w:rPr>
        <w:t xml:space="preserve">?@fig-dj-dalnic-z</w:t>
      </w:r>
      <w:r>
        <w:t xml:space="preserve">).</w:t>
      </w:r>
    </w:p>
    <w:bookmarkEnd w:id="37"/>
    <w:bookmarkStart w:id="38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?@fig-dj-nesp-z</w:t>
      </w:r>
      <w:r>
        <w:t xml:space="preserve">.</w:t>
      </w:r>
    </w:p>
    <w:bookmarkEnd w:id="38"/>
    <w:bookmarkStart w:id="39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hyperlink" Id="rId33" Target="dj.qmd#dlouh&#233;-liniov&#233;-akce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4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dj.qmd#dlouh&#233;-liniov&#233;-akce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4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Pokyny pro volbu a zápis správného typu dokumentačních jednotek</dc:title>
  <dc:creator/>
  <dc:language>cs</dc:language>
  <cp:keywords/>
  <dcterms:created xsi:type="dcterms:W3CDTF">2024-07-12T07:29:38Z</dcterms:created>
  <dcterms:modified xsi:type="dcterms:W3CDTF">2024-07-12T07:29:38Z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