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0.png" ContentType="image/png"/>
  <Override PartName="/word/media/rId25.png" ContentType="image/png"/>
  <Override PartName="/word/media/rId31.png" ContentType="image/png"/>
  <Override PartName="/word/media/rId50.png" ContentType="image/png"/>
  <Override PartName="/word/media/rId36.png" ContentType="image/png"/>
  <Override PartName="/word/media/rId4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Webová</w:t>
      </w:r>
      <w:r>
        <w:t xml:space="preserve"> </w:t>
      </w:r>
      <w:r>
        <w:t xml:space="preserve">aplikace</w:t>
      </w:r>
    </w:p>
    <w:p>
      <w:pPr>
        <w:pStyle w:val="Subtitle"/>
      </w:pPr>
      <w:r>
        <w:t xml:space="preserve">Obecný</w:t>
      </w:r>
      <w:r>
        <w:t xml:space="preserve"> </w:t>
      </w:r>
      <w:r>
        <w:t xml:space="preserve">popis</w:t>
      </w:r>
      <w:r>
        <w:t xml:space="preserve"> </w:t>
      </w:r>
      <w:r>
        <w:t xml:space="preserve">vzhledu</w:t>
      </w:r>
      <w:r>
        <w:t xml:space="preserve"> </w:t>
      </w:r>
      <w:r>
        <w:t xml:space="preserve">a</w:t>
      </w:r>
      <w:r>
        <w:t xml:space="preserve"> </w:t>
      </w:r>
      <w:r>
        <w:t xml:space="preserve">fungování</w:t>
      </w:r>
      <w:r>
        <w:t xml:space="preserve"> </w:t>
      </w:r>
      <w:r>
        <w:t xml:space="preserve">webové</w:t>
      </w:r>
      <w:r>
        <w:t xml:space="preserve"> </w:t>
      </w:r>
      <w:r>
        <w:t xml:space="preserve">aplikace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aplikace AMČR vstoupíte na adrese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Webové rozhraní aplikace AMČR do vysoké míry kopíruje vzhled původního desktopového klienta provozovaného v letech 2017 až 2024.</w:t>
      </w:r>
      <w:r>
        <w:t xml:space="preserve"> </w:t>
      </w:r>
      <w:r>
        <w:t xml:space="preserve">Na úvodní stránce po přihlášení se zobrazí</w:t>
      </w:r>
      <w:r>
        <w:t xml:space="preserve"> </w:t>
      </w:r>
      <w:r>
        <w:rPr>
          <w:i/>
          <w:iCs/>
        </w:rPr>
        <w:t xml:space="preserve">karty</w:t>
      </w:r>
      <w:r>
        <w:t xml:space="preserve"> </w:t>
      </w:r>
      <w:r>
        <w:t xml:space="preserve">pro jednotlivé moduly, které jsou přihlášenému uživateli dostupné dle jeho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.</w:t>
      </w:r>
      <w:r>
        <w:t xml:space="preserve"> </w:t>
      </w:r>
      <w:r>
        <w:t xml:space="preserve">Jednotlivé moduly AMČR jsou barevně odlišeny a daná barevnost je pak dodržena i při vstupu do konkrétního modulu, na první pohled je tedy zřejmé, kde se uživatel nachází.</w:t>
      </w:r>
    </w:p>
    <w:p>
      <w:pPr>
        <w:pStyle w:val="BodyText"/>
      </w:pPr>
      <w:r>
        <w:drawing>
          <wp:inline>
            <wp:extent cx="5334000" cy="149786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figs/gui-ini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Vpravo v horní liště aplikace jsou informace o přihlášeném uživateli, odpočet, za jak dlouho dojde k automatickému odhlášení, pod tlačítkem</w:t>
      </w:r>
      <w:r>
        <w:t xml:space="preserve"> </w:t>
      </w:r>
      <w:r>
        <w:rPr>
          <w:rStyle w:val="VerbatimChar"/>
        </w:rPr>
        <w:t xml:space="preserve">Uživatel</w:t>
      </w:r>
      <w:r>
        <w:t xml:space="preserve"> </w:t>
      </w:r>
      <w:r>
        <w:t xml:space="preserve">vstup do správy uživatelského účtu, možnost odhlášení z aplikace a přepínání mezi jazykovými verzemi (anglická jazyková verze zatím není k dispozici).</w:t>
      </w:r>
    </w:p>
    <w:p>
      <w:pPr>
        <w:pStyle w:val="BodyText"/>
      </w:pPr>
      <w:r>
        <w:drawing>
          <wp:inline>
            <wp:extent cx="5334000" cy="30818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figs/gui-user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správa-uživatelského-účtu"/>
    <w:p>
      <w:pPr>
        <w:pStyle w:val="Heading3"/>
      </w:pPr>
      <w:r>
        <w:t xml:space="preserve">Správa uživatelského účtu</w:t>
      </w:r>
    </w:p>
    <w:p>
      <w:pPr>
        <w:pStyle w:val="FirstParagraph"/>
      </w:pPr>
      <w:r>
        <w:drawing>
          <wp:inline>
            <wp:extent cx="5334000" cy="657955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igs/gui-notifikac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 správě uživatelského účtu lze provést změnu hesla, prohlížet historii přihlášení a změn rolí a oprávnění uživatelského účtu.</w:t>
      </w:r>
      <w:r>
        <w:t xml:space="preserve"> </w:t>
      </w:r>
      <w:r>
        <w:t xml:space="preserve">V nabídkách</w:t>
      </w:r>
      <w:r>
        <w:t xml:space="preserve"> </w:t>
      </w:r>
      <w:r>
        <w:rPr>
          <w:rStyle w:val="VerbatimChar"/>
        </w:rPr>
        <w:t xml:space="preserve">Nastavení emailových notifikací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Upozornění na projekty</w:t>
      </w:r>
      <w:r>
        <w:t xml:space="preserve"> </w:t>
      </w:r>
      <w:r>
        <w:t xml:space="preserve">pak lze nastavit emailová upozornění, která bude uživatel ze systému automaticky dostávat.</w:t>
      </w:r>
      <w:r>
        <w:t xml:space="preserve"> </w:t>
      </w:r>
      <w:r>
        <w:t xml:space="preserve">V případě projektů lze nově volit mezi emailovými notifikacemi na projekty zapsané v celém kraji, dílčím okrese, či jednotlivých katastrálních územích.</w:t>
      </w:r>
    </w:p>
    <w:bookmarkEnd w:id="34"/>
    <w:bookmarkStart w:id="39" w:name="rozcestníky-jednotlivých-částí"/>
    <w:p>
      <w:pPr>
        <w:pStyle w:val="Heading3"/>
      </w:pPr>
      <w:r>
        <w:t xml:space="preserve">Rozcestníky jednotlivých částí</w:t>
      </w:r>
    </w:p>
    <w:p>
      <w:pPr>
        <w:pStyle w:val="FirstParagraph"/>
      </w:pPr>
      <w:r>
        <w:t xml:space="preserve">Úvodní obrazovka každé z částí aplikace nabízí rozcestník, který zpravidla obsahuje následující karty (dle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):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Zapsat</w:t>
      </w:r>
      <w:r>
        <w:t xml:space="preserve"> </w:t>
      </w:r>
      <w:r>
        <w:t xml:space="preserve">– Umožňuje zápis nového záznamu dané kategorie.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Vybrat</w:t>
      </w:r>
      <w:r>
        <w:t xml:space="preserve"> </w:t>
      </w:r>
      <w:r>
        <w:t xml:space="preserve">– Nabízí výpis všech záznamů v dané kategorii a především jejich filtraci pomocí široké škály kritérií.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Moje záznamy</w:t>
      </w:r>
      <w:r>
        <w:t xml:space="preserve"> </w:t>
      </w:r>
      <w:r>
        <w:t xml:space="preserve">– Přednastavená filtrace, která zobrazuje jen záznamy zapsané přihlášeným uživatelem.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Naše záznamy</w:t>
      </w:r>
      <w:r>
        <w:t xml:space="preserve"> </w:t>
      </w:r>
      <w:r>
        <w:t xml:space="preserve">– Přednastavená filtrace, dostupná pro uživatele s oprávněním archeolog a výše, která zobrazuje záznamy vytvořené všemi uživateli stejné organizace jako je organizace přihlášeného uživatele.</w:t>
      </w:r>
    </w:p>
    <w:p>
      <w:pPr>
        <w:pStyle w:val="FirstParagraph"/>
      </w:pPr>
      <w:r>
        <w:t xml:space="preserve">V případě Projektů pak karty obsahují další přednastavené filtrace, které vedou k projektům v daných</w:t>
      </w:r>
      <w:r>
        <w:t xml:space="preserve"> </w:t>
      </w:r>
      <w:hyperlink r:id="rId35">
        <w:r>
          <w:rPr>
            <w:rStyle w:val="Hyperlink"/>
          </w:rPr>
          <w:t xml:space="preserve">procesních stavech</w:t>
        </w:r>
      </w:hyperlink>
      <w:r>
        <w:t xml:space="preserve">, které v danou chvíli může uživatel editovat, tj. nejčastěji k projektům uživatelovy organizace.</w:t>
      </w:r>
    </w:p>
    <w:p>
      <w:pPr>
        <w:pStyle w:val="BodyText"/>
      </w:pPr>
      <w:r>
        <w:drawing>
          <wp:inline>
            <wp:extent cx="5334000" cy="170014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figs/gui-proj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výběr-a-filtrace-záznamů"/>
    <w:p>
      <w:pPr>
        <w:pStyle w:val="Heading3"/>
      </w:pPr>
      <w:r>
        <w:t xml:space="preserve">Výběr a filtrace záznamů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obsahuje tabulku všech záznamů ve zvolené kategorii.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Filtr</w:t>
      </w:r>
      <w:r>
        <w:t xml:space="preserve"> </w:t>
      </w:r>
      <w:r>
        <w:t xml:space="preserve">je možné v záznamech pomocí široké škály kritérií filtrovat.</w:t>
      </w:r>
      <w:r>
        <w:t xml:space="preserve"> </w:t>
      </w:r>
      <w:r>
        <w:t xml:space="preserve">Některá z polí filtrace obsahují rozbalovací nabídky s položkami heslářů, ve kterých lze zpravidla vybrat více než jednu možnost.</w:t>
      </w:r>
      <w:r>
        <w:t xml:space="preserve"> </w:t>
      </w:r>
      <w:r>
        <w:t xml:space="preserve">Tabulku se seznamem záznamů lze pak pomocí tlačítka</w:t>
      </w:r>
      <w:r>
        <w:t xml:space="preserve"> </w:t>
      </w:r>
      <w:r>
        <w:rPr>
          <w:rStyle w:val="VerbatimChar"/>
        </w:rPr>
        <w:t xml:space="preserve">Export výběru</w:t>
      </w:r>
      <w:r>
        <w:t xml:space="preserve"> </w:t>
      </w:r>
      <w:r>
        <w:t xml:space="preserve">v horní liště vpravo exportovat do souborů formátů</w:t>
      </w:r>
      <w:r>
        <w:t xml:space="preserve"> </w:t>
      </w:r>
      <w:r>
        <w:rPr>
          <w:i/>
          <w:iCs/>
        </w:rPr>
        <w:t xml:space="preserve">.csv</w:t>
      </w:r>
      <w:r>
        <w:t xml:space="preserve">,</w:t>
      </w:r>
      <w:r>
        <w:t xml:space="preserve"> </w:t>
      </w:r>
      <w:r>
        <w:rPr>
          <w:i/>
          <w:iCs/>
        </w:rPr>
        <w:t xml:space="preserve">.json</w:t>
      </w:r>
      <w:r>
        <w:t xml:space="preserve"> </w:t>
      </w:r>
      <w:r>
        <w:t xml:space="preserve">a</w:t>
      </w:r>
      <w:r>
        <w:t xml:space="preserve"> </w:t>
      </w:r>
      <w:r>
        <w:rPr>
          <w:i/>
          <w:iCs/>
        </w:rPr>
        <w:t xml:space="preserve">.xlsx</w:t>
      </w:r>
      <w:r>
        <w:t xml:space="preserve">.</w:t>
      </w:r>
      <w:r>
        <w:t xml:space="preserve"> </w:t>
      </w:r>
      <w:r>
        <w:t xml:space="preserve">Po kliknutí na identifikátor konkrétního záznamu v tabulce přejde aplikace na daný záznam.</w:t>
      </w:r>
      <w:r>
        <w:t xml:space="preserve"> </w:t>
      </w:r>
      <w:r>
        <w:t xml:space="preserve">Výhodou práce v prohlížeči je možnost otevřít takových záznamů více na nových kartách (případně v nových oknech) prohlížeče a operativně se pak vrátit k seznamu s již vyfiltrovanými záznamy.</w:t>
      </w:r>
    </w:p>
    <w:p>
      <w:pPr>
        <w:pStyle w:val="BodyText"/>
      </w:pPr>
      <w:r>
        <w:drawing>
          <wp:inline>
            <wp:extent cx="5334000" cy="259681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figs/gui-filtr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9" w:name="detail-konkrétního-záznamu"/>
    <w:p>
      <w:pPr>
        <w:pStyle w:val="Heading3"/>
      </w:pPr>
      <w:r>
        <w:t xml:space="preserve">Detail konkrétního záznamu</w:t>
      </w:r>
    </w:p>
    <w:p>
      <w:pPr>
        <w:pStyle w:val="FirstParagraph"/>
      </w:pPr>
      <w:r>
        <w:t xml:space="preserve">Okno aplikace s konkrétním záznamem vždy v horní liště obsahuje identifikátor daného záznamu.</w:t>
      </w:r>
      <w:r>
        <w:t xml:space="preserve"> </w:t>
      </w:r>
      <w:r>
        <w:t xml:space="preserve">Pod ním se nachází pruh s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daného záznamu.</w:t>
      </w:r>
      <w:r>
        <w:t xml:space="preserve"> </w:t>
      </w:r>
      <w:r>
        <w:t xml:space="preserve">Aktuální procesní stav je vždy zvýrazněn barvou dle daného modulu AMČR a pod ukazateli procesních stavů, kterými již záznam prošel, je datum, kdy k poslední změně daného stavu došlo.</w:t>
      </w:r>
      <w:r>
        <w:t xml:space="preserve"> </w:t>
      </w:r>
      <w:r>
        <w:t xml:space="preserve">V horní liště záznamu jsou pak tlačítka umožňující právě přechody mezi jednotlivými procesními stavy.</w:t>
      </w:r>
      <w:r>
        <w:t xml:space="preserve"> </w:t>
      </w:r>
      <w:r>
        <w:t xml:space="preserve">Tato tlačítka závisí na kontextu a</w:t>
      </w:r>
      <w:r>
        <w:t xml:space="preserve"> </w:t>
      </w:r>
      <w:hyperlink r:id="rId24">
        <w:r>
          <w:rPr>
            <w:rStyle w:val="Hyperlink"/>
          </w:rPr>
          <w:t xml:space="preserve">roli</w:t>
        </w:r>
      </w:hyperlink>
      <w:r>
        <w:t xml:space="preserve"> </w:t>
      </w:r>
      <w:r>
        <w:t xml:space="preserve">přihlášeného uživatele.</w:t>
      </w:r>
      <w:r>
        <w:t xml:space="preserve"> </w:t>
      </w:r>
      <w:r>
        <w:t xml:space="preserve">V nabídce</w:t>
      </w:r>
      <w:r>
        <w:t xml:space="preserve"> </w:t>
      </w:r>
      <w:r>
        <w:rPr>
          <w:rStyle w:val="VerbatimChar"/>
        </w:rPr>
        <w:t xml:space="preserve">Další volby</w:t>
      </w:r>
      <w:r>
        <w:t xml:space="preserve"> </w:t>
      </w:r>
      <w:r>
        <w:t xml:space="preserve">lze zobrazit historii daného záznamu, přejít na daný záznam (jde-li o archivovaný záznam) v</w:t>
      </w:r>
      <w:r>
        <w:t xml:space="preserve"> </w:t>
      </w:r>
      <w:hyperlink r:id="rId44">
        <w:r>
          <w:rPr>
            <w:rStyle w:val="Hyperlink"/>
          </w:rPr>
          <w:t xml:space="preserve">Digitálním archivu AMČR</w:t>
        </w:r>
      </w:hyperlink>
      <w:r>
        <w:t xml:space="preserve"> </w:t>
      </w:r>
      <w:r>
        <w:t xml:space="preserve">a</w:t>
      </w:r>
      <w:r>
        <w:t xml:space="preserve"> </w:t>
      </w:r>
      <w:hyperlink r:id="rId45">
        <w:r>
          <w:rPr>
            <w:rStyle w:val="Hyperlink"/>
          </w:rPr>
          <w:t xml:space="preserve">AMČR API</w:t>
        </w:r>
      </w:hyperlink>
      <w:r>
        <w:t xml:space="preserve"> </w:t>
      </w:r>
      <w:r>
        <w:t xml:space="preserve">a případně stáhnout metadata daného záznamu ve formátu</w:t>
      </w:r>
      <w:r>
        <w:t xml:space="preserve"> </w:t>
      </w:r>
      <w:r>
        <w:rPr>
          <w:i/>
          <w:iCs/>
        </w:rPr>
        <w:t xml:space="preserve">.xml</w:t>
      </w:r>
      <w:r>
        <w:t xml:space="preserve">.</w:t>
      </w:r>
    </w:p>
    <w:p>
      <w:pPr>
        <w:pStyle w:val="BodyText"/>
      </w:pPr>
      <w:r>
        <w:t xml:space="preserve">Úpravy jednotlivých sekcí na stránce daného záznamu lze povolit pomocí ikony tužky</w:t>
      </w:r>
      <w:r>
        <w:t xml:space="preserve"> </w:t>
      </w:r>
      <w:r>
        <w:t xml:space="preserve"> </w:t>
      </w:r>
      <w:r>
        <w:t xml:space="preserve">v pravém horním rohu dané sekce.</w:t>
      </w:r>
      <w:r>
        <w:t xml:space="preserve"> </w:t>
      </w:r>
      <w:r>
        <w:t xml:space="preserve">Po povolení úprav se zobrazí konkrétní upravovaná sekce daného záznamu, kdy pole označená za popiskem hvězdičkou, jsou povinná.</w:t>
      </w:r>
      <w:r>
        <w:t xml:space="preserve"> </w:t>
      </w:r>
      <w:r>
        <w:t xml:space="preserve">Pole ohraničená žlutě je pak nutné vyplnit pro posun do dalšího procesního stavu.</w:t>
      </w:r>
    </w:p>
    <w:p>
      <w:pPr>
        <w:pStyle w:val="BodyText"/>
      </w:pPr>
      <w:r>
        <w:drawing>
          <wp:inline>
            <wp:extent cx="5334000" cy="127624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figs/gui-stavy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přechody-mezi-procesními-stavy"/>
    <w:p>
      <w:pPr>
        <w:pStyle w:val="Heading3"/>
      </w:pPr>
      <w:r>
        <w:t xml:space="preserve">Přechody mezi procesními stavy</w:t>
      </w:r>
    </w:p>
    <w:p>
      <w:pPr>
        <w:pStyle w:val="FirstParagraph"/>
      </w:pPr>
      <w:r>
        <w:t xml:space="preserve">Přechody mezi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záznamů je třeba potvrdit ve vyskakovacích oknech, která se nad záznamem objeví při vyvolání přechodu pomocí patřičného tlačítka v horní liště záznamu.</w:t>
      </w:r>
      <w:r>
        <w:t xml:space="preserve"> </w:t>
      </w:r>
      <w:r>
        <w:t xml:space="preserve">Pole ohraničená žlutou barvou je nutné pro potvrzení přechodu do nového procesního stavu vyplnit.</w:t>
      </w:r>
    </w:p>
    <w:p>
      <w:pPr>
        <w:pStyle w:val="BodyText"/>
      </w:pPr>
      <w:r>
        <w:drawing>
          <wp:inline>
            <wp:extent cx="5334000" cy="1327717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gs/gui-prihlasit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28" Target="media/rId28.png" /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Webová aplikace</dc:title>
  <dc:creator/>
  <dc:language>cs</dc:language>
  <cp:keywords/>
  <dcterms:created xsi:type="dcterms:W3CDTF">2024-07-28T21:20:56Z</dcterms:created>
  <dcterms:modified xsi:type="dcterms:W3CDTF">2024-07-28T21:20:56Z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Obecný popis vzhledu a fungování webové aplikace AMČR</vt:lpwstr>
  </property>
  <property fmtid="{D5CDD505-2E9C-101B-9397-08002B2CF9AE}" pid="12" name="toc-title">
    <vt:lpwstr>Na této stránce…</vt:lpwstr>
  </property>
</Properties>
</file>