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6.png" ContentType="image/png"/>
  <Override PartName="/word/media/rId44.png" ContentType="image/png"/>
  <Override PartName="/word/media/rId3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Zásady</w:t>
      </w:r>
      <w:r>
        <w:t xml:space="preserve"> </w:t>
      </w:r>
      <w:r>
        <w:t xml:space="preserve">evidence</w:t>
      </w:r>
    </w:p>
    <w:p>
      <w:pPr>
        <w:pStyle w:val="Subtitle"/>
      </w:pPr>
      <w:r>
        <w:t xml:space="preserve">Zásady</w:t>
      </w:r>
      <w:r>
        <w:t xml:space="preserve"> </w:t>
      </w:r>
      <w:r>
        <w:t xml:space="preserve">evidence</w:t>
      </w:r>
      <w:r>
        <w:t xml:space="preserve"> </w:t>
      </w:r>
      <w:r>
        <w:t xml:space="preserve">nemovitých</w:t>
      </w:r>
      <w:r>
        <w:t xml:space="preserve"> </w:t>
      </w:r>
      <w:r>
        <w:t xml:space="preserve">archeologických</w:t>
      </w:r>
      <w:r>
        <w:t xml:space="preserve"> </w:t>
      </w:r>
      <w:r>
        <w:t xml:space="preserve">památek</w:t>
      </w:r>
      <w:r>
        <w:t xml:space="preserve"> </w:t>
      </w:r>
      <w:r>
        <w:t xml:space="preserve">(lokalit)</w:t>
      </w:r>
    </w:p>
    <w:p>
      <w:pPr>
        <w:pStyle w:val="Author"/>
      </w:pPr>
      <w:r>
        <w:t xml:space="preserve">Martin</w:t>
      </w:r>
      <w:r>
        <w:t xml:space="preserve"> </w:t>
      </w:r>
      <w:r>
        <w:t xml:space="preserve">Kuna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Date"/>
      </w:pPr>
      <w:r>
        <w:t xml:space="preserve">21.</w:t>
      </w:r>
      <w:r>
        <w:t xml:space="preserve"> </w:t>
      </w:r>
      <w:r>
        <w:t xml:space="preserve">10.</w:t>
      </w:r>
      <w:r>
        <w:t xml:space="preserve"> </w:t>
      </w:r>
      <w:r>
        <w:t xml:space="preserve">2020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 Kuna, M a Novák, D.</w:t>
            </w:r>
            <w:r>
              <w:t xml:space="preserve"> </w:t>
            </w:r>
            <w:r>
              <w:t xml:space="preserve">(2020)</w:t>
            </w:r>
            <w:r>
              <w:t xml:space="preserve">:</w:t>
            </w:r>
            <w:r>
              <w:t xml:space="preserve"> </w:t>
            </w:r>
            <w:r>
              <w:rPr>
                <w:i/>
                <w:iCs/>
              </w:rPr>
              <w:t xml:space="preserve">Zásady evidence</w:t>
            </w:r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 xml:space="preserve">“</w:t>
            </w:r>
            <w:r>
              <w:rPr>
                <w:i/>
                <w:iCs/>
              </w:rPr>
              <w:t xml:space="preserve">nemovitých</w:t>
            </w:r>
            <w:r>
              <w:rPr>
                <w:i/>
                <w:iCs/>
              </w:rPr>
              <w:t xml:space="preserve">”</w:t>
            </w:r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 xml:space="preserve">lokalit v AMČR</w:t>
            </w:r>
            <w:r>
              <w:t xml:space="preserve"> </w:t>
            </w:r>
            <w:r>
              <w:t xml:space="preserve">na Zenodo pod DOI: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10.5281/zenodo.4113964</w:t>
              </w:r>
            </w:hyperlink>
          </w:p>
        </w:tc>
      </w:tr>
    </w:tbl>
    <w:bookmarkStart w:id="30" w:name="pojem-lokalita"/>
    <w:p>
      <w:pPr>
        <w:pStyle w:val="Heading2"/>
      </w:pPr>
      <w:r>
        <w:t xml:space="preserve">Pojem lokalita</w:t>
      </w:r>
    </w:p>
    <w:p>
      <w:pPr>
        <w:pStyle w:val="FirstParagraph"/>
      </w:pPr>
      <w:r>
        <w:t xml:space="preserve">Jádrem AMČR jsou záznamy dvou typů:</w:t>
      </w:r>
      <w:r>
        <w:t xml:space="preserve"> </w:t>
      </w:r>
      <w:hyperlink r:id="rId24">
        <w:r>
          <w:rPr>
            <w:rStyle w:val="Hyperlink"/>
          </w:rPr>
          <w:t xml:space="preserve">archeologické akce</w:t>
        </w:r>
      </w:hyperlink>
      <w:r>
        <w:t xml:space="preserve"> </w:t>
      </w:r>
      <w:r>
        <w:t xml:space="preserve">a (archeologické)</w:t>
      </w:r>
      <w:r>
        <w:t xml:space="preserve"> </w:t>
      </w:r>
      <w:hyperlink r:id="rId25">
        <w:r>
          <w:rPr>
            <w:rStyle w:val="Hyperlink"/>
          </w:rPr>
          <w:t xml:space="preserve">lokality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Archeologická akce</w:t>
      </w:r>
      <w:r>
        <w:t xml:space="preserve"> </w:t>
      </w:r>
      <w:r>
        <w:t xml:space="preserve">je soubor archeologických nálezů a pozorování odpovídající určitému místu (prostorovému vymezení), původci (osobě, organizaci), době provedení a použité metodě výzkumu.</w:t>
      </w:r>
    </w:p>
    <w:p>
      <w:pPr>
        <w:pStyle w:val="BodyText"/>
      </w:pPr>
      <w:r>
        <w:rPr>
          <w:b/>
          <w:bCs/>
        </w:rPr>
        <w:t xml:space="preserve">Lokalita</w:t>
      </w:r>
      <w:r>
        <w:t xml:space="preserve"> </w:t>
      </w:r>
      <w:r>
        <w:t xml:space="preserve">je soubor archeologických nálezů a pozorování odpovídající určitému místu (prostorovému vymezení), charakteristickému archeologickému projevu a předpokládané funkční souvislosti v minulosti.</w:t>
      </w:r>
    </w:p>
    <w:p>
      <w:pPr>
        <w:pStyle w:val="BodyText"/>
      </w:pPr>
      <w:r>
        <w:rPr>
          <w:i/>
          <w:iCs/>
        </w:rPr>
        <w:t xml:space="preserve">Lokalitou</w:t>
      </w:r>
      <w:r>
        <w:t xml:space="preserve"> </w:t>
      </w:r>
      <w:r>
        <w:t xml:space="preserve">v principu může být jakýkoli archeologický nález nebo skupina nálezů odpovídající výše uvedené definici (tedy i jeden střep).</w:t>
      </w:r>
      <w:r>
        <w:t xml:space="preserve"> </w:t>
      </w:r>
      <w:r>
        <w:rPr>
          <w:b/>
          <w:bCs/>
        </w:rPr>
        <w:t xml:space="preserve">Mezi akcí a lokalitou není primární rozdíl v obecnosti nebo věcném obsahu, ale v organizaci informací (struktuře dat).</w:t>
      </w:r>
      <w:r>
        <w:t xml:space="preserve"> </w:t>
      </w:r>
      <w:r>
        <w:t xml:space="preserve">Zatímco pro vymezení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je rozhodující archeologická výzkumná aktivita, pro vymezení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forma archeologického záznamu (projevu).</w:t>
      </w:r>
      <w:r>
        <w:t xml:space="preserve"> </w:t>
      </w:r>
      <w:r>
        <w:t xml:space="preserve">Mezi oběma kategoriemi jsou v principu vztahy N:N (které však systematicky neevidujeme – vyplývají z prostorového uspořádání). Reprezentaci akcí a lokalit v AMČR vyjadřuje</w:t>
      </w:r>
      <w:r>
        <w:t xml:space="preserve"> </w:t>
      </w:r>
      <w:hyperlink w:anchor="fig-lok-dj">
        <w:r>
          <w:rPr>
            <w:rStyle w:val="Hyperlink"/>
          </w:rPr>
          <w:t xml:space="preserve">Obr. 1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9" w:name="fig-lok-dj"/>
          <w:p>
            <w:pPr>
              <w:pStyle w:val="Compact"/>
              <w:jc w:val="center"/>
            </w:pPr>
            <w:r>
              <w:drawing>
                <wp:inline>
                  <wp:extent cx="5334000" cy="3011129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figs/lok-dj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0111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Dokumentační jednotka a komponenta vůči projektové akci, samostatné akci a lokalitě</w:t>
            </w:r>
          </w:p>
          <w:bookmarkEnd w:id="29"/>
        </w:tc>
      </w:tr>
    </w:tbl>
    <w:p>
      <w:pPr>
        <w:pStyle w:val="BodyText"/>
      </w:pPr>
      <w:r>
        <w:t xml:space="preserve">V praxi AMČR dbáme na to, aby principy evidence byly aplikovány účelně a jednotlivé kategorie záznamů se doplňovaly. Proto u každého nálezu a pozorování zvažujeme, zda ho budeme evidovat jako akci, lokalitu nebo obojí.</w:t>
      </w:r>
      <w:r>
        <w:t xml:space="preserve"> </w:t>
      </w:r>
      <w:r>
        <w:t xml:space="preserve">Přitom dbáme na to, aby:</w:t>
      </w:r>
    </w:p>
    <w:p>
      <w:pPr>
        <w:pStyle w:val="Compact"/>
        <w:numPr>
          <w:ilvl w:val="0"/>
          <w:numId w:val="1001"/>
        </w:numPr>
      </w:pPr>
      <w:r>
        <w:t xml:space="preserve">nevznikaly redundantní informace;</w:t>
      </w:r>
    </w:p>
    <w:p>
      <w:pPr>
        <w:pStyle w:val="Compact"/>
        <w:numPr>
          <w:ilvl w:val="0"/>
          <w:numId w:val="1001"/>
        </w:numPr>
      </w:pPr>
      <w:r>
        <w:t xml:space="preserve">nedocházelo ke ztrátě informací a</w:t>
      </w:r>
    </w:p>
    <w:p>
      <w:pPr>
        <w:pStyle w:val="Compact"/>
        <w:numPr>
          <w:ilvl w:val="0"/>
          <w:numId w:val="1001"/>
        </w:numPr>
      </w:pPr>
      <w:r>
        <w:t xml:space="preserve">jednotky evidence byly aplikovány jen na soubory dat, pro které jsou vhodné.</w:t>
      </w:r>
    </w:p>
    <w:p>
      <w:pPr>
        <w:pStyle w:val="FirstParagraph"/>
      </w:pPr>
      <w:r>
        <w:t xml:space="preserve">Pro pochopení obsahu pojmů akce a lokalita je důležité ještě podotknout, že existují i archeologické nálezy/pozorování, které nelze efektivně zachytit ani jedním z obou pojmů (např. síť zaniklých cest v krajině aj.); tento problém bude třeba v dohledné době řešit jiným způsobem (viz níže).</w:t>
      </w:r>
    </w:p>
    <w:bookmarkEnd w:id="30"/>
    <w:bookmarkStart w:id="33" w:name="principy-evidence-lokalit"/>
    <w:p>
      <w:pPr>
        <w:pStyle w:val="Heading2"/>
      </w:pPr>
      <w:r>
        <w:t xml:space="preserve">Principy evidence lokalit</w:t>
      </w:r>
    </w:p>
    <w:p>
      <w:pPr>
        <w:pStyle w:val="Compact"/>
        <w:numPr>
          <w:ilvl w:val="0"/>
          <w:numId w:val="1002"/>
        </w:numPr>
      </w:pPr>
      <w:r>
        <w:t xml:space="preserve">Jako</w:t>
      </w:r>
      <w:r>
        <w:t xml:space="preserve"> </w:t>
      </w:r>
      <w:r>
        <w:rPr>
          <w:i/>
          <w:iCs/>
        </w:rPr>
        <w:t xml:space="preserve">lokalitu</w:t>
      </w:r>
      <w:r>
        <w:t xml:space="preserve"> </w:t>
      </w:r>
      <w:r>
        <w:t xml:space="preserve">evidujeme zejména soubory nálezů a pozorování, jejichž souvislost je dána specifickým krajinným prvkem (valy, mohyly, terénní konfigurace). Z podstaty věci proto jde často o informace získané nedestruktivním terénním průzkumem.</w:t>
      </w:r>
    </w:p>
    <w:p>
      <w:pPr>
        <w:pStyle w:val="Compact"/>
        <w:numPr>
          <w:ilvl w:val="0"/>
          <w:numId w:val="1002"/>
        </w:numPr>
      </w:pPr>
      <w:r>
        <w:t xml:space="preserve">Vytvoření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na základě destruktivního výzkumu nevylučujeme, pokud takový záznam o souboru informací představuje (ve srovnání se záznamy o jednotlivých akcích) novou kvalitu, spočívající zejména v definici určitého celku (např. ohrazeného areálu, jinak nezjistitelného).</w:t>
      </w:r>
    </w:p>
    <w:p>
      <w:pPr>
        <w:pStyle w:val="Compact"/>
        <w:numPr>
          <w:ilvl w:val="0"/>
          <w:numId w:val="1002"/>
        </w:numPr>
      </w:pPr>
      <w:r>
        <w:t xml:space="preserve">Pokud z takové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pocházejí movité nálezy, jejich soubory vždy primárně evidujeme jako</w:t>
      </w:r>
      <w:r>
        <w:t xml:space="preserve"> </w:t>
      </w:r>
      <w:r>
        <w:rPr>
          <w:i/>
          <w:iCs/>
        </w:rPr>
        <w:t xml:space="preserve">akce</w:t>
      </w:r>
      <w:r>
        <w:t xml:space="preserve">, a to s maximálně přesným prostorovým a věcným vymezením. Naopak, pokud k tomu není zvláštní důvod, opakovaná nedestruktivní pozorování bez nálezů jako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neevidujeme (jednotlivé snímky, návštěvy lokality apod.).</w:t>
      </w:r>
    </w:p>
    <w:p>
      <w:pPr>
        <w:pStyle w:val="Compact"/>
        <w:numPr>
          <w:ilvl w:val="0"/>
          <w:numId w:val="1002"/>
        </w:numPr>
      </w:pPr>
      <w:r>
        <w:t xml:space="preserve">Popis</w:t>
      </w:r>
      <w:r>
        <w:t xml:space="preserve"> </w:t>
      </w:r>
      <w:hyperlink r:id="rId31">
        <w:r>
          <w:rPr>
            <w:rStyle w:val="Hyperlink"/>
          </w:rPr>
          <w:t xml:space="preserve">komponent</w:t>
        </w:r>
      </w:hyperlink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chápeme jako pomocnou informaci, která může být částečně redundantní vzhledem k evidenci akcí. Jedním z úkolu do budoucna může být systematická aktualizace popisu komponent lokalit podle komponent akcí.</w:t>
      </w:r>
    </w:p>
    <w:p>
      <w:pPr>
        <w:pStyle w:val="Compact"/>
        <w:numPr>
          <w:ilvl w:val="0"/>
          <w:numId w:val="1002"/>
        </w:numPr>
      </w:pPr>
      <w:r>
        <w:t xml:space="preserve">Jsme si vědomi arbitrárnosti výběru a popisu komponent</w:t>
      </w:r>
      <w:r>
        <w:t xml:space="preserve"> </w:t>
      </w:r>
      <w:r>
        <w:rPr>
          <w:i/>
          <w:iCs/>
        </w:rPr>
        <w:t xml:space="preserve">lokality</w:t>
      </w:r>
      <w:r>
        <w:t xml:space="preserve">. Za určitých okolností lze hradiště jako</w:t>
      </w:r>
      <w:r>
        <w:t xml:space="preserve"> </w:t>
      </w:r>
      <w:r>
        <w:rPr>
          <w:i/>
          <w:iCs/>
        </w:rPr>
        <w:t xml:space="preserve">lokalitu</w:t>
      </w:r>
      <w:r>
        <w:t xml:space="preserve"> </w:t>
      </w:r>
      <w:r>
        <w:t xml:space="preserve">zařadit do doby bronzové, i když pro to není žádná opora v movitých nálezech, nebo k této</w:t>
      </w:r>
      <w:r>
        <w:t xml:space="preserve"> </w:t>
      </w:r>
      <w:r>
        <w:rPr>
          <w:i/>
          <w:iCs/>
        </w:rPr>
        <w:t xml:space="preserve">lokalitě</w:t>
      </w:r>
      <w:r>
        <w:t xml:space="preserve"> </w:t>
      </w:r>
      <w:r>
        <w:t xml:space="preserve">přiřadit jako komponentu eneolitický depot, pokud jsme přesvědčeni, že opevnění v době bronzové navázalo na starší účel místa. Toto pojetí bude v budoucnu třeba rozpracovat s využitím aktuální teorie archeologie (zejména konceptu</w:t>
      </w:r>
      <w:r>
        <w:t xml:space="preserve"> </w:t>
      </w:r>
      <w:r>
        <w:rPr>
          <w:i/>
          <w:iCs/>
        </w:rPr>
        <w:t xml:space="preserve">assemblage</w:t>
      </w:r>
      <w:r>
        <w:t xml:space="preserve">).</w:t>
      </w:r>
    </w:p>
    <w:p>
      <w:pPr>
        <w:pStyle w:val="Compact"/>
        <w:numPr>
          <w:ilvl w:val="0"/>
          <w:numId w:val="1002"/>
        </w:numPr>
      </w:pPr>
      <w:r>
        <w:t xml:space="preserve">Naproti tomu nálezy, které považujeme za nesouvisející a/nebo nálezy s odlišným archeologickým projevem, evidujeme jako různé</w:t>
      </w:r>
      <w:r>
        <w:t xml:space="preserve"> </w:t>
      </w:r>
      <w:r>
        <w:rPr>
          <w:i/>
          <w:iCs/>
        </w:rPr>
        <w:t xml:space="preserve">lokality</w:t>
      </w:r>
      <w:r>
        <w:t xml:space="preserve">, i když jsou na stejném místě (typicky třeba hrad na hradišti).</w:t>
      </w:r>
    </w:p>
    <w:p>
      <w:pPr>
        <w:pStyle w:val="Compact"/>
        <w:numPr>
          <w:ilvl w:val="0"/>
          <w:numId w:val="1002"/>
        </w:numPr>
      </w:pPr>
      <w:r>
        <w:rPr>
          <w:i/>
          <w:iCs/>
        </w:rPr>
        <w:t xml:space="preserve">Lokality</w:t>
      </w:r>
      <w:r>
        <w:t xml:space="preserve"> </w:t>
      </w:r>
      <w:r>
        <w:t xml:space="preserve">mohou mít hierarchickou povahu (samostatně evidujeme např. celou zaniklou vesnici a zároveň i tvrz či kostel v ní zahrnutý). Takový postup je analyticky výhodný. V budoucnu bude dopracována metodika členění</w:t>
      </w:r>
      <w:r>
        <w:t xml:space="preserve"> </w:t>
      </w:r>
      <w:r>
        <w:rPr>
          <w:i/>
          <w:iCs/>
        </w:rPr>
        <w:t xml:space="preserve">lokalit</w:t>
      </w:r>
      <w:r>
        <w:t xml:space="preserve"> </w:t>
      </w:r>
      <w:r>
        <w:t xml:space="preserve">na části (např. hradiště &gt; akropole, předhradí) a evidence jejich podoby v různých obdobích (srov. různý rozsah hradiště Závist v pozdní době bronzové, v době halštatské a jako oppida). V principu existují dva postupy, z nichž jeden považuje za primární hledisko logickou prostorovou součást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a k ní přiřazuje období, druhý postup to činí naopak, tedy k danému chronologickému celku přiřazuje relevantní prostorové vymezení.</w:t>
      </w:r>
    </w:p>
    <w:p>
      <w:pPr>
        <w:pStyle w:val="Compact"/>
        <w:numPr>
          <w:ilvl w:val="0"/>
          <w:numId w:val="1002"/>
        </w:numPr>
      </w:pPr>
      <w:r>
        <w:t xml:space="preserve">Samostatné depoty a podobné druhy nálezů s movitým obsahem jsou systematicky evidovány jako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(mají původce a dobu nálezu, i když je třeba neznáme), třebaže svým způsobem mají charakter</w:t>
      </w:r>
      <w:r>
        <w:t xml:space="preserve"> </w:t>
      </w:r>
      <w:r>
        <w:rPr>
          <w:i/>
          <w:iCs/>
        </w:rPr>
        <w:t xml:space="preserve">lokalit</w:t>
      </w:r>
      <w:r>
        <w:t xml:space="preserve">. Mohou však vystupovat i jako komponenty dílčích</w:t>
      </w:r>
      <w:r>
        <w:t xml:space="preserve"> </w:t>
      </w:r>
      <w:r>
        <w:rPr>
          <w:i/>
          <w:iCs/>
        </w:rPr>
        <w:t xml:space="preserve">lokalit</w:t>
      </w:r>
      <w:r>
        <w:t xml:space="preserve"> </w:t>
      </w:r>
      <w:r>
        <w:t xml:space="preserve">(např. depot v rámci mohylníku); i v tomto bodě nás čeká dopracování metodiky.</w:t>
      </w:r>
    </w:p>
    <w:bookmarkStart w:id="32" w:name="co-neděláme"/>
    <w:p>
      <w:pPr>
        <w:pStyle w:val="Heading4"/>
      </w:pPr>
      <w:r>
        <w:t xml:space="preserve">Co neděláme</w:t>
      </w:r>
    </w:p>
    <w:p>
      <w:pPr>
        <w:numPr>
          <w:ilvl w:val="0"/>
          <w:numId w:val="1003"/>
        </w:numPr>
      </w:pPr>
      <w:r>
        <w:rPr>
          <w:i/>
          <w:iCs/>
        </w:rPr>
        <w:t xml:space="preserve">Lokalitou</w:t>
      </w:r>
      <w:r>
        <w:t xml:space="preserve"> </w:t>
      </w:r>
      <w:r>
        <w:t xml:space="preserve">je i každý soubor komponent</w:t>
      </w:r>
      <w:r>
        <w:t xml:space="preserve"> </w:t>
      </w:r>
      <w:r>
        <w:rPr>
          <w:i/>
          <w:iCs/>
        </w:rPr>
        <w:t xml:space="preserve">akcí</w:t>
      </w:r>
      <w:r>
        <w:t xml:space="preserve"> </w:t>
      </w:r>
      <w:r>
        <w:t xml:space="preserve">vázaný k určitému místu (např. sídliště knovízské kultury). Tyto soubory v AMČR jako lokality přesto neevidujeme, protože jejich vymezení:</w:t>
      </w:r>
    </w:p>
    <w:p>
      <w:pPr>
        <w:pStyle w:val="Compact"/>
        <w:numPr>
          <w:ilvl w:val="1"/>
          <w:numId w:val="1004"/>
        </w:numPr>
      </w:pPr>
      <w:r>
        <w:t xml:space="preserve">se průběžně mění s přibýváním archeologických akcí a</w:t>
      </w:r>
    </w:p>
    <w:p>
      <w:pPr>
        <w:pStyle w:val="Compact"/>
        <w:numPr>
          <w:ilvl w:val="1"/>
          <w:numId w:val="1004"/>
        </w:numPr>
      </w:pPr>
      <w:r>
        <w:t xml:space="preserve">nepřináší žádnou novou informaci (za předpokladu řádně vedené evidence akcí).</w:t>
      </w:r>
    </w:p>
    <w:p>
      <w:pPr>
        <w:numPr>
          <w:ilvl w:val="0"/>
          <w:numId w:val="1003"/>
        </w:numPr>
      </w:pPr>
      <w:r>
        <w:t xml:space="preserve">Jako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neevidujeme úseky krajiny s archeologickými nálezy, které nelze jednoznačně členit na místa (prostorově diskrétní, přiměřeně velké a rámcově ohraničené prostorové celky) a spojovat podle předpokládané souvislosti v minulosti.</w:t>
      </w:r>
      <w:r>
        <w:t xml:space="preserve"> </w:t>
      </w:r>
      <w:r>
        <w:t xml:space="preserve">Z toho plyne důležitý závěr: ne všechny archeologické nálezy lze evidovat v pojmech</w:t>
      </w:r>
      <w:r>
        <w:t xml:space="preserve"> </w:t>
      </w:r>
      <w:r>
        <w:rPr>
          <w:i/>
          <w:iCs/>
        </w:rPr>
        <w:t xml:space="preserve">akcí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lokalit</w:t>
      </w:r>
      <w:r>
        <w:t xml:space="preserve">; v budoucnu budeme muset uvažovat o dalších kategoriích, zejména pro evidenci výsledků dálkového průzkumu.</w:t>
      </w:r>
    </w:p>
    <w:p>
      <w:pPr>
        <w:numPr>
          <w:ilvl w:val="0"/>
          <w:numId w:val="1003"/>
        </w:numPr>
      </w:pPr>
      <w:r>
        <w:t xml:space="preserve">O</w:t>
      </w:r>
      <w:r>
        <w:t xml:space="preserve"> </w:t>
      </w:r>
      <w:r>
        <w:rPr>
          <w:i/>
          <w:iCs/>
        </w:rPr>
        <w:t xml:space="preserve">lokalitách</w:t>
      </w:r>
      <w:r>
        <w:t xml:space="preserve"> </w:t>
      </w:r>
      <w:r>
        <w:t xml:space="preserve">neuvažujeme jako o jednotkách minulé reality. Jsou to celky pramenů, které se sice mohou některým aspektům minulosti blížit (předpoklad souvislosti), ale nemusejí.</w:t>
      </w:r>
    </w:p>
    <w:bookmarkEnd w:id="32"/>
    <w:bookmarkEnd w:id="33"/>
    <w:bookmarkStart w:id="49" w:name="databáze-nemovitých-lokalit"/>
    <w:p>
      <w:pPr>
        <w:pStyle w:val="Heading2"/>
      </w:pPr>
      <w:r>
        <w:t xml:space="preserve">Databáze</w:t>
      </w:r>
      <w:r>
        <w:t xml:space="preserve"> </w:t>
      </w:r>
      <w:r>
        <w:rPr>
          <w:i/>
          <w:iCs/>
        </w:rPr>
        <w:t xml:space="preserve">nemovitých</w:t>
      </w:r>
      <w:r>
        <w:t xml:space="preserve"> </w:t>
      </w:r>
      <w:r>
        <w:t xml:space="preserve">lokalit</w:t>
      </w:r>
    </w:p>
    <w:p>
      <w:pPr>
        <w:pStyle w:val="FirstParagraph"/>
      </w:pPr>
      <w:r>
        <w:t xml:space="preserve">K dlouhodobé evidenci lokalit primárně slouží AMČR.</w:t>
      </w:r>
      <w:r>
        <w:t xml:space="preserve"> </w:t>
      </w:r>
      <w:r>
        <w:rPr>
          <w:b/>
          <w:bCs/>
        </w:rPr>
        <w:t xml:space="preserve">Tam lokality evidujeme a vkládáme nikoli ad hoc jednotlivě, ale jako ucelené celky s jasným původem, způsobem výběru a metodikou sběru dat.</w:t>
      </w:r>
      <w:r>
        <w:t xml:space="preserve"> </w:t>
      </w:r>
      <w:r>
        <w:t xml:space="preserve">Jednotlivé celky jsou z pravidla tvořeny lokalitami stejného charakteru (např. pravěká a raně středověká ohrazení; mohylová pohřebiště; jeskyně s lidskou aktivitou; polygony leteckého průzkumu), který je uveden jako základní</w:t>
      </w:r>
      <w:r>
        <w:t xml:space="preserve"> </w:t>
      </w:r>
      <w:r>
        <w:rPr>
          <w:i/>
          <w:iCs/>
        </w:rPr>
        <w:t xml:space="preserve">druh lokality</w:t>
      </w:r>
      <w:r>
        <w:t xml:space="preserve">.</w:t>
      </w:r>
      <w:r>
        <w:t xml:space="preserve"> </w:t>
      </w:r>
      <w:r>
        <w:t xml:space="preserve">Tento praktický (pragmatický) aspekt evidence lokalit je důležitý k pochopení našeho přístupu.</w:t>
      </w:r>
      <w:r>
        <w:t xml:space="preserve"> </w:t>
      </w:r>
      <w:r>
        <w:t xml:space="preserve">Rozlišujeme tři</w:t>
      </w:r>
      <w:r>
        <w:t xml:space="preserve"> </w:t>
      </w:r>
      <w:r>
        <w:rPr>
          <w:b/>
          <w:bCs/>
        </w:rPr>
        <w:t xml:space="preserve">typy lokalit</w:t>
      </w:r>
      <w:r>
        <w:t xml:space="preserve">: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L</w:t>
      </w:r>
      <w:r>
        <w:t xml:space="preserve"> </w:t>
      </w:r>
      <w:r>
        <w:t xml:space="preserve">(</w:t>
      </w:r>
      <w:r>
        <w:rPr>
          <w:b/>
          <w:bCs/>
        </w:rPr>
        <w:t xml:space="preserve">letecké</w:t>
      </w:r>
      <w:r>
        <w:t xml:space="preserve">) – archeologické objekty a jejich shluky identifikované při dálkovém průzkumu – pro evidenci lokalit tohoto typu existuje samostatná metodika připravená pro projekt</w:t>
      </w:r>
      <w:r>
        <w:t xml:space="preserve"> </w:t>
      </w:r>
      <w:r>
        <w:rPr>
          <w:i/>
          <w:iCs/>
        </w:rPr>
        <w:t xml:space="preserve">Archeologie z nebe</w:t>
      </w:r>
      <w:r>
        <w:t xml:space="preserve">, viz</w:t>
      </w:r>
      <w:r>
        <w:t xml:space="preserve"> </w:t>
      </w:r>
      <w:r>
        <w:t xml:space="preserve">Gojda et al. (2022)</w:t>
      </w:r>
      <w:r>
        <w:t xml:space="preserve">;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(</w:t>
      </w:r>
      <w:r>
        <w:rPr>
          <w:b/>
          <w:bCs/>
        </w:rPr>
        <w:t xml:space="preserve">nemovité</w:t>
      </w:r>
      <w:r>
        <w:t xml:space="preserve">) – lokality tvořené funkčně, chronologicky a prostorově ucelenými areály, které lze označit za dílčí nemovité památky uchované v dnešní krajině. Jde o (víceméně) arbitrární celky vzniklé za účelem evidence, které zpravidla minulou realitu odráží jen částečně, neboť postrádají vnitřní dynamiku a jednoznačnou interpretaci účelu;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K</w:t>
      </w:r>
      <w:r>
        <w:t xml:space="preserve"> </w:t>
      </w:r>
      <w:r>
        <w:t xml:space="preserve">(</w:t>
      </w:r>
      <w:r>
        <w:rPr>
          <w:b/>
          <w:bCs/>
        </w:rPr>
        <w:t xml:space="preserve">krajina</w:t>
      </w:r>
      <w:r>
        <w:t xml:space="preserve">) – doplňková kategorie lokalit prostorově definovaných s přesností na katastrální území; slouží zejména k přiřazování prostorové informace dokumentaci, jejíž archeologická hodnota je nízká, nebo přesné prostorové vymezení popisovaného obsahu není možné.</w:t>
      </w:r>
    </w:p>
    <w:p>
      <w:pPr>
        <w:pStyle w:val="FirstParagraph"/>
      </w:pPr>
      <w:r>
        <w:t xml:space="preserve">Těmto typům pak odpovídají dílčí</w:t>
      </w:r>
      <w:r>
        <w:t xml:space="preserve"> </w:t>
      </w:r>
      <w:r>
        <w:rPr>
          <w:b/>
          <w:bCs/>
        </w:rPr>
        <w:t xml:space="preserve">druhy lokalit</w:t>
      </w:r>
      <w:r>
        <w:t xml:space="preserve">.</w:t>
      </w:r>
      <w:r>
        <w:t xml:space="preserve"> </w:t>
      </w:r>
      <w:r>
        <w:t xml:space="preserve">Heslář druhů lokalit je otevřený k doplňování a druhy do něj budou přidávány tak, jak budou vznikat jednotlivé datové bloky lokalit (viz výše zmíněný</w:t>
      </w:r>
      <w:r>
        <w:t xml:space="preserve"> </w:t>
      </w:r>
      <w:r>
        <w:rPr>
          <w:i/>
          <w:iCs/>
        </w:rPr>
        <w:t xml:space="preserve">pragmatický</w:t>
      </w:r>
      <w:r>
        <w:t xml:space="preserve"> </w:t>
      </w:r>
      <w:r>
        <w:t xml:space="preserve">přístup k evidenci), viz</w:t>
      </w:r>
      <w:r>
        <w:t xml:space="preserve"> </w:t>
      </w:r>
      <w:hyperlink w:anchor="tbl-lok-typy">
        <w:r>
          <w:rPr>
            <w:rStyle w:val="Hyperlink"/>
          </w:rPr>
          <w:t xml:space="preserve">Tab. 1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4" w:name="tbl-lok-typy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Tab. 1: Typy a druhy lokalit</w:t>
            </w:r>
          </w:p>
          <w:tbl>
            <w:tblPr>
              <w:tblStyle w:val="Table"/>
              <w:tblW w:type="pct" w:w="4905"/>
              <w:tblLayout w:type="fixed"/>
              <w:tblLook w:firstRow="1" w:lastRow="0" w:firstColumn="0" w:lastColumn="0" w:noHBand="0" w:noVBand="0" w:val="0020"/>
            </w:tblPr>
            <w:tblGrid>
              <w:gridCol w:w="1131"/>
              <w:gridCol w:w="2640"/>
              <w:gridCol w:w="2790"/>
              <w:gridCol w:w="1206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Typ lokality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Druh obecný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Druh konkrétní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L</w:t>
                  </w:r>
                  <w:r>
                    <w:t xml:space="preserve"> </w:t>
                  </w:r>
                  <w:r>
                    <w:t xml:space="preserve">letecká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polygon archeologického průzkumu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6"/>
                    </w:numPr>
                    <w:jc w:val="left"/>
                    <w:jc w:val="center"/>
                  </w:pPr>
                  <w:r>
                    <w:t xml:space="preserve">polygon leteckého průzkumu</w:t>
                  </w:r>
                </w:p>
              </w:tc>
              <w:tc>
                <w:tcPr>
                  <w:vMerge w:val="restart"/>
                </w:tcPr>
                <w:p>
                  <w:pPr>
                    <w:pStyle w:val="Compact"/>
                    <w:jc w:val="left"/>
                    <w:jc w:val="center"/>
                  </w:pPr>
                  <w:r>
                    <w:t xml:space="preserve">Vlastní PIAN</w:t>
                  </w:r>
                </w:p>
              </w:tc>
            </w:tr>
            <w:tr>
              <w:tc>
                <w:tcPr>
                  <w:vMerge w:val="restart"/>
                </w:tcPr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N</w:t>
                  </w:r>
                  <w:r>
                    <w:t xml:space="preserve"> </w:t>
                  </w:r>
                  <w:r>
                    <w:t xml:space="preserve">nemovitá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přírodní útvar</w:t>
                  </w:r>
                  <w:r>
                    <w:t xml:space="preserve"> </w:t>
                  </w:r>
                  <w:r>
                    <w:t xml:space="preserve">s lidskou aktivitou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7"/>
                    </w:numPr>
                    <w:jc w:val="left"/>
                    <w:jc w:val="center"/>
                  </w:pPr>
                  <w:r>
                    <w:t xml:space="preserve">jeskyně/skalní prostor</w:t>
                  </w:r>
                </w:p>
              </w:tc>
              <w:tc>
                <w:tcPr>
                  <w:gridSpan w:val="1"/>
                  <w:vMerge w:val="continue"/>
                </w:tcPr>
                <w:p>
                  <w:pPr/>
                </w:p>
              </w:tc>
            </w:tr>
            <w:tr>
              <w:tc>
                <w:tcPr>
                  <w:gridSpan w:val="1"/>
                  <w:vMerge w:val="continue"/>
                </w:tcPr>
                <w:p>
                  <w:pPr/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zaniklý/historický areál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mohylové pohřebiště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pravěké/raně středověké ohrazení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středověké/novověké sídlo elity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těžěbní areál</w:t>
                  </w:r>
                </w:p>
              </w:tc>
              <w:tc>
                <w:tcPr>
                  <w:gridSpan w:val="1"/>
                  <w:vMerge w:val="continue"/>
                </w:tcPr>
                <w:p>
                  <w:pPr/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K</w:t>
                  </w:r>
                  <w:r>
                    <w:t xml:space="preserve"> </w:t>
                  </w:r>
                  <w:r>
                    <w:t xml:space="preserve">krajina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krajina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krajina</w:t>
                  </w:r>
                </w:p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památník/pomník</w:t>
                  </w:r>
                </w:p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muzeum/skanzen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 katastru</w:t>
                  </w:r>
                </w:p>
              </w:tc>
            </w:tr>
          </w:tbl>
          <w:bookmarkEnd w:id="34"/>
          <w:p/>
        </w:tc>
      </w:tr>
    </w:tbl>
    <w:bookmarkStart w:id="35" w:name="zásady-evidence-nemovitých-lokalit-typ-n"/>
    <w:p>
      <w:pPr>
        <w:pStyle w:val="Heading4"/>
      </w:pPr>
      <w:r>
        <w:t xml:space="preserve">Zásady evidence</w:t>
      </w:r>
      <w:r>
        <w:t xml:space="preserve"> </w:t>
      </w:r>
      <w:r>
        <w:rPr>
          <w:i/>
          <w:iCs/>
        </w:rPr>
        <w:t xml:space="preserve">nemovitých</w:t>
      </w:r>
      <w:r>
        <w:t xml:space="preserve"> </w:t>
      </w:r>
      <w:r>
        <w:t xml:space="preserve">lokalit (typ</w:t>
      </w:r>
      <w:r>
        <w:t xml:space="preserve"> </w:t>
      </w:r>
      <w:r>
        <w:rPr>
          <w:b/>
          <w:bCs/>
        </w:rPr>
        <w:t xml:space="preserve">N</w:t>
      </w:r>
      <w:r>
        <w:t xml:space="preserve">)</w:t>
      </w:r>
    </w:p>
    <w:p>
      <w:pPr>
        <w:pStyle w:val="Compact"/>
        <w:numPr>
          <w:ilvl w:val="0"/>
          <w:numId w:val="1010"/>
        </w:numPr>
      </w:pPr>
      <w:r>
        <w:t xml:space="preserve">Pro každý druh lokality existuje kromě autoritní evidence v AMČR také pomocná databáze, která slouží ke sběru dat a přípravě datových bloků k importu.</w:t>
      </w:r>
      <w:r>
        <w:t xml:space="preserve"> </w:t>
      </w:r>
      <w:r>
        <w:t xml:space="preserve">Tato databáze má jednotnou formu odpovídající datové struktuře AMČR a je obvykle spravována zvlášť pro Čechy (působnost ARÚ Praha) a zvlášť pro Moravu a Slezsko (působnost ARÚ Brno).</w:t>
      </w:r>
      <w:r>
        <w:t xml:space="preserve"> </w:t>
      </w:r>
      <w:r>
        <w:t xml:space="preserve">Údaje ukládané nad rámec datové struktury AMČR jsou prioritně vyčleněny do samostatné tabulky</w:t>
      </w:r>
      <w:r>
        <w:rPr>
          <w:rStyle w:val="VerbatimChar"/>
        </w:rPr>
        <w:t xml:space="preserve">LOKALITA_detaily</w:t>
      </w:r>
      <w:r>
        <w:t xml:space="preserve">.</w:t>
      </w:r>
      <w:r>
        <w:t xml:space="preserve"> </w:t>
      </w:r>
      <w:r>
        <w:t xml:space="preserve">Jakékoli zásahy do struktury databáze či heslářů jsou přípustné pouze po konzultaci se správcem databáze.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Hlavním účelem pomocné databáze je přiřadit každé lokalitě jednoznačné číselné označení (pracovní ID)</w:t>
      </w:r>
      <w:r>
        <w:t xml:space="preserve">, které lze používat při sběru dat a vyhodnocení, zda má být lokalita zařazena do finálního datového souboru v AMČR nebo nikoli.</w:t>
      </w:r>
      <w:r>
        <w:t xml:space="preserve"> </w:t>
      </w:r>
      <w:r>
        <w:t xml:space="preserve">Do pomocné databáze jsou obvykle zapisovány všechny potenciální lokality sledovaného druhu.</w:t>
      </w:r>
      <w:r>
        <w:t xml:space="preserve"> </w:t>
      </w:r>
      <w:r>
        <w:t xml:space="preserve">Dlouhodobým cílem je v AMČR podchytit všechny lokality ve sledovaných kategoriích.</w:t>
      </w:r>
      <w:r>
        <w:t xml:space="preserve"> </w:t>
      </w:r>
      <w:r>
        <w:t xml:space="preserve">Při vstupu do AMČR každá lokalita získá svůj definitivní trvalý identifikátor, který lze používat k jejímu jednoznačnému označení (např. při citaci, při další evidenci apod.).</w:t>
      </w:r>
    </w:p>
    <w:p>
      <w:pPr>
        <w:pStyle w:val="Compact"/>
        <w:numPr>
          <w:ilvl w:val="0"/>
          <w:numId w:val="1010"/>
        </w:numPr>
      </w:pPr>
      <w:r>
        <w:t xml:space="preserve">Mezi evidovanými lokalitami se mohou nacházet i lokality nejisté, domnělé či pseudolokality tradované v literatuře.</w:t>
      </w:r>
      <w:r>
        <w:t xml:space="preserve"> </w:t>
      </w:r>
      <w:r>
        <w:t xml:space="preserve">Jejich evidence je žádoucí nejen z metodických důvodů, kdy skutečnou povahu lokality můžeme často vyhodnotit až zpětně po čase a projití více zdrojů, ale také proto, aby se tradované chyby dále nešířily a mohly být výhledově v AMČR evidovány vč. relevantních argumentů.</w:t>
      </w:r>
    </w:p>
    <w:p>
      <w:pPr>
        <w:pStyle w:val="Compact"/>
        <w:numPr>
          <w:ilvl w:val="0"/>
          <w:numId w:val="1010"/>
        </w:numPr>
      </w:pPr>
      <w:r>
        <w:t xml:space="preserve">V pomocné databázi lze evidovat jednotlivé lokality, s nimi související bibliografii/zdroje a případně též archivní dokumenty, které je zachycují a mají být vloženy do AMČR (zejména fotky a plány).</w:t>
      </w:r>
      <w:r>
        <w:t xml:space="preserve"> </w:t>
      </w:r>
      <w:r>
        <w:t xml:space="preserve">Tomu odpovídají tři samostatné formuláře (</w:t>
      </w:r>
      <w:r>
        <w:rPr>
          <w:rStyle w:val="VerbatimChar"/>
        </w:rPr>
        <w:t xml:space="preserve">Lokality_popis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Externi_zdroj_popis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Dokumenty_popis</w:t>
      </w:r>
      <w:r>
        <w:t xml:space="preserve">).</w:t>
      </w:r>
    </w:p>
    <w:p>
      <w:pPr>
        <w:pStyle w:val="Compact"/>
        <w:numPr>
          <w:ilvl w:val="0"/>
          <w:numId w:val="1010"/>
        </w:numPr>
      </w:pPr>
      <w:r>
        <w:t xml:space="preserve">Přidání nové lokality se provádí vždy v přímo v tabulce</w:t>
      </w:r>
      <w:r>
        <w:t xml:space="preserve"> </w:t>
      </w:r>
      <w:r>
        <w:rPr>
          <w:rStyle w:val="VerbatimChar"/>
        </w:rPr>
        <w:t xml:space="preserve">LOKALITA</w:t>
      </w:r>
      <w:r>
        <w:t xml:space="preserve">, a to přidáním řádky s požadovaným pracovním ID.</w:t>
      </w:r>
      <w:r>
        <w:t xml:space="preserve"> </w:t>
      </w:r>
      <w:r>
        <w:rPr>
          <w:b/>
          <w:bCs/>
        </w:rPr>
        <w:t xml:space="preserve">Pracovní ID záměrně není přidělováno automaticky</w:t>
      </w:r>
      <w:r>
        <w:t xml:space="preserve">, aby byla zachována plná kontrola nad volbou správného ID zvláště pro ty případy, kdy existuje více kopií databáze.</w:t>
      </w:r>
      <w:r>
        <w:t xml:space="preserve"> </w:t>
      </w:r>
      <w:r>
        <w:t xml:space="preserve">Nová pracovní ID by měla být přidělována vždy po konzultaci s relevantním správcem databáze lokality na ARÚP/ARÚB, který stanoví</w:t>
      </w:r>
      <w:r>
        <w:t xml:space="preserve"> </w:t>
      </w:r>
      <w:r>
        <w:rPr>
          <w:b/>
          <w:bCs/>
        </w:rPr>
        <w:t xml:space="preserve">rozsah přidělovaných čísel</w:t>
      </w:r>
      <w:r>
        <w:t xml:space="preserve">.</w:t>
      </w:r>
      <w:r>
        <w:t xml:space="preserve"> </w:t>
      </w:r>
      <w:r>
        <w:t xml:space="preserve">Musí být zajištěno, že ID jsou přidělována jako unikátní pro každý jednotlivý druh lokalit v rámci Čech/Moravy a Slezska.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V názvu databáze je vhodné zachovat datum verze struktury databáze</w:t>
      </w:r>
      <w:r>
        <w:t xml:space="preserve"> </w:t>
      </w:r>
      <w:r>
        <w:t xml:space="preserve">a nezaměňovat jej od data poslední změny jejího obsahu.</w:t>
      </w:r>
      <w:r>
        <w:t xml:space="preserve"> </w:t>
      </w:r>
      <w:r>
        <w:t xml:space="preserve">Zároveň by z názvu měl být patrný druh lokalit, kterého se databáze dotýká (např.</w:t>
      </w:r>
      <w:r>
        <w:t xml:space="preserve"> </w:t>
      </w:r>
      <w:r>
        <w:rPr>
          <w:rStyle w:val="VerbatimChar"/>
        </w:rPr>
        <w:t xml:space="preserve">lokality_200703_mohylniky_200710.accdb</w:t>
      </w:r>
      <w:r>
        <w:t xml:space="preserve">).</w:t>
      </w:r>
      <w:r>
        <w:t xml:space="preserve"> </w:t>
      </w:r>
      <w:r>
        <w:t xml:space="preserve">Databázi je vhodné pravidelně zálohovat a při vzniku více verzí s různými datovými bloky zajistit pravidelné sloučení do jedné harmonizované autoritní verze. Každá databáze by měla mít svého správce, který za její strukturu a správnost obsahu odpovídá.</w:t>
      </w:r>
      <w:r>
        <w:t xml:space="preserve"> </w:t>
      </w:r>
      <w:r>
        <w:t xml:space="preserve">Obdobně je třeba postupovat při správě souvisejících prostorových dat v GIS.</w:t>
      </w:r>
    </w:p>
    <w:bookmarkEnd w:id="35"/>
    <w:bookmarkStart w:id="43" w:name="popis-lokalit-ve-formuláři"/>
    <w:p>
      <w:pPr>
        <w:pStyle w:val="Heading3"/>
      </w:pPr>
      <w:r>
        <w:t xml:space="preserve">Popis lokalit ve formuláři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9" w:name="fig-lok-dtb"/>
          <w:p>
            <w:pPr>
              <w:pStyle w:val="Compact"/>
              <w:jc w:val="center"/>
            </w:pPr>
            <w:r>
              <w:drawing>
                <wp:inline>
                  <wp:extent cx="3786044" cy="2948098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figs/lok-dtb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6044" cy="294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Formulář pro popis lokality</w:t>
            </w:r>
          </w:p>
          <w:bookmarkEnd w:id="39"/>
        </w:tc>
      </w:tr>
    </w:tbl>
    <w:p>
      <w:pPr>
        <w:pStyle w:val="BodyText"/>
      </w:pPr>
      <w:r>
        <w:t xml:space="preserve">Základní údaje o lokalitě: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Stav zprac.</w:t>
      </w:r>
      <w:r>
        <w:t xml:space="preserve"> </w:t>
      </w:r>
      <w:r>
        <w:t xml:space="preserve">Slouží k zachycení aktuálního stavu zpracování záznamu.</w:t>
      </w:r>
      <w:r>
        <w:t xml:space="preserve"> </w:t>
      </w:r>
      <w:r>
        <w:t xml:space="preserve">Obsah by se měl řídit metodikou definovanou správcem databáze.</w:t>
      </w:r>
      <w:r>
        <w:t xml:space="preserve"> </w:t>
      </w:r>
      <w:r>
        <w:t xml:space="preserve">Pro odlišení stavu zpracování obvykle užíváme alfanumerické kódy.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Pozn. zprac.</w:t>
      </w:r>
      <w:r>
        <w:t xml:space="preserve"> </w:t>
      </w:r>
      <w:r>
        <w:t xml:space="preserve">Umožňuje vložit poznámku ve vztahu ke zpracování záznamu.</w:t>
      </w:r>
      <w:r>
        <w:t xml:space="preserve"> </w:t>
      </w:r>
      <w:r>
        <w:t xml:space="preserve">Je vhodné poznámky co nejvíce standardizovat tak, aby náročnost jejich dalšího vyhodnocení byla co nejnižší.</w:t>
      </w:r>
      <w:r>
        <w:t xml:space="preserve"> </w:t>
      </w:r>
      <w:r>
        <w:t xml:space="preserve">Není vhodné vkládat zbytné informace zřetelné z jiných částí záznamu.</w:t>
      </w:r>
      <w:r>
        <w:t xml:space="preserve"> </w:t>
      </w:r>
      <w:r>
        <w:t xml:space="preserve">Údaj nebude součástí dat v AMČR (neplést s polem</w:t>
      </w:r>
      <w:r>
        <w:t xml:space="preserve"> </w:t>
      </w:r>
      <w:r>
        <w:rPr>
          <w:rStyle w:val="VerbatimChar"/>
        </w:rPr>
        <w:t xml:space="preserve">Poznámka</w:t>
      </w:r>
      <w:r>
        <w:t xml:space="preserve">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</w:t>
      </w:r>
      <w:r>
        <w:t xml:space="preserve"> </w:t>
      </w:r>
      <w:r>
        <w:t xml:space="preserve">Pracovní ID záznamu. Ve formuláři nelze editovat.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ident-cely</w:t>
      </w:r>
      <w:r>
        <w:t xml:space="preserve"> </w:t>
      </w:r>
      <w:r>
        <w:t xml:space="preserve">Skutečné ID lokality v AMČR, pokud již bylo přiděleno.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AMCR</w:t>
      </w:r>
      <w:r>
        <w:t xml:space="preserve"> </w:t>
      </w:r>
      <w:r>
        <w:t xml:space="preserve">Pomocná informace o importu dat do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Uživ. označení</w:t>
      </w:r>
      <w:r>
        <w:t xml:space="preserve"> </w:t>
      </w:r>
      <w:r>
        <w:t xml:space="preserve">Zažité označení lokality užívané v jiných zdrojích.</w:t>
      </w:r>
      <w:r>
        <w:t xml:space="preserve"> </w:t>
      </w:r>
      <w:r>
        <w:t xml:space="preserve">Uvádíme ve formátu: „označení (citace zdroje)“ (např. „A043 (Beneš et al. 1999)“.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Katastr</w:t>
      </w:r>
      <w:r>
        <w:t xml:space="preserve"> </w:t>
      </w:r>
      <w:r>
        <w:t xml:space="preserve">Katastr, na kterém se lokalita nachází.</w:t>
      </w:r>
      <w:r>
        <w:t xml:space="preserve"> </w:t>
      </w:r>
      <w:r>
        <w:t xml:space="preserve">Uvádíme pouze hlavní katastr pro lepší orientaci.</w:t>
      </w:r>
      <w:r>
        <w:t xml:space="preserve"> </w:t>
      </w:r>
      <w:r>
        <w:t xml:space="preserve">Skutečná příslušnost ke katastru či více katastrům bude před importem do AMČR ověřena podle vymezení lokality v GIS.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 AMČR</w:t>
      </w:r>
      <w:r>
        <w:t xml:space="preserve"> </w:t>
      </w:r>
      <w:r>
        <w:t xml:space="preserve">ID PIAN přiřazeného k lokalitě v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</w:t>
      </w:r>
      <w:r>
        <w:t xml:space="preserve"> </w:t>
      </w:r>
      <w:r>
        <w:t xml:space="preserve">Pracovní ID PIAN přiřazeného k lokalitě.</w:t>
      </w:r>
      <w:r>
        <w:t xml:space="preserve"> </w:t>
      </w:r>
      <w:r>
        <w:t xml:space="preserve">Jedná se o pomocné pole – k jednoznačnému provázání databáze a GIS slouží vždy pracovní ID lokality, nikoli toto pole. Zpravidla vyplňuje správce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Druh lokality</w:t>
      </w:r>
      <w:r>
        <w:t xml:space="preserve"> </w:t>
      </w:r>
      <w:r>
        <w:t xml:space="preserve">Z principu jednotný pro všechny záznamy v rámci jedné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Název</w:t>
      </w:r>
      <w:r>
        <w:t xml:space="preserve"> </w:t>
      </w:r>
      <w:r>
        <w:t xml:space="preserve">Nejužívanější název lokality a jeho případné alternativy.</w:t>
      </w:r>
      <w:r>
        <w:t xml:space="preserve"> </w:t>
      </w:r>
      <w:r>
        <w:t xml:space="preserve">Hlavním kritériem volby názvu je jednoznačnost, vyhledatelnost a soulad s užívanými názvy.</w:t>
      </w:r>
      <w:r>
        <w:t xml:space="preserve"> </w:t>
      </w:r>
      <w:r>
        <w:t xml:space="preserve">Název by měl být rámcově konstruován podle následujících pravidel:</w:t>
      </w:r>
    </w:p>
    <w:p>
      <w:pPr>
        <w:pStyle w:val="Compact"/>
        <w:numPr>
          <w:ilvl w:val="1"/>
          <w:numId w:val="1012"/>
        </w:numPr>
      </w:pPr>
      <w:r>
        <w:t xml:space="preserve">Na prvním místě uvést</w:t>
      </w:r>
      <w:r>
        <w:t xml:space="preserve"> </w:t>
      </w:r>
      <w:r>
        <w:rPr>
          <w:b/>
          <w:bCs/>
        </w:rPr>
        <w:t xml:space="preserve">název katastru či související obce</w:t>
      </w:r>
      <w:r>
        <w:t xml:space="preserve"> </w:t>
      </w:r>
      <w:r>
        <w:t xml:space="preserve">zkrácený na základní tvar (např. „Bělá pod Bezdězem“ -&gt; „Bělá“); celý název katastru je uváděn samostatně v jiném poli.</w:t>
      </w:r>
      <w:r>
        <w:t xml:space="preserve"> </w:t>
      </w:r>
      <w:r>
        <w:t xml:space="preserve">Název obce užíváme zejména v případech, kdy se na katastru nachází více samostatných obcí nebo pokud je užití názvu katastru z jiného důvodu nevhodné.</w:t>
      </w:r>
      <w:r>
        <w:t xml:space="preserve"> </w:t>
      </w:r>
      <w:r>
        <w:t xml:space="preserve">V případě dvou běžně užívaných alternativ lze druhý uvést v závorce.</w:t>
      </w:r>
    </w:p>
    <w:p>
      <w:pPr>
        <w:pStyle w:val="Compact"/>
        <w:numPr>
          <w:ilvl w:val="1"/>
          <w:numId w:val="1012"/>
        </w:numPr>
      </w:pPr>
      <w:r>
        <w:t xml:space="preserve">Za pomlčkou uvést</w:t>
      </w:r>
      <w:r>
        <w:t xml:space="preserve"> </w:t>
      </w:r>
      <w:r>
        <w:rPr>
          <w:b/>
          <w:bCs/>
        </w:rPr>
        <w:t xml:space="preserve">vlastní název lokality</w:t>
      </w:r>
      <w:r>
        <w:t xml:space="preserve"> </w:t>
      </w:r>
      <w:r>
        <w:t xml:space="preserve">(typické pro hrady, zaniklé vsi, jeskyně apod.; např. „Újezd nad Lesy – Hol“) nebo</w:t>
      </w:r>
      <w:r>
        <w:t xml:space="preserve"> </w:t>
      </w:r>
      <w:r>
        <w:rPr>
          <w:b/>
          <w:bCs/>
        </w:rPr>
        <w:t xml:space="preserve">pomístní jméno / název trati</w:t>
      </w:r>
      <w:r>
        <w:t xml:space="preserve"> </w:t>
      </w:r>
      <w:r>
        <w:t xml:space="preserve">(typické pro mohylníky, hradiště apod.; např. „Březí – Velký les“).</w:t>
      </w:r>
    </w:p>
    <w:p>
      <w:pPr>
        <w:pStyle w:val="Compact"/>
        <w:numPr>
          <w:ilvl w:val="1"/>
          <w:numId w:val="1012"/>
        </w:numPr>
      </w:pPr>
      <w:r>
        <w:t xml:space="preserve">Pokud neexistuje jiné jednoznačné označení (pomístní či traťové jméno) nebo pokud se v jednom místě nachází více lokalit stejného druhu nebo pokud je takové označení v literatuře zavedeno, lze doplnit za název lokality</w:t>
      </w:r>
      <w:r>
        <w:t xml:space="preserve"> </w:t>
      </w:r>
      <w:r>
        <w:rPr>
          <w:b/>
          <w:bCs/>
        </w:rPr>
        <w:t xml:space="preserve">číslovku</w:t>
      </w:r>
      <w:r>
        <w:t xml:space="preserve"> </w:t>
      </w:r>
      <w:r>
        <w:t xml:space="preserve">(např. „Bělá 1“ či „Březí – Velký les 1“).</w:t>
      </w:r>
    </w:p>
    <w:p>
      <w:pPr>
        <w:pStyle w:val="Compact"/>
        <w:numPr>
          <w:ilvl w:val="1"/>
          <w:numId w:val="1012"/>
        </w:numPr>
      </w:pPr>
      <w:r>
        <w:t xml:space="preserve">Název uvést vždy</w:t>
      </w:r>
      <w:r>
        <w:t xml:space="preserve"> </w:t>
      </w:r>
      <w:r>
        <w:rPr>
          <w:b/>
          <w:bCs/>
        </w:rPr>
        <w:t xml:space="preserve">bez označení kategorie lokality</w:t>
      </w:r>
      <w:r>
        <w:t xml:space="preserve"> </w:t>
      </w:r>
      <w:r>
        <w:t xml:space="preserve">(např. „Valečov“, nikoli „Hrad Valečov“ nebo „Valečov – hrad“), kromě případů, kdy je označení přímou součástí obvyklého názvu (např. „Hradčany – Pražský hrad“).</w:t>
      </w:r>
    </w:p>
    <w:p>
      <w:pPr>
        <w:pStyle w:val="Compact"/>
        <w:numPr>
          <w:ilvl w:val="1"/>
          <w:numId w:val="1012"/>
        </w:numPr>
      </w:pPr>
      <w:r>
        <w:t xml:space="preserve">Pokud existují obecně užívané</w:t>
      </w:r>
      <w:r>
        <w:t xml:space="preserve"> </w:t>
      </w:r>
      <w:r>
        <w:rPr>
          <w:b/>
          <w:bCs/>
        </w:rPr>
        <w:t xml:space="preserve">alternativní názvy</w:t>
      </w:r>
      <w:r>
        <w:t xml:space="preserve">, lze je uvést na příslušném místě do závorky (např.: „Bělá – Klokočský hrádek (Předhradí, Dřevolyzy)“).</w:t>
      </w:r>
      <w:r>
        <w:t xml:space="preserve"> </w:t>
      </w:r>
      <w:r>
        <w:t xml:space="preserve">To platí i pro běžně užívané alternativní katastry a obce (např.: „Lhota (Dolní Břežany) – Závist“).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Popis</w:t>
      </w:r>
      <w:r>
        <w:t xml:space="preserve"> </w:t>
      </w:r>
      <w:r>
        <w:t xml:space="preserve">Stručná charakteristika lokality, jejího umístění, podoby, stavu dochování, její stávající interpretace, význačných nálezů či výzkumů a zajímavostí s ní spojených.</w:t>
      </w:r>
      <w:r>
        <w:t xml:space="preserve"> </w:t>
      </w:r>
      <w:r>
        <w:t xml:space="preserve">Popis by měl být tvořen konzistentně (tj. s údaji standardně řazenými a stejně podrobnými) v rámci daného druhu lokalit.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Poznámka</w:t>
      </w:r>
      <w:r>
        <w:t xml:space="preserve"> </w:t>
      </w:r>
      <w:r>
        <w:t xml:space="preserve">Alternativní názvy neobsažené v poli název, informace evidenčního charakteru, poznámky k informacím uvedeným v ostatních polích (nejistoty, problémy s prostorovým vymezením) apod.</w:t>
      </w:r>
      <w:r>
        <w:t xml:space="preserve"> </w:t>
      </w:r>
      <w:r>
        <w:t xml:space="preserve">Toto pole se stane součástí záznamu v AMČR (nezaměňovat s poznámkou ke zpracování!).</w:t>
      </w:r>
    </w:p>
    <w:bookmarkStart w:id="40" w:name="komponenty-a-nálezy"/>
    <w:p>
      <w:pPr>
        <w:pStyle w:val="Heading4"/>
      </w:pPr>
      <w:r>
        <w:t xml:space="preserve">Komponenty a nálezy</w:t>
      </w:r>
    </w:p>
    <w:p>
      <w:pPr>
        <w:pStyle w:val="FirstParagraph"/>
      </w:pPr>
      <w:r>
        <w:t xml:space="preserve">V tabulce komponent uvádíme výčet všech chronologických a funkčních komponent přímo souvisejících s lokalitou.</w:t>
      </w:r>
      <w:r>
        <w:t xml:space="preserve"> </w:t>
      </w:r>
      <w:r>
        <w:t xml:space="preserve">Vyplněna musí být vždy pole: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Období</w:t>
      </w:r>
      <w:r>
        <w:t xml:space="preserve"> </w:t>
      </w:r>
      <w:r>
        <w:t xml:space="preserve">– nejistotu lze vyjádřit užitím obecnějšího hesla, nebo uvedením otazníku do pole</w:t>
      </w:r>
      <w:r>
        <w:t xml:space="preserve"> </w:t>
      </w:r>
      <w:r>
        <w:rPr>
          <w:i/>
          <w:iCs/>
        </w:rPr>
        <w:t xml:space="preserve">jistota</w:t>
      </w:r>
      <w:r>
        <w:t xml:space="preserve">; přesnější dataci lze uvést do pole</w:t>
      </w:r>
      <w:r>
        <w:t xml:space="preserve"> </w:t>
      </w:r>
      <w:r>
        <w:rPr>
          <w:rStyle w:val="VerbatimChar"/>
        </w:rPr>
        <w:t xml:space="preserve">presna_datace</w:t>
      </w:r>
      <w:r>
        <w:t xml:space="preserve">.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Areál</w:t>
      </w:r>
      <w:r>
        <w:t xml:space="preserve"> </w:t>
      </w:r>
      <w:r>
        <w:t xml:space="preserve">– uvádíme areál skutečně související s danou komponentou; v rámci jedné lokality může být identifikováno více typů areálů v různých komponentách.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Aktivity</w:t>
      </w:r>
      <w:r>
        <w:t xml:space="preserve"> </w:t>
      </w:r>
      <w:r>
        <w:t xml:space="preserve">– zaškrtnou v souladu se zvoleným areálem a převažující interpretací.</w:t>
      </w:r>
    </w:p>
    <w:p>
      <w:pPr>
        <w:pStyle w:val="FirstParagraph"/>
      </w:pPr>
      <w:r>
        <w:t xml:space="preserve">Do pole poznámka lze uvést další informace a zajímavosti dotýkající se příslušné komponenty.</w:t>
      </w:r>
      <w:r>
        <w:t xml:space="preserve"> </w:t>
      </w:r>
      <w:r>
        <w:t xml:space="preserve">Ke komponentě lze (po rozkliknutí pomocí</w:t>
      </w:r>
      <w:r>
        <w:t xml:space="preserve"> </w:t>
      </w:r>
      <w:r>
        <w:rPr>
          <w:rStyle w:val="VerbatimChar"/>
        </w:rPr>
        <w:t xml:space="preserve">+</w:t>
      </w:r>
      <w:r>
        <w:t xml:space="preserve">) uvést signifikantní objekty identifikované v jejím rámci (např. zachovalé příkopy a valy hradišť; mohylové náspy mohylníků vč. jejich počtů apod.).</w:t>
      </w:r>
      <w:r>
        <w:t xml:space="preserve"> </w:t>
      </w:r>
      <w:r>
        <w:t xml:space="preserve">U komponenty zpravidla neuvádíme movité nálezy.</w:t>
      </w:r>
      <w:r>
        <w:t xml:space="preserve"> </w:t>
      </w:r>
      <w:r>
        <w:t xml:space="preserve">Vždy preferujeme co nejlépe strukturovaný zápis před zápisem do poznámky komponenty.</w:t>
      </w:r>
    </w:p>
    <w:bookmarkEnd w:id="40"/>
    <w:bookmarkStart w:id="41" w:name="specifické-údaje-o-lokalitě"/>
    <w:p>
      <w:pPr>
        <w:pStyle w:val="Heading4"/>
      </w:pPr>
      <w:r>
        <w:t xml:space="preserve">Specifické údaje o lokalitě</w:t>
      </w:r>
    </w:p>
    <w:p>
      <w:pPr>
        <w:pStyle w:val="FirstParagraph"/>
      </w:pPr>
      <w:r>
        <w:t xml:space="preserve">Tato část formuláře obsahuje data, která prozatím nejsou obsažena v datové struktuře AMČR, avšak jsou potřebná z evidenčního hlediska.</w:t>
      </w:r>
      <w:r>
        <w:t xml:space="preserve"> </w:t>
      </w:r>
      <w:r>
        <w:t xml:space="preserve">V budoucnu může dojít k rozšíření datového modelu AMČR tak, aby některá základní pole byla v AMČR přímo zahrnuta (zejména jistota a zachovalost lokality).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Kategorie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Jistota</w:t>
      </w:r>
      <w:r>
        <w:t xml:space="preserve"> </w:t>
      </w:r>
      <w:r>
        <w:t xml:space="preserve">Bližší</w:t>
      </w:r>
      <w:r>
        <w:t xml:space="preserve"> </w:t>
      </w:r>
      <w:r>
        <w:rPr>
          <w:b/>
          <w:bCs/>
        </w:rPr>
        <w:t xml:space="preserve">specifikace konkrétní kategorie lokality tak, jak je převážně charakterizována v literatuře, a jistota pravdivosti takové interpretace</w:t>
      </w:r>
      <w:r>
        <w:t xml:space="preserve">.</w:t>
      </w:r>
      <w:r>
        <w:t xml:space="preserve"> </w:t>
      </w:r>
      <w:r>
        <w:t xml:space="preserve">Obsažený heslář kategorie je specifický pro různé druhy lokalit podle toho, jaké kategorie považujeme za přípustné a které lokality již do evidence nepatří.</w:t>
      </w:r>
      <w:r>
        <w:t xml:space="preserve"> </w:t>
      </w:r>
      <w:r>
        <w:t xml:space="preserve">Je třeba rozlišovat mezi</w:t>
      </w:r>
      <w:r>
        <w:t xml:space="preserve"> </w:t>
      </w:r>
      <w:r>
        <w:rPr>
          <w:i/>
          <w:iCs/>
        </w:rPr>
        <w:t xml:space="preserve">pseudolokalitami</w:t>
      </w:r>
      <w:r>
        <w:t xml:space="preserve"> </w:t>
      </w:r>
      <w:r>
        <w:t xml:space="preserve">(případ, kdy je snos kamenů uváděný v literatuře jako mohylník) a chybně interpretovanou skutečnou lokalitou (případ, kdy lokalita uváděná jako mohylník je ve skutečnosti zaniklá vesnice). V prvním případě bude v kategorii uveden</w:t>
      </w:r>
      <w:r>
        <w:t xml:space="preserve"> </w:t>
      </w:r>
      <w:r>
        <w:rPr>
          <w:i/>
          <w:iCs/>
        </w:rPr>
        <w:t xml:space="preserve">„mohylník“</w:t>
      </w:r>
      <w:r>
        <w:t xml:space="preserve"> </w:t>
      </w:r>
      <w:r>
        <w:t xml:space="preserve">s hodnotou</w:t>
      </w:r>
      <w:r>
        <w:t xml:space="preserve"> </w:t>
      </w:r>
      <w:r>
        <w:rPr>
          <w:i/>
          <w:iCs/>
        </w:rPr>
        <w:t xml:space="preserve">„pseudolokalita“</w:t>
      </w:r>
      <w:r>
        <w:t xml:space="preserve"> </w:t>
      </w:r>
      <w:r>
        <w:t xml:space="preserve">v poli jistota.</w:t>
      </w:r>
      <w:r>
        <w:t xml:space="preserve"> </w:t>
      </w:r>
      <w:r>
        <w:t xml:space="preserve">Ve druhém případě je třeba přiřadit záznamu kategorii</w:t>
      </w:r>
      <w:r>
        <w:t xml:space="preserve"> </w:t>
      </w:r>
      <w:r>
        <w:rPr>
          <w:i/>
          <w:iCs/>
        </w:rPr>
        <w:t xml:space="preserve">„jiný druh (vyřadit)“</w:t>
      </w:r>
      <w:r>
        <w:t xml:space="preserve"> </w:t>
      </w:r>
      <w:r>
        <w:t xml:space="preserve">a v poli jistota bude hodnota</w:t>
      </w:r>
      <w:r>
        <w:t xml:space="preserve"> </w:t>
      </w:r>
      <w:r>
        <w:rPr>
          <w:i/>
          <w:iCs/>
        </w:rPr>
        <w:t xml:space="preserve">„jisté“</w:t>
      </w:r>
      <w:r>
        <w:t xml:space="preserve">.</w:t>
      </w:r>
      <w:r>
        <w:t xml:space="preserve"> </w:t>
      </w:r>
      <w:r>
        <w:t xml:space="preserve">Kombinace polí kategorie a jistota by měla v důsledku postihnout důvěryhodnost interpretace lokality na základě syntézy aktuálních poznatků.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Zachovalost</w:t>
      </w:r>
      <w:r>
        <w:t xml:space="preserve"> </w:t>
      </w:r>
      <w:r>
        <w:t xml:space="preserve">Aktuální stav dochování terénních reliktů.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Celk. plán</w:t>
      </w:r>
      <w:r>
        <w:t xml:space="preserve"> </w:t>
      </w:r>
      <w:r>
        <w:t xml:space="preserve">Odkaz na zdroj nejlepšího celkového plánu lokality (citace, URL aj.).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LiDAR</w:t>
      </w:r>
      <w:r>
        <w:t xml:space="preserve"> </w:t>
      </w:r>
      <w:r>
        <w:t xml:space="preserve">Je lokalita viditelná na LiDARovém snímku?</w:t>
      </w:r>
    </w:p>
    <w:p>
      <w:pPr>
        <w:pStyle w:val="FirstParagraph"/>
      </w:pPr>
      <w:r>
        <w:t xml:space="preserve">Uvedená základní pole mohou být pro různé druhy lokalit doplněna o další, která jsou podstatná z hlediska budoucí evidence či výzkumu.</w:t>
      </w:r>
    </w:p>
    <w:p>
      <w:pPr>
        <w:pStyle w:val="BodyText"/>
      </w:pPr>
      <w:r>
        <w:t xml:space="preserve">V případě evidence</w:t>
      </w:r>
      <w:r>
        <w:t xml:space="preserve"> </w:t>
      </w:r>
      <w:r>
        <w:rPr>
          <w:b/>
          <w:bCs/>
        </w:rPr>
        <w:t xml:space="preserve">mohylníků</w:t>
      </w:r>
      <w:r>
        <w:t xml:space="preserve"> </w:t>
      </w:r>
      <w:r>
        <w:t xml:space="preserve">jde o pole: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Max. poč. mohyl</w:t>
      </w:r>
      <w:r>
        <w:t xml:space="preserve"> </w:t>
      </w:r>
      <w:r>
        <w:t xml:space="preserve">Maximální počet mohyl historicky identifikovaných na mohylníku.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Akt. poč. mohyl</w:t>
      </w:r>
      <w:r>
        <w:t xml:space="preserve"> </w:t>
      </w:r>
      <w:r>
        <w:t xml:space="preserve">Aktuální počet reliéfně zachovalých mohyl bez zřetelného narušení.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% intaktních</w:t>
      </w:r>
      <w:r>
        <w:t xml:space="preserve"> </w:t>
      </w:r>
      <w:r>
        <w:t xml:space="preserve">Orientační podíl dosud intaktních mohyl z maximálního počtu.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Výzkum ...</w:t>
      </w:r>
      <w:r>
        <w:t xml:space="preserve"> </w:t>
      </w:r>
      <w:r>
        <w:t xml:space="preserve">Byla lokalita destruktivně zkoumána v uvedeném období?</w:t>
      </w:r>
    </w:p>
    <w:p>
      <w:pPr>
        <w:pStyle w:val="FirstParagraph"/>
      </w:pPr>
      <w:r>
        <w:t xml:space="preserve">V případě evidence</w:t>
      </w:r>
      <w:r>
        <w:t xml:space="preserve"> </w:t>
      </w:r>
      <w:r>
        <w:rPr>
          <w:b/>
          <w:bCs/>
        </w:rPr>
        <w:t xml:space="preserve">hradišť</w:t>
      </w:r>
      <w:r>
        <w:t xml:space="preserve"> </w:t>
      </w:r>
      <w:r>
        <w:t xml:space="preserve">jde o pole: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Ohrazení</w:t>
      </w:r>
      <w:r>
        <w:t xml:space="preserve"> </w:t>
      </w:r>
      <w:r>
        <w:t xml:space="preserve">Bylo jednoznačně identifikováno ohrazení?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Poč. linií</w:t>
      </w:r>
      <w:r>
        <w:t xml:space="preserve"> </w:t>
      </w:r>
      <w:r>
        <w:t xml:space="preserve">Kolik linií ohrazení se na lokalitě nachází?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Stará zpráva</w:t>
      </w:r>
      <w:r>
        <w:t xml:space="preserve"> </w:t>
      </w:r>
      <w:r>
        <w:t xml:space="preserve">Je hradiště známo ze starší literatury/NZ?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Výzkum</w:t>
      </w:r>
      <w:r>
        <w:t xml:space="preserve"> </w:t>
      </w:r>
      <w:r>
        <w:t xml:space="preserve">Proběhl na hradišti terénní výzkum, který jeho existenci potvrdil?</w:t>
      </w:r>
    </w:p>
    <w:p>
      <w:pPr>
        <w:pStyle w:val="Compact"/>
        <w:numPr>
          <w:ilvl w:val="0"/>
          <w:numId w:val="1016"/>
        </w:numPr>
      </w:pPr>
      <w:r>
        <w:t xml:space="preserve">Ev. další jednotlivá pomocná pole a vazby na evidence V. Salače a J. Marounka; tyto informace slouží pouze jako zdroj.</w:t>
      </w:r>
    </w:p>
    <w:p>
      <w:pPr>
        <w:pStyle w:val="FirstParagraph"/>
      </w:pPr>
      <w:r>
        <w:t xml:space="preserve">V případě evidence sídel zatím žádná pole systematicky nepřidáváme.</w:t>
      </w:r>
    </w:p>
    <w:bookmarkEnd w:id="41"/>
    <w:bookmarkStart w:id="42" w:name="externí-zdroje"/>
    <w:p>
      <w:pPr>
        <w:pStyle w:val="Heading4"/>
      </w:pPr>
      <w:r>
        <w:t xml:space="preserve">Externí zdroje</w:t>
      </w:r>
    </w:p>
    <w:p>
      <w:pPr>
        <w:pStyle w:val="FirstParagraph"/>
      </w:pPr>
      <w:r>
        <w:t xml:space="preserve">Externí zdroje důležité pro popis lokality by měly být zaevidovány pomocí příslušného formuláře (vyplnit je třeba zejména autora, rok vzniku a název zdroje).</w:t>
      </w:r>
      <w:r>
        <w:t xml:space="preserve"> </w:t>
      </w:r>
      <w:r>
        <w:t xml:space="preserve">Takto zapsané zdroje lze následně odkazovat pomocí tabulky ve spodní části formuláře lokality, a to včetně konkrétní paginace.</w:t>
      </w:r>
      <w:r>
        <w:t xml:space="preserve"> </w:t>
      </w:r>
      <w:r>
        <w:t xml:space="preserve">Pro odkazování na externí databáze vložte databázi jako jeden ze zdrojů (právě jednou, nikoli pro každý odkaz zvlášť) a v paginaci odkazu uvádějte identifikátor konkrétního záznamu.</w:t>
      </w:r>
    </w:p>
    <w:bookmarkEnd w:id="42"/>
    <w:bookmarkEnd w:id="43"/>
    <w:bookmarkStart w:id="48" w:name="popis-dokumentů"/>
    <w:p>
      <w:pPr>
        <w:pStyle w:val="Heading3"/>
      </w:pPr>
      <w:r>
        <w:t xml:space="preserve">Popis dokumentů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7" w:name="fig-lok-dok"/>
          <w:p>
            <w:pPr>
              <w:pStyle w:val="Compact"/>
              <w:jc w:val="center"/>
            </w:pPr>
            <w:r>
              <w:drawing>
                <wp:inline>
                  <wp:extent cx="3746287" cy="187161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lok-dtb-doc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287" cy="187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Formulář pro popis dokumentů</w:t>
            </w:r>
          </w:p>
          <w:bookmarkEnd w:id="47"/>
        </w:tc>
      </w:tr>
    </w:tbl>
    <w:p>
      <w:pPr>
        <w:pStyle w:val="BodyText"/>
      </w:pPr>
      <w:r>
        <w:t xml:space="preserve">Pro popis dokumentů souvisejících s lokalitami (resp. dokumentujících jednotlivé lokality) slouží samostatný formulář.</w:t>
      </w:r>
      <w:r>
        <w:t xml:space="preserve"> </w:t>
      </w:r>
      <w:r>
        <w:t xml:space="preserve">Principy popisu dokumentů odpovídají zvyklostem v AMČR.</w:t>
      </w:r>
      <w:r>
        <w:t xml:space="preserve"> </w:t>
      </w:r>
      <w:r>
        <w:t xml:space="preserve">Dokumenty lze pomocí databáze napojovat na konkrétní lokality obsažené v databázi.</w:t>
      </w:r>
    </w:p>
    <w:p>
      <w:pPr>
        <w:pStyle w:val="BodyText"/>
      </w:pPr>
      <w:r>
        <w:t xml:space="preserve">Pro použití formuláře je vhodné soubory dokumentů nahrát do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 </w:t>
      </w:r>
      <w:r>
        <w:t xml:space="preserve">ve stejném adresáři, ve kterém se nachází databáze, a názvy souborů hromadně vložit do pole</w:t>
      </w:r>
      <w:r>
        <w:t xml:space="preserve"> </w:t>
      </w:r>
      <w:r>
        <w:rPr>
          <w:rStyle w:val="VerbatimChar"/>
        </w:rPr>
        <w:t xml:space="preserve">odkaz_txt</w:t>
      </w:r>
      <w:r>
        <w:t xml:space="preserve"> </w:t>
      </w:r>
      <w:r>
        <w:t xml:space="preserve">v tabulce</w:t>
      </w:r>
      <w:r>
        <w:t xml:space="preserve"> </w:t>
      </w:r>
      <w:r>
        <w:rPr>
          <w:rStyle w:val="VerbatimChar"/>
        </w:rPr>
        <w:t xml:space="preserve">DOKUMENT</w:t>
      </w:r>
      <w:r>
        <w:t xml:space="preserve">.</w:t>
      </w:r>
      <w:r>
        <w:t xml:space="preserve"> </w:t>
      </w:r>
      <w:r>
        <w:t xml:space="preserve">Díky tomu bude možné jednotlivé soubory přímo z formuláře otvírat a v případě obrazových dokumentů bude viditelný jejich náhled.</w:t>
      </w:r>
      <w:r>
        <w:t xml:space="preserve"> </w:t>
      </w:r>
      <w:r>
        <w:t xml:space="preserve">Databázi je nutné vždy přenášet vč.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.</w:t>
      </w:r>
      <w:r>
        <w:t xml:space="preserve"> </w:t>
      </w:r>
      <w:r>
        <w:t xml:space="preserve">V takovém případě bude bez ohledu na konkrétní umístění databáze zachována plná funkčnost odkazů a náhledů.</w:t>
      </w:r>
    </w:p>
    <w:bookmarkEnd w:id="48"/>
    <w:bookmarkEnd w:id="49"/>
    <w:bookmarkStart w:id="66" w:name="prostorové-vymezení-lokalit"/>
    <w:p>
      <w:pPr>
        <w:pStyle w:val="Heading2"/>
      </w:pPr>
      <w:r>
        <w:t xml:space="preserve">Prostorové vymezení lokalit</w:t>
      </w:r>
    </w:p>
    <w:p>
      <w:pPr>
        <w:pStyle w:val="FirstParagraph"/>
      </w:pPr>
      <w:r>
        <w:t xml:space="preserve">Každé dílčí databázi by měla odpovídat jedna vrstva s prostorovým vymezením lokalit v GIS.</w:t>
      </w:r>
      <w:r>
        <w:t xml:space="preserve"> </w:t>
      </w:r>
      <w:r>
        <w:t xml:space="preserve">V případě potřeby lze vytvořit vrstev více (např. bodová + polygonální), avšak je třeba dbát na persistenci a jednoznačnost vrstev i údajů v nich.</w:t>
      </w:r>
      <w:r>
        <w:t xml:space="preserve"> </w:t>
      </w:r>
      <w:r>
        <w:t xml:space="preserve">Při evidenci lokalit v GIS dodržujeme následující pravidla:</w:t>
      </w:r>
    </w:p>
    <w:p>
      <w:pPr>
        <w:numPr>
          <w:ilvl w:val="0"/>
          <w:numId w:val="1017"/>
        </w:numPr>
      </w:pPr>
      <w:r>
        <w:t xml:space="preserve">Každému záznamu v databázi by mělo odpovídat právě jedno prostorové vymezení, provázané se záznamem pomocí pracovního ID.</w:t>
      </w:r>
    </w:p>
    <w:p>
      <w:pPr>
        <w:numPr>
          <w:ilvl w:val="0"/>
          <w:numId w:val="1017"/>
        </w:numPr>
      </w:pPr>
      <w:r>
        <w:t xml:space="preserve">Základem vymezení lokality je identifikace bodem s danou přesností (1 – jednotky metrů; 2 – desítky metrů; 3 – stovky metrů; 4 – na katastr).</w:t>
      </w:r>
      <w:r>
        <w:t xml:space="preserve"> </w:t>
      </w:r>
      <w:r>
        <w:t xml:space="preserve">Bod umisťujeme do logického, nikoli geometrického středu lokality (např. akropole hradiště, jádro hradu, vrchol kopce s výšinným sídlištěm apod.).</w:t>
      </w:r>
    </w:p>
    <w:p>
      <w:pPr>
        <w:numPr>
          <w:ilvl w:val="0"/>
          <w:numId w:val="1017"/>
        </w:numPr>
      </w:pPr>
      <w:r>
        <w:t xml:space="preserve">Ideálem je přesné polygonální vymezení lokality, avšak i bodové vymezení lokality je pro AMČR dostatečné a přípustné.</w:t>
      </w:r>
      <w:r>
        <w:t xml:space="preserve"> </w:t>
      </w:r>
      <w:r>
        <w:t xml:space="preserve">Bodová vymezení lze při zachování ID PIAN kdykoli v budoucnu nahradit přesnějším polygonálním vymezením.</w:t>
      </w:r>
      <w:r>
        <w:t xml:space="preserve"> </w:t>
      </w:r>
      <w:r>
        <w:t xml:space="preserve">Polygonální vymezení by mělo respektovat (v uvedeném pořadí):</w:t>
      </w:r>
    </w:p>
    <w:p>
      <w:pPr>
        <w:pStyle w:val="Compact"/>
        <w:numPr>
          <w:ilvl w:val="1"/>
          <w:numId w:val="1018"/>
        </w:numPr>
      </w:pPr>
      <w:r>
        <w:t xml:space="preserve">Skutečné archeologicky identifikované hranice lokality (destruktivně i nedestruktivně).</w:t>
      </w:r>
    </w:p>
    <w:p>
      <w:pPr>
        <w:pStyle w:val="Compact"/>
        <w:numPr>
          <w:ilvl w:val="1"/>
          <w:numId w:val="1018"/>
        </w:numPr>
      </w:pPr>
      <w:r>
        <w:t xml:space="preserve">Přirozený tvar reliéfu, hranice zástavby a průběh komunikací.</w:t>
      </w:r>
    </w:p>
    <w:p>
      <w:pPr>
        <w:pStyle w:val="Compact"/>
        <w:numPr>
          <w:ilvl w:val="1"/>
          <w:numId w:val="1018"/>
        </w:numPr>
      </w:pPr>
      <w:r>
        <w:t xml:space="preserve">Parcelní členění a lomové body parcel.</w:t>
      </w:r>
    </w:p>
    <w:p>
      <w:pPr>
        <w:numPr>
          <w:ilvl w:val="0"/>
          <w:numId w:val="1017"/>
        </w:numPr>
      </w:pPr>
      <w:r>
        <w:t xml:space="preserve">Při vymezování lokalit zpravidla užíváme nejnovější publikované plány, snímky LLS, katastrální mapy a ortofotomapy; tyto zdroje navzájem ověřujeme (zejména publikované starší plány mohou být velice nepřesné).</w:t>
      </w:r>
    </w:p>
    <w:p>
      <w:pPr>
        <w:numPr>
          <w:ilvl w:val="0"/>
          <w:numId w:val="1017"/>
        </w:numPr>
      </w:pPr>
      <w:r>
        <w:t xml:space="preserve">Polygonální vymezení by měla být dostatečně podrobná, bez nepřirozených zlomů, ostrých hran apod.</w:t>
      </w:r>
      <w:r>
        <w:t xml:space="preserve"> </w:t>
      </w:r>
      <w:r>
        <w:t xml:space="preserve">Pokud vymezujeme více různých lokalit v sousedství, je vhodné uvažovat nad vymezením lokalit ve vzájemné souvislosti.</w:t>
      </w:r>
    </w:p>
    <w:p>
      <w:pPr>
        <w:numPr>
          <w:ilvl w:val="0"/>
          <w:numId w:val="1017"/>
        </w:numPr>
      </w:pPr>
      <w:r>
        <w:t xml:space="preserve">Prostorová vymezení „nemovitých“ lokalit (N) se mohou překrývat, prostorová vymezení „leteckých“ lokalit (L) se nikdy nepřekrývají.</w:t>
      </w:r>
      <w:r>
        <w:t xml:space="preserve"> </w:t>
      </w:r>
      <w:r>
        <w:t xml:space="preserve">Lokality typu „krajina“ (K) prostorově nevymezujeme, jsou definovány hranicemi katastru.</w:t>
      </w:r>
    </w:p>
    <w:p>
      <w:pPr>
        <w:numPr>
          <w:ilvl w:val="0"/>
          <w:numId w:val="1017"/>
        </w:numPr>
      </w:pPr>
      <w:r>
        <w:t xml:space="preserve">Vymezení lokality v prostoru je vždy třeba chápat jako arbitrární.</w:t>
      </w:r>
      <w:r>
        <w:t xml:space="preserve"> </w:t>
      </w:r>
      <w:r>
        <w:t xml:space="preserve">Hlavním cílem je lokality vhodně zachytit z evidenčního hlediska.</w:t>
      </w:r>
      <w:r>
        <w:t xml:space="preserve"> </w:t>
      </w:r>
      <w:r>
        <w:t xml:space="preserve">Lokality prostorově vymezujeme diachronicky, v jejich maximálním rozsahu, odpovídajícím všem evidovaným komponentám.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3" w:name="fig-lok-gis1"/>
          <w:p>
            <w:pPr>
              <w:pStyle w:val="Compact"/>
              <w:jc w:val="center"/>
            </w:pPr>
            <w:r>
              <w:drawing>
                <wp:inline>
                  <wp:extent cx="3697356" cy="1951127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figs/lok-gis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356" cy="19511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Příklady vymezení lokality podle leteckého snímku</w:t>
            </w:r>
          </w:p>
          <w:bookmarkEnd w:id="53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7" w:name="fig-lok-gis2"/>
          <w:p>
            <w:pPr>
              <w:pStyle w:val="Compact"/>
              <w:jc w:val="center"/>
            </w:pPr>
            <w:r>
              <w:drawing>
                <wp:inline>
                  <wp:extent cx="3703472" cy="1993942"/>
                  <wp:effectExtent b="0" l="0" r="0" t="0"/>
                  <wp:docPr descr="" title="" id="55" name="Picture"/>
                  <a:graphic>
                    <a:graphicData uri="http://schemas.openxmlformats.org/drawingml/2006/picture">
                      <pic:pic>
                        <pic:nvPicPr>
                          <pic:cNvPr descr="figs/lok-gis2.png" id="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3472" cy="1993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Příklady nevhodného a správného vymezení lokality</w:t>
            </w:r>
          </w:p>
          <w:bookmarkEnd w:id="57"/>
        </w:tc>
      </w:tr>
    </w:tbl>
    <w:p>
      <w:pPr>
        <w:pStyle w:val="BodyText"/>
      </w:pPr>
      <w:r>
        <w:t xml:space="preserve">Prostorová vymezení lokalit je třeba chápat jako jednotky PIAN, tedy persistentní entity samy o sobě.</w:t>
      </w:r>
      <w:r>
        <w:t xml:space="preserve"> </w:t>
      </w:r>
      <w:r>
        <w:t xml:space="preserve">Pokud je to možné,</w:t>
      </w:r>
      <w:r>
        <w:t xml:space="preserve"> </w:t>
      </w:r>
      <w:r>
        <w:rPr>
          <w:b/>
          <w:bCs/>
        </w:rPr>
        <w:t xml:space="preserve">před importem do AMČR by mělo proběhnout ztotožnění PIAN relevantních akcí s PIAN lokalit</w:t>
      </w:r>
      <w:r>
        <w:t xml:space="preserve">.</w:t>
      </w:r>
      <w:r>
        <w:t xml:space="preserve"> </w:t>
      </w:r>
      <w:r>
        <w:t xml:space="preserve">Jde zejména o sjednocení PIAN v případě akcí dotýkajících se celé lokality nebo akcí bez bližšího prostorového určení.</w:t>
      </w:r>
      <w:r>
        <w:t xml:space="preserve"> </w:t>
      </w:r>
      <w:r>
        <w:t xml:space="preserve">Rozdíl mezi akcí a lokalitou z hlediska prostorového uspořádání je dobře patrný na obrázcích</w:t>
      </w:r>
      <w:r>
        <w:t xml:space="preserve"> </w:t>
      </w:r>
      <w:hyperlink w:anchor="fig-lok-pian1">
        <w:r>
          <w:rPr>
            <w:rStyle w:val="Hyperlink"/>
          </w:rPr>
          <w:t xml:space="preserve">Obr. 6</w:t>
        </w:r>
      </w:hyperlink>
      <w:r>
        <w:t xml:space="preserve"> </w:t>
      </w:r>
      <w:r>
        <w:t xml:space="preserve">a</w:t>
      </w:r>
      <w:r>
        <w:t xml:space="preserve"> </w:t>
      </w:r>
      <w:hyperlink w:anchor="fig-lok-pian2">
        <w:r>
          <w:rPr>
            <w:rStyle w:val="Hyperlink"/>
          </w:rPr>
          <w:t xml:space="preserve">Obr. 7</w:t>
        </w:r>
      </w:hyperlink>
      <w:r>
        <w:t xml:space="preserve">.</w:t>
      </w:r>
      <w:r>
        <w:t xml:space="preserve"> </w:t>
      </w:r>
      <w:r>
        <w:t xml:space="preserve">Akce může mít vazbu k více jednotkám PIAN, lokalita jen k jedné.</w:t>
      </w:r>
      <w:r>
        <w:t xml:space="preserve"> </w:t>
      </w:r>
      <w:r>
        <w:t xml:space="preserve">Naopak PIAN může mít vazbu k více akcím nebo lokalitám.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1" w:name="fig-lok-pian1"/>
          <w:p>
            <w:pPr>
              <w:pStyle w:val="Compact"/>
              <w:jc w:val="center"/>
            </w:pPr>
            <w:r>
              <w:drawing>
                <wp:inline>
                  <wp:extent cx="3617843" cy="2409856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figs/lok-pian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7843" cy="24098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Vztah akce/lokality a PIAN</w:t>
            </w:r>
          </w:p>
          <w:bookmarkEnd w:id="6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5" w:name="fig-lok-pian2"/>
          <w:p>
            <w:pPr>
              <w:pStyle w:val="Compact"/>
              <w:jc w:val="center"/>
            </w:pPr>
            <w:r>
              <w:drawing>
                <wp:inline>
                  <wp:extent cx="3700414" cy="2510777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lok-pian2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414" cy="25107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Vztah</w:t>
            </w:r>
            <w:r>
              <w:t xml:space="preserve"> </w:t>
            </w:r>
            <w:r>
              <w:rPr>
                <w:b/>
                <w:bCs/>
              </w:rPr>
              <w:t xml:space="preserve">L</w:t>
            </w:r>
            <w:r>
              <w:t xml:space="preserve">/</w:t>
            </w:r>
            <w:r>
              <w:rPr>
                <w:b/>
                <w:bCs/>
              </w:rPr>
              <w:t xml:space="preserve">N</w:t>
            </w:r>
            <w:r>
              <w:t xml:space="preserve"> </w:t>
            </w:r>
            <w:r>
              <w:t xml:space="preserve">lokalit a PIAN</w:t>
            </w:r>
          </w:p>
          <w:bookmarkEnd w:id="65"/>
        </w:tc>
      </w:tr>
    </w:tbl>
    <w:p>
      <w:pPr>
        <w:pStyle w:val="BodyText"/>
      </w:pPr>
      <w:r>
        <w:t xml:space="preserve">V budoucnu lze předpokládat, že bude třeba vymezovat též prostorový rozsah jednotlivých částí lokalit, např. na základě vnitřního členění, či chronologických komponent.</w:t>
      </w:r>
      <w:r>
        <w:t xml:space="preserve"> </w:t>
      </w:r>
      <w:r>
        <w:t xml:space="preserve">V takovém případě bude rozšířena možnost přidělování PIAN lokalitám podobně jako u akcí.</w:t>
      </w:r>
    </w:p>
    <w:bookmarkEnd w:id="66"/>
    <w:bookmarkStart w:id="73" w:name="archiv-digitálních-podkladů"/>
    <w:p>
      <w:pPr>
        <w:pStyle w:val="Heading2"/>
      </w:pPr>
      <w:r>
        <w:t xml:space="preserve">Archiv digitálních podkladů</w:t>
      </w:r>
    </w:p>
    <w:p>
      <w:pPr>
        <w:pStyle w:val="FirstParagraph"/>
      </w:pPr>
      <w:r>
        <w:t xml:space="preserve">V průběhu tvorby databáze lokalit je vhodné průběžně vytvářet pracovní archiv souvisejících digitálních podkladů, jako jsou publikované články, odkazy na weby, plánová dokumentace apod.</w:t>
      </w:r>
      <w:r>
        <w:t xml:space="preserve"> </w:t>
      </w:r>
      <w:r>
        <w:t xml:space="preserve">Tato data je vhodné strukturovat podle druhů lokalit a dále pomocí složek pojmenovaných podle pracovních ID lokalit.</w:t>
      </w:r>
      <w:r>
        <w:t xml:space="preserve"> </w:t>
      </w:r>
      <w:r>
        <w:t xml:space="preserve">Souborné práce není nutné jednotlivě rozdělovat, nicméně může být výhodné připravit a vy-</w:t>
      </w:r>
      <w:r>
        <w:t xml:space="preserve"> </w:t>
      </w:r>
      <w:r>
        <w:t xml:space="preserve">dělit z nich např. celkové plány.</w:t>
      </w:r>
      <w:r>
        <w:t xml:space="preserve"> </w:t>
      </w:r>
      <w:r>
        <w:t xml:space="preserve">Tento archiv nevzniká za účelem vstupu do AMČR, ale pro usnadnění zpracování evidenční databáze ve všech fázích.</w:t>
      </w:r>
      <w:r>
        <w:t xml:space="preserve"> </w:t>
      </w:r>
      <w:r>
        <w:t xml:space="preserve">Často jde totiž o iterativní proces a k dílčím zdrojům je třeba se opakovaně vracet.</w:t>
      </w:r>
    </w:p>
    <w:bookmarkStart w:id="72" w:name="X042c29b43000b6792882e1bea6512f7294d2bab"/>
    <w:p>
      <w:pPr>
        <w:pStyle w:val="Heading4"/>
      </w:pPr>
      <w:r>
        <w:t xml:space="preserve">Ukázka adresářové struktury pro podklady k databázi hradišť:</w:t>
      </w:r>
    </w:p>
    <w:p>
      <w:pPr>
        <w:pStyle w:val="SourceCode"/>
      </w:pPr>
      <w:r>
        <w:rPr>
          <w:rStyle w:val="VerbatimChar"/>
        </w:rPr>
        <w:t xml:space="preserve">hra_0588_CN1000002_Sedlo_hradiste/</w:t>
      </w:r>
      <w:r>
        <w:br/>
      </w:r>
      <w:r>
        <w:rPr>
          <w:rStyle w:val="VerbatimChar"/>
        </w:rPr>
        <w:t xml:space="preserve">  Benes_A_1980.pdf</w:t>
      </w:r>
      <w:r>
        <w:br/>
      </w:r>
      <w:r>
        <w:rPr>
          <w:rStyle w:val="VerbatimChar"/>
        </w:rPr>
        <w:t xml:space="preserve">  Dubsky_1938_Pravek_Susicka.pdf</w:t>
      </w:r>
      <w:r>
        <w:br/>
      </w:r>
      <w:r>
        <w:rPr>
          <w:rStyle w:val="VerbatimChar"/>
        </w:rPr>
        <w:t xml:space="preserve">  hra_0588_e2003_plan_Albrechtice.tif</w:t>
      </w:r>
      <w:r>
        <w:br/>
      </w:r>
      <w:r>
        <w:rPr>
          <w:rStyle w:val="VerbatimChar"/>
        </w:rPr>
        <w:t xml:space="preserve">  hra_0588_JM16_Albrechtice_u_Susice_infotabule.jpg</w:t>
      </w:r>
      <w:r>
        <w:br/>
      </w:r>
      <w:r>
        <w:rPr>
          <w:rStyle w:val="VerbatimChar"/>
        </w:rPr>
        <w:t xml:space="preserve">  hra_0588_JM17_Albrechtice_u_Susice_e2003.jpg</w:t>
      </w:r>
      <w:r>
        <w:br/>
      </w:r>
      <w:r>
        <w:rPr>
          <w:rStyle w:val="VerbatimChar"/>
        </w:rPr>
        <w:t xml:space="preserve">  Kopelentova_2014.pdf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hra_0589_CN9000145_Albrechtice_nad_Vltavou_hradiste/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hra_0590_CN9000282_Andelka_hradiste/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hra_0592_XXX_Babin_vysinne_sidliste/</w:t>
      </w:r>
      <w:r>
        <w:br/>
      </w:r>
      <w:r>
        <w:rPr>
          <w:rStyle w:val="VerbatimChar"/>
        </w:rPr>
        <w:t xml:space="preserve">  (...)</w:t>
      </w:r>
    </w:p>
    <w:p>
      <w:pPr>
        <w:pStyle w:val="FirstParagraph"/>
      </w:pPr>
      <w:r>
        <w:t xml:space="preserve">Důležité je zejména číselné označení lokality, zde včetně prefixu označujícího konkrétní evidenční</w:t>
      </w:r>
      <w:r>
        <w:t xml:space="preserve"> </w:t>
      </w:r>
      <w:r>
        <w:t xml:space="preserve">databázi; další údaje – ID z AMČR, název lokality – jsou nepovinné, avšak usnadňují orientaci.</w:t>
      </w:r>
    </w:p>
    <w:bookmarkStart w:id="71" w:name="refs"/>
    <w:bookmarkStart w:id="68" w:name="ref-gojda2022"/>
    <w:p>
      <w:pPr>
        <w:pStyle w:val="Bibliography"/>
      </w:pPr>
      <w:r>
        <w:t xml:space="preserve">Gojda, Martin, David Novák, Martin Kuna, Pavel Vavřín, a Jarmila Bíšková. 2022.</w:t>
      </w:r>
      <w:r>
        <w:t xml:space="preserve"> </w:t>
      </w:r>
      <w:r>
        <w:rPr>
          <w:i/>
          <w:iCs/>
        </w:rPr>
        <w:t xml:space="preserve">Metodika Zpracování a Evidence Dat Leteckého Průzkumu v Archeologii</w:t>
      </w:r>
      <w:r>
        <w:t xml:space="preserve">.</w:t>
      </w:r>
      <w:r>
        <w:t xml:space="preserve"> </w:t>
      </w:r>
      <w:r>
        <w:t xml:space="preserve">Praha</w:t>
      </w:r>
      <w:r>
        <w:t xml:space="preserve">:</w:t>
      </w:r>
      <w:r>
        <w:t xml:space="preserve"> </w:t>
      </w:r>
      <w:r>
        <w:t xml:space="preserve">Archeologický ústav AV ČR, Praha</w:t>
      </w:r>
      <w:r>
        <w:t xml:space="preserve">.</w:t>
      </w:r>
      <w:r>
        <w:t xml:space="preserve"> </w:t>
      </w:r>
      <w:hyperlink r:id="rId67">
        <w:r>
          <w:rPr>
            <w:rStyle w:val="Hyperlink"/>
          </w:rPr>
          <w:t xml:space="preserve">https://amcr-info.aiscr.cz/downloads/METODIKA_B5_ebook.pdf</w:t>
        </w:r>
      </w:hyperlink>
      <w:r>
        <w:t xml:space="preserve">.</w:t>
      </w:r>
    </w:p>
    <w:bookmarkEnd w:id="68"/>
    <w:bookmarkStart w:id="70" w:name="ref-kuna2020"/>
    <w:p>
      <w:pPr>
        <w:pStyle w:val="Bibliography"/>
      </w:pPr>
      <w:r>
        <w:t xml:space="preserve">Kuna, Martin, a David Novák. 2020.</w:t>
      </w:r>
      <w:r>
        <w:t xml:space="preserve"> </w:t>
      </w:r>
      <w:r>
        <w:t xml:space="preserve">„Zásady evidence lokalit v AMČR"</w:t>
      </w:r>
      <w:r>
        <w:t xml:space="preserve">, říjen.</w:t>
      </w:r>
      <w:r>
        <w:t xml:space="preserve"> </w:t>
      </w:r>
      <w:hyperlink r:id="rId69">
        <w:r>
          <w:rPr>
            <w:rStyle w:val="Hyperlink"/>
          </w:rPr>
          <w:t xml:space="preserve">https://doi.org/10.5281/zenodo.4113964</w:t>
        </w:r>
      </w:hyperlink>
      <w:r>
        <w:t xml:space="preserve">.</w:t>
      </w:r>
    </w:p>
    <w:bookmarkEnd w:id="70"/>
    <w:bookmarkEnd w:id="71"/>
    <w:bookmarkEnd w:id="72"/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44" Target="media/rId44.png" /><Relationship Type="http://schemas.openxmlformats.org/officeDocument/2006/relationships/image" Id="rId36" Target="media/rId3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7" Target="https://amcr-info.aiscr.cz/downloads/METODIKA_B5_ebook.pdf" TargetMode="External" /><Relationship Type="http://schemas.openxmlformats.org/officeDocument/2006/relationships/hyperlink" Id="rId69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7" Target="https://amcr-info.aiscr.cz/downloads/METODIKA_B5_ebook.pdf" TargetMode="External" /><Relationship Type="http://schemas.openxmlformats.org/officeDocument/2006/relationships/hyperlink" Id="rId69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Zásady evidence</dc:title>
  <dc:creator>Martin Kuna; David Novák</dc:creator>
  <dc:language>cs</dc:language>
  <cp:keywords/>
  <dcterms:created xsi:type="dcterms:W3CDTF">2024-07-08T15:37:00Z</dcterms:created>
  <dcterms:modified xsi:type="dcterms:W3CDTF">2024-07-08T15:37:00Z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date">
    <vt:lpwstr>21. 10. 2020</vt:lpwstr>
  </property>
  <property fmtid="{D5CDD505-2E9C-101B-9397-08002B2CF9AE}" pid="9" name="date-format">
    <vt:lpwstr>D. M. YYYY</vt:lpwstr>
  </property>
  <property fmtid="{D5CDD505-2E9C-101B-9397-08002B2CF9AE}" pid="10" name="doi">
    <vt:lpwstr>10.5281/zenodo.4113964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subtitle">
    <vt:lpwstr>Zásady evidence nemovitých archeologických památek (lokalit)</vt:lpwstr>
  </property>
  <property fmtid="{D5CDD505-2E9C-101B-9397-08002B2CF9AE}" pid="16" name="toc-title">
    <vt:lpwstr>Na této stránce…</vt:lpwstr>
  </property>
</Properties>
</file>