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p>
      <w:pPr>
        <w:pStyle w:val="Date"/>
      </w:pPr>
      <w:r>
        <w:t xml:space="preserve">2024-07-01</w:t>
      </w:r>
    </w:p>
    <w:p>
      <w:pPr>
        <w:pStyle w:val="FirstParagraph"/>
      </w:pPr>
      <w:r>
        <w:rPr>
          <w:b/>
          <w:bCs/>
        </w:rPr>
        <w:t xml:space="preserve">Projekt</w:t>
      </w:r>
      <w:r>
        <w:t xml:space="preserve"> </w:t>
      </w:r>
      <w:r>
        <w:t xml:space="preserve">je základní evidenční jednotkou terénní činnosti badatelského nebo záchranného rázu.</w:t>
      </w:r>
      <w:r>
        <w:t xml:space="preserve"> </w:t>
      </w:r>
      <w:r>
        <w:t xml:space="preserve">Jejich správa probíhá v AMČR v sekci</w:t>
      </w:r>
      <w:r>
        <w:t xml:space="preserve"> </w:t>
      </w:r>
      <w:hyperlink r:id="rId20">
        <w:r>
          <w:rPr>
            <w:rStyle w:val="Hyperlink"/>
          </w:rPr>
          <w:t xml:space="preserve">Projekty</w:t>
        </w:r>
      </w:hyperlink>
      <w:r>
        <w:t xml:space="preserve">.</w:t>
      </w:r>
      <w:r>
        <w:t xml:space="preserve"> </w:t>
      </w:r>
      <w:r>
        <w:t xml:space="preserve">Zde je možné projekty zapisovat a k již existujícím projektům doplňovat informace a posouvat je jednotlivými procesními stavy.</w:t>
      </w:r>
    </w:p>
    <w:p>
      <w:pPr>
        <w:pStyle w:val="BodyText"/>
      </w:pPr>
      <w:r>
        <w:t xml:space="preserve">Správu projektů mohou provádět pouze uživatelé s oprávněním</w:t>
      </w:r>
      <w:r>
        <w:t xml:space="preserve"> </w:t>
      </w:r>
      <w:hyperlink r:id="rId21">
        <w:r>
          <w:rPr>
            <w:rStyle w:val="Hyperlink"/>
          </w:rPr>
          <w:t xml:space="preserve">Archeolog</w:t>
        </w:r>
      </w:hyperlink>
      <w:r>
        <w:t xml:space="preserve">, tedy registrovaní archeologové z</w:t>
      </w:r>
      <w:r>
        <w:t xml:space="preserve"> </w:t>
      </w:r>
      <w:hyperlink r:id="rId22">
        <w:r>
          <w:rPr>
            <w:rStyle w:val="Hyperlink"/>
          </w:rPr>
          <w:t xml:space="preserve">oprávněných organizací</w:t>
        </w:r>
      </w:hyperlink>
      <w:r>
        <w:t xml:space="preserve">.</w:t>
      </w:r>
    </w:p>
    <w:bookmarkStart w:id="23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Tady bude videonávod, až bude hotový :)</w:t>
      </w:r>
    </w:p>
    <w:bookmarkEnd w:id="23"/>
    <w:bookmarkStart w:id="34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drawing>
          <wp:inline>
            <wp:extent cx="5334000" cy="24411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s/proj-stavy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klíčové-procesní-stavy-projektů"/>
    <w:p>
      <w:pPr>
        <w:pStyle w:val="Heading3"/>
      </w:pPr>
      <w:r>
        <w:t xml:space="preserve">Klíčové procesní stavy projektů</w:t>
      </w:r>
    </w:p>
    <w:bookmarkStart w:id="27" w:name="zápis-projektu"/>
    <w:p>
      <w:pPr>
        <w:pStyle w:val="Heading4"/>
      </w:pPr>
      <w:r>
        <w:t xml:space="preserve">Zápis projektu</w:t>
      </w:r>
    </w:p>
    <w:p>
      <w:pPr>
        <w:pStyle w:val="FirstParagraph"/>
      </w:pPr>
      <w:r>
        <w:t xml:space="preserve">Projekt jako záznam v AMČR je zakládán zpravidla v okamžiku, kdy je některému z archeologických ústavů AV ČR či jiné oprávněné organizaci v intencích památkového či stavebního zákona oznámeno, že má dojít k terénnímu zásahu, který vyžaduje archeologický terénní zásah, nebo že již přímo došlo k porušení archeologických terénů.</w:t>
      </w:r>
      <w:r>
        <w:t xml:space="preserve"> </w:t>
      </w:r>
      <w:r>
        <w:t xml:space="preserve">V této fázi je definován zejména osobou investora nebo oznamovatele, územním vymezením (slovním, administrativním a lokalizací v mapě), základní slovní charakteristikou předpokládaného terénního zásahu a předpokládaným zahájením terénních prací.</w:t>
      </w:r>
      <w:r>
        <w:t xml:space="preserve"> </w:t>
      </w:r>
      <w:r>
        <w:t xml:space="preserve">V této fázi není tento tzv. Zapsaný projekt ještě přidělen žádné oprávněné organizaci k provedení archeologického výzkumu a je tedy všem uživatelům s oprávněním Archeolog přístupný k prohlédnutí, ale i k registraci pro provedení archeologického terénního výzkumu.</w:t>
      </w:r>
      <w:r>
        <w:t xml:space="preserve"> </w:t>
      </w:r>
      <w:r>
        <w:t xml:space="preserve">Zvláštním typem projektu je projekt</w:t>
      </w:r>
      <w:r>
        <w:t xml:space="preserve"> </w:t>
      </w:r>
      <w:r>
        <w:t xml:space="preserve">“</w:t>
      </w:r>
      <w:r>
        <w:t xml:space="preserve">badatelský</w:t>
      </w:r>
      <w:r>
        <w:t xml:space="preserve">”</w:t>
      </w:r>
      <w:r>
        <w:t xml:space="preserve">, který je vyvolán cíleným vědeckým záměrem, a nikoliv plánovaným terénním zásahem třetí strany.</w:t>
      </w:r>
      <w:r>
        <w:t xml:space="preserve"> </w:t>
      </w:r>
      <w:r>
        <w:t xml:space="preserve">Druhým zvláštním typem projektu je projekt typu</w:t>
      </w:r>
      <w:r>
        <w:t xml:space="preserve"> </w:t>
      </w:r>
      <w:r>
        <w:t xml:space="preserve">“</w:t>
      </w:r>
      <w:r>
        <w:t xml:space="preserve">průzkum</w:t>
      </w:r>
      <w:r>
        <w:t xml:space="preserve">”</w:t>
      </w:r>
      <w:r>
        <w:t xml:space="preserve">, který je opět vyvolán cíleným vědeckým záměrem a zpravidla jej definuje plánovaná dlouhodobost nebo velký územní rozsah, ale metodologicky jde o archeologický výzkum nedestruktivní nebo málo destruktivní, tedy s minimálním zásahem do terénu.</w:t>
      </w:r>
    </w:p>
    <w:bookmarkEnd w:id="27"/>
    <w:bookmarkStart w:id="28" w:name="přihlášení-projektu"/>
    <w:p>
      <w:pPr>
        <w:pStyle w:val="Heading4"/>
      </w:pPr>
      <w:r>
        <w:t xml:space="preserve">Přihlášení projektu</w:t>
      </w:r>
    </w:p>
    <w:p>
      <w:pPr>
        <w:pStyle w:val="FirstParagraph"/>
      </w:pPr>
      <w:r>
        <w:t xml:space="preserve">V okamžiku, kdy oprávněná organizace uzavře dohodu s investorem o provedení archeologického výzkumu, může její pověřený pracovník projekt přihlásit, tj. provést změnu jeho stavu na tzv. Přihlášený projekt. Tímto krokem se příslušná oprávněná organizace stává „správcem záznamu“ a doplňuje k němu další údaje v rámci vlastního projektu i v rámci k němu připojené projektové akce (údaje o odpovědných pracovnících, má možnost k záznamu připojit soubory, jako např. odborný záměr výzkumu, relevantní části stavební dokumentace či dohodu s investorem).</w:t>
      </w:r>
      <w:r>
        <w:t xml:space="preserve"> </w:t>
      </w:r>
      <w:r>
        <w:t xml:space="preserve">V případě badatelských projektů se postupuje obdobným způsobem, z logiky věci však odpadá identifikace investora a naopak zde přibývá dokumentace nezbytná pro povolení badatelského výzkumu autoritami na poli archeologické památkové péče.</w:t>
      </w:r>
      <w:r>
        <w:t xml:space="preserve"> </w:t>
      </w:r>
      <w:r>
        <w:t xml:space="preserve">Po přihlášení projektu je jeho editace možná pouze pro příslušnou oprávněnou organizaci případně pro administrátory systému. Přihlášené projekty v různých stavech rozpracování je možné vyhledat v sekci Naše projekty.</w:t>
      </w:r>
      <w:r>
        <w:t xml:space="preserve"> </w:t>
      </w:r>
      <w:r>
        <w:t xml:space="preserve">Pro přihlášení projektu je třeba vyplnit povinné informace, konkrétně odpovědnou osobu přihlašované organizace a úroveň památkové ochrany území, na kterém je projekt lokalizován.</w:t>
      </w:r>
    </w:p>
    <w:bookmarkEnd w:id="28"/>
    <w:bookmarkStart w:id="29" w:name="zahájení-terénu"/>
    <w:p>
      <w:pPr>
        <w:pStyle w:val="Heading4"/>
      </w:pPr>
      <w:r>
        <w:t xml:space="preserve">Zahájení terénu</w:t>
      </w:r>
    </w:p>
    <w:p>
      <w:pPr>
        <w:pStyle w:val="FirstParagraph"/>
      </w:pPr>
      <w:r>
        <w:t xml:space="preserve">U projektů, u kterých dojde k zahájení terénní činnosti zaznamená pracovník oprávněné organizace neprodleně datum zahájení a převede tak projekt do stavu Zahájen v terénu, ve kterém zůstává až do ukončení terénních prací.</w:t>
      </w:r>
      <w:r>
        <w:t xml:space="preserve"> </w:t>
      </w:r>
      <w:r>
        <w:t xml:space="preserve">Tento krok je zároveň podle</w:t>
      </w:r>
      <w:r>
        <w:t xml:space="preserve"> </w:t>
      </w:r>
      <w:r>
        <w:t xml:space="preserve">“</w:t>
      </w:r>
      <w:r>
        <w:t xml:space="preserve">Dohody o využívání AMČR</w:t>
      </w:r>
      <w:r>
        <w:t xml:space="preserve">”</w:t>
      </w:r>
      <w:r>
        <w:t xml:space="preserve"> </w:t>
      </w:r>
      <w:r>
        <w:t xml:space="preserve">považován za splnění povinnosti oprávněné archeologické organizace oznámit zahájení archeologické akce Archeologickému ústavu AV ČR.</w:t>
      </w:r>
    </w:p>
    <w:bookmarkEnd w:id="29"/>
    <w:bookmarkStart w:id="30" w:name="ukončení-terénu"/>
    <w:p>
      <w:pPr>
        <w:pStyle w:val="Heading4"/>
      </w:pPr>
      <w:r>
        <w:t xml:space="preserve">Ukončení terénu</w:t>
      </w:r>
    </w:p>
    <w:p>
      <w:pPr>
        <w:pStyle w:val="FirstParagraph"/>
      </w:pPr>
      <w:r>
        <w:t xml:space="preserve">Po ukončení terénní části projektu zaznamená odpovědný pracovník oprávněné organizace opět toto datum do systému a převede tak projekt do stavu Ukončen v terénu. Ukončením terénních prací začíná v AMČR běžet systémová lhůta pro podání informací o výsledcích výzkumu, která trvá 3 roky.</w:t>
      </w:r>
    </w:p>
    <w:bookmarkEnd w:id="30"/>
    <w:bookmarkStart w:id="31" w:name="správa-akcí"/>
    <w:p>
      <w:pPr>
        <w:pStyle w:val="Heading4"/>
      </w:pPr>
      <w:r>
        <w:t xml:space="preserve">Správa akcí</w:t>
      </w:r>
    </w:p>
    <w:p>
      <w:pPr>
        <w:pStyle w:val="FirstParagraph"/>
      </w:pPr>
      <w:r>
        <w:t xml:space="preserve">Terénní část archeologického výzkumu se realizuje formou archeologických akcí (v rámci projektu zpravidla jedné, ale může jich být i více), o nichž je po ukončení terénní části nutno v zákonné lhůtě podat nálezovou zprávu doplněnou o základní strukturovaný popis terénního výzkumu (Zprávu o archeologické akci).</w:t>
      </w:r>
    </w:p>
    <w:bookmarkEnd w:id="31"/>
    <w:bookmarkStart w:id="32" w:name="uzavření-projektu"/>
    <w:p>
      <w:pPr>
        <w:pStyle w:val="Heading4"/>
      </w:pPr>
      <w:r>
        <w:t xml:space="preserve">Uzavření projektu</w:t>
      </w:r>
    </w:p>
    <w:p>
      <w:pPr>
        <w:pStyle w:val="FirstParagraph"/>
      </w:pPr>
      <w:r>
        <w:t xml:space="preserve">V okamžiku, kdy jsou všechny odborné informace a související dokumenty prostřednictvím aplikace AMCR podány, uživatel projekt uzavře. Pracovníci ARÚP či ARÚB pak provedou věcnou i formální kontrolu předložených informací a dokumentů, na jejímž základě mohou hlášení o akci, nálezovou zprávu či celý záznam o projektu vrátit k dopracování, nebo prohlásí projekt a záznamy o jeho odborných výsledcích – archeologických akcích za archivovaný projekt a archivované akce. Poté dochází k jejich zveřejnění v systému AMČR pro další uživatele.</w:t>
      </w:r>
      <w:r>
        <w:t xml:space="preserve"> </w:t>
      </w:r>
      <w:r>
        <w:t xml:space="preserve">Navržení ke zrušení</w:t>
      </w:r>
      <w:r>
        <w:t xml:space="preserve"> </w:t>
      </w:r>
      <w:r>
        <w:t xml:space="preserve">Některé ze zapsaných či přihlášených projektů nemusí být realizovány, neboť stavebník může od realizace projektu odstoupit či změní jeho parametry tak, že archeologický zásah nadále není zapotřebí nebo z jiného důvodu není terénní výzkum proveden. V tom případě může každá oprávněná organizace navrhnout, s patřičným odůvodněním, zapsaný či přihlášený projekt ke zrušení, které provede příslušný administrátor z ARÚP či ARÚB. Stejným způsobem může oprávněná organizace upozornit na změnu provádějící oprávněné organizace u konkrétního projektu.</w:t>
      </w:r>
    </w:p>
    <w:bookmarkEnd w:id="32"/>
    <w:bookmarkEnd w:id="33"/>
    <w:bookmarkEnd w:id="34"/>
    <w:bookmarkStart w:id="35" w:name="zapsat-projekt"/>
    <w:p>
      <w:pPr>
        <w:pStyle w:val="Heading2"/>
      </w:pPr>
      <w:r>
        <w:t xml:space="preserve">Zapsat projekt</w:t>
      </w:r>
    </w:p>
    <w:bookmarkEnd w:id="35"/>
    <w:bookmarkStart w:id="36" w:name="přihlásit-projekt"/>
    <w:p>
      <w:pPr>
        <w:pStyle w:val="Heading2"/>
      </w:pPr>
      <w:r>
        <w:t xml:space="preserve">Přihlásit projekt</w:t>
      </w:r>
    </w:p>
    <w:bookmarkEnd w:id="36"/>
    <w:bookmarkStart w:id="37" w:name="zahájit-terén"/>
    <w:p>
      <w:pPr>
        <w:pStyle w:val="Heading2"/>
      </w:pPr>
      <w:r>
        <w:t xml:space="preserve">Zahájit terén</w:t>
      </w:r>
    </w:p>
    <w:bookmarkEnd w:id="37"/>
    <w:bookmarkStart w:id="38" w:name="ukončit-terén"/>
    <w:p>
      <w:pPr>
        <w:pStyle w:val="Heading2"/>
      </w:pPr>
      <w:r>
        <w:t xml:space="preserve">Ukončit terén</w:t>
      </w:r>
    </w:p>
    <w:bookmarkEnd w:id="38"/>
    <w:bookmarkStart w:id="39" w:name="spravovat-akce"/>
    <w:p>
      <w:pPr>
        <w:pStyle w:val="Heading2"/>
      </w:pPr>
      <w:r>
        <w:t xml:space="preserve">Spravovat akce</w:t>
      </w:r>
    </w:p>
    <w:bookmarkEnd w:id="39"/>
    <w:bookmarkStart w:id="40" w:name="uzavřít-projekt"/>
    <w:p>
      <w:pPr>
        <w:pStyle w:val="Heading2"/>
      </w:pPr>
      <w:r>
        <w:t xml:space="preserve">Uzavřít projekt</w:t>
      </w:r>
    </w:p>
    <w:bookmarkEnd w:id="40"/>
    <w:bookmarkStart w:id="44" w:name="vybrat-projekt"/>
    <w:p>
      <w:pPr>
        <w:pStyle w:val="Heading2"/>
      </w:pPr>
      <w:r>
        <w:t xml:space="preserve">Vybrat projekt</w:t>
      </w:r>
    </w:p>
    <w:p>
      <w:pPr>
        <w:pStyle w:val="FirstParagraph"/>
      </w:pPr>
      <w:r>
        <w:drawing>
          <wp:inline>
            <wp:extent cx="5168347" cy="241291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/figs/proj-vybrat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347" cy="241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Karta</w:t>
      </w:r>
      <w:r>
        <w:t xml:space="preserve"> </w:t>
      </w:r>
      <w:r>
        <w:rPr>
          <w:b/>
          <w:bCs/>
        </w:rPr>
        <w:t xml:space="preserve">Vybrat</w:t>
      </w:r>
      <w:r>
        <w:t xml:space="preserve"> </w:t>
      </w:r>
      <w:r>
        <w:t xml:space="preserve">umožňuje filtrovat projekty na základě různých kritérií.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hyperlink" Id="rId22" Target="../o-systemu/pojmy.qmd#opr&#225;vn&#283;n&#225;-archeologick&#225;-organizace" TargetMode="External" /><Relationship Type="http://schemas.openxmlformats.org/officeDocument/2006/relationships/hyperlink" Id="rId21" Target="../o-systemu/role.qmd" TargetMode="External" /><Relationship Type="http://schemas.openxmlformats.org/officeDocument/2006/relationships/hyperlink" Id="rId20" Target="https://amcr.aiscr.cz/projek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o-systemu/pojmy.qmd#opr&#225;vn&#283;n&#225;-archeologick&#225;-organizace" TargetMode="External" /><Relationship Type="http://schemas.openxmlformats.org/officeDocument/2006/relationships/hyperlink" Id="rId21" Target="../o-systemu/role.qmd" TargetMode="External" /><Relationship Type="http://schemas.openxmlformats.org/officeDocument/2006/relationships/hyperlink" Id="rId20" Target="https://amcr.aiscr.cz/projek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2024-07-04T09:39:42Z</dcterms:created>
  <dcterms:modified xsi:type="dcterms:W3CDTF">2024-07-04T09:39:42Z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