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53.png" ContentType="image/png"/>
  <Override PartName="/word/media/rId46.png" ContentType="image/png"/>
  <Override PartName="/word/media/rId37.png" ContentType="image/png"/>
  <Override PartName="/word/media/rId33.png" ContentType="image/png"/>
  <Override PartName="/word/media/rId41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AMČR</w:t>
      </w:r>
      <w:r>
        <w:t xml:space="preserve"> </w:t>
      </w:r>
      <w:r>
        <w:t xml:space="preserve">API</w:t>
      </w:r>
    </w:p>
    <w:p>
      <w:pPr>
        <w:pStyle w:val="Subtitle"/>
      </w:pPr>
      <w:r>
        <w:t xml:space="preserve">Uživatelská</w:t>
      </w:r>
      <w:r>
        <w:t xml:space="preserve"> </w:t>
      </w:r>
      <w:r>
        <w:t xml:space="preserve">příručka</w:t>
      </w:r>
    </w:p>
    <w:p>
      <w:pPr>
        <w:pStyle w:val="Date"/>
      </w:pPr>
      <w:r>
        <w:t xml:space="preserve">2020-06-01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important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/>
                <w:bCs/>
              </w:rPr>
              <w:t xml:space="preserve">Upozornění</w:t>
            </w:r>
          </w:p>
          <w:p>
            <w:pPr>
              <w:pStyle w:val="BodyText"/>
            </w:pPr>
            <w:pPr>
              <w:spacing w:before="16" w:after="16"/>
            </w:pPr>
            <w:r>
              <w:t xml:space="preserve">Následující stránka k 1. červenci 2024 neprošla revizí a informace, které obsahuje, nemusí být plně platné pro aktuálně spuštěné verze nástrojů AMČR.</w:t>
            </w:r>
            <w:r>
              <w:t xml:space="preserve"> </w:t>
            </w:r>
            <w:r>
              <w:t xml:space="preserve">Zároveň mohou být některé odkazy, které stránka obsahuje nefunkční, screenshoty ze zastaralých verzí nástrojů apod.</w:t>
            </w:r>
          </w:p>
        </w:tc>
      </w:tr>
    </w:tbl>
    <w:p>
      <w:pPr>
        <w:pStyle w:val="BodyText"/>
      </w:pPr>
      <w:r>
        <w:t xml:space="preserve">API v současné době nabízí službu</w:t>
      </w:r>
      <w:r>
        <w:t xml:space="preserve"> </w:t>
      </w:r>
      <w:r>
        <w:rPr>
          <w:i/>
          <w:iCs/>
        </w:rPr>
        <w:t xml:space="preserve">AMCR Data Provider</w:t>
      </w:r>
      <w:r>
        <w:t xml:space="preserve">, která poskytuje metadatové záznamy z databáze AMČR, a to pomocí protokolu</w:t>
      </w:r>
      <w:r>
        <w:t xml:space="preserve"> </w:t>
      </w:r>
      <w:r>
        <w:rPr>
          <w:i/>
          <w:iCs/>
        </w:rPr>
        <w:t xml:space="preserve">OpenArchives Initiative Protocol for Metadata Harvesting</w:t>
      </w:r>
      <w:r>
        <w:t xml:space="preserve"> </w:t>
      </w:r>
      <w:r>
        <w:t xml:space="preserve">(</w:t>
      </w:r>
      <w:hyperlink r:id="rId23">
        <w:r>
          <w:rPr>
            <w:rStyle w:val="Hyperlink"/>
          </w:rPr>
          <w:t xml:space="preserve">OAI-PMH</w:t>
        </w:r>
      </w:hyperlink>
      <w:r>
        <w:t xml:space="preserve">).</w:t>
      </w:r>
    </w:p>
    <w:p>
      <w:pPr>
        <w:pStyle w:val="BodyText"/>
      </w:pPr>
      <w:r>
        <w:t xml:space="preserve">Naše implementace protokolu OAI-PMH podporuje</w:t>
      </w:r>
      <w:r>
        <w:t xml:space="preserve"> </w:t>
      </w:r>
      <w:r>
        <w:t xml:space="preserve">reprezentaci metadat ve standardech:</w:t>
      </w:r>
    </w:p>
    <w:p>
      <w:pPr>
        <w:pStyle w:val="Compact"/>
        <w:numPr>
          <w:ilvl w:val="0"/>
          <w:numId w:val="1001"/>
        </w:numPr>
      </w:pPr>
      <w:hyperlink r:id="rId24">
        <w:r>
          <w:rPr>
            <w:rStyle w:val="Hyperlink"/>
          </w:rPr>
          <w:t xml:space="preserve">Dublin Core</w:t>
        </w:r>
      </w:hyperlink>
      <w:r>
        <w:t xml:space="preserve"> </w:t>
      </w:r>
      <w:r>
        <w:t xml:space="preserve">– poskytuje část datasetu týkající se dokumentů a jejich popisu;</w:t>
      </w:r>
    </w:p>
    <w:p>
      <w:pPr>
        <w:pStyle w:val="Compact"/>
        <w:numPr>
          <w:ilvl w:val="0"/>
          <w:numId w:val="1001"/>
        </w:numPr>
      </w:pPr>
      <w:hyperlink r:id="rId25">
        <w:r>
          <w:rPr>
            <w:rStyle w:val="Hyperlink"/>
            <w:strike/>
          </w:rPr>
          <w:t xml:space="preserve">CIDOC-CRM</w:t>
        </w:r>
      </w:hyperlink>
      <w:r>
        <w:t xml:space="preserve"> </w:t>
      </w:r>
      <w:r>
        <w:t xml:space="preserve">– nabízí archivovaná, volně přístupná data z AMČR ve formátu RDF v syntaxi odpovídající této ontologii;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AMČR XML</w:t>
      </w:r>
      <w:r>
        <w:t xml:space="preserve"> </w:t>
      </w:r>
      <w:r>
        <w:t xml:space="preserve">– nativní formát, který umožňuje plné vytěžování databáze při zohlednění přístupových práv.</w:t>
      </w:r>
    </w:p>
    <w:p>
      <w:pPr>
        <w:pStyle w:val="FirstParagraph"/>
      </w:pPr>
      <w:hyperlink r:id="rId26">
        <w:r>
          <w:rPr>
            <w:rStyle w:val="Hyperlink"/>
          </w:rPr>
          <w:t xml:space="preserve">Uživatelé</w:t>
        </w:r>
      </w:hyperlink>
      <w:r>
        <w:t xml:space="preserve"> </w:t>
      </w:r>
      <w:r>
        <w:t xml:space="preserve">s vyšším oprávněním mohou využít své přihlašovací údaje do AMČR pro přístup k nearchivovaným či jinak chráněným záznamům.</w:t>
      </w:r>
      <w:r>
        <w:t xml:space="preserve"> </w:t>
      </w:r>
      <w:r>
        <w:t xml:space="preserve">Aktualizace dat probíhá na denní bázi.</w:t>
      </w:r>
    </w:p>
    <w:p>
      <w:pPr>
        <w:pStyle w:val="BodyText"/>
      </w:pPr>
      <w:r>
        <w:t xml:space="preserve">API najdete na adrese</w:t>
      </w:r>
      <w:r>
        <w:t xml:space="preserve"> </w:t>
      </w:r>
      <w:hyperlink r:id="rId27">
        <w:r>
          <w:rPr>
            <w:rStyle w:val="Hyperlink"/>
          </w:rPr>
          <w:t xml:space="preserve">https://api.aiscr.cz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2" w:name="fig-api-poster"/>
          <w:p>
            <w:pPr>
              <w:pStyle w:val="Compact"/>
              <w:jc w:val="center"/>
            </w:pPr>
            <w:hyperlink r:id="rId31">
              <w:r>
                <w:drawing>
                  <wp:inline>
                    <wp:extent cx="2333402" cy="3302849"/>
                    <wp:effectExtent b="0" l="0" r="0" t="0"/>
                    <wp:docPr descr="Poster prezentující API s příklady možných requestů (Pajdla 2021)" title="" id="29" name="Picture"/>
                    <a:graphic>
                      <a:graphicData uri="http://schemas.openxmlformats.org/drawingml/2006/picture">
                        <pic:pic>
                          <pic:nvPicPr>
                            <pic:cNvPr descr="figs/api_liseh.png" id="30" name="Picture"/>
                            <pic:cNvPicPr>
                              <a:picLocks noChangeArrowheads="1" noChangeAspect="1"/>
                            </pic:cNvPicPr>
                          </pic:nvPicPr>
                          <pic:blipFill>
                            <a:blip r:embed="rId28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3402" cy="33028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Poster prezentující API s příklady možných requestů</w:t>
            </w:r>
            <w:r>
              <w:t xml:space="preserve"> </w:t>
            </w:r>
            <w:r>
              <w:t xml:space="preserve">(Pajdla 2021)</w:t>
            </w:r>
          </w:p>
          <w:bookmarkEnd w:id="32"/>
        </w:tc>
      </w:tr>
    </w:tbl>
    <w:bookmarkStart w:id="59" w:name="technické-řešení"/>
    <w:p>
      <w:pPr>
        <w:pStyle w:val="Heading2"/>
      </w:pPr>
      <w:r>
        <w:t xml:space="preserve">Technické řešení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6" w:name="fig-api"/>
          <w:p>
            <w:pPr>
              <w:pStyle w:val="Compact"/>
              <w:jc w:val="center"/>
            </w:pPr>
            <w:r>
              <w:drawing>
                <wp:inline>
                  <wp:extent cx="3082659" cy="1492398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figs/api-schema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659" cy="1492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OAI-PMH API a služba AMCR Data Provider</w:t>
            </w:r>
          </w:p>
          <w:bookmarkEnd w:id="36"/>
        </w:tc>
      </w:tr>
    </w:tbl>
    <w:p>
      <w:pPr>
        <w:pStyle w:val="BodyText"/>
      </w:pPr>
      <w:r>
        <w:t xml:space="preserve">Architektura API se skládá z 5 komponent:</w:t>
      </w:r>
      <w:r>
        <w:t xml:space="preserve"> </w:t>
      </w:r>
      <w:r>
        <w:rPr>
          <w:i/>
          <w:iCs/>
        </w:rPr>
        <w:t xml:space="preserve">AMCR Filter</w:t>
      </w:r>
      <w:r>
        <w:t xml:space="preserve">,</w:t>
      </w:r>
      <w:r>
        <w:t xml:space="preserve"> </w:t>
      </w:r>
      <w:r>
        <w:rPr>
          <w:i/>
          <w:iCs/>
        </w:rPr>
        <w:t xml:space="preserve">RDF Converter</w:t>
      </w:r>
      <w:r>
        <w:t xml:space="preserve">,</w:t>
      </w:r>
      <w:r>
        <w:t xml:space="preserve"> </w:t>
      </w:r>
      <w:r>
        <w:rPr>
          <w:i/>
          <w:iCs/>
        </w:rPr>
        <w:t xml:space="preserve">Scrub</w:t>
      </w:r>
      <w:r>
        <w:t xml:space="preserve">,</w:t>
      </w:r>
      <w:r>
        <w:t xml:space="preserve"> </w:t>
      </w:r>
      <w:r>
        <w:rPr>
          <w:i/>
          <w:iCs/>
        </w:rPr>
        <w:t xml:space="preserve">AMCR Pass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AMCR Data Provider</w:t>
      </w:r>
      <w:r>
        <w:t xml:space="preserve">.</w:t>
      </w:r>
      <w:r>
        <w:t xml:space="preserve"> </w:t>
      </w:r>
      <w:r>
        <w:t xml:space="preserve">Všechny komponenty jsou napsány v jazyce Java.</w:t>
      </w:r>
      <w:r>
        <w:t xml:space="preserve"> </w:t>
      </w:r>
      <w:r>
        <w:rPr>
          <w:strike/>
        </w:rPr>
        <w:t xml:space="preserve">Řešení používá open-source projekt X3ML Engine pro konverzi XML na RDF.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0" w:name="fig-api-reseni"/>
          <w:p>
            <w:pPr>
              <w:pStyle w:val="Compact"/>
              <w:jc w:val="center"/>
            </w:pPr>
            <w:r>
              <w:drawing>
                <wp:inline>
                  <wp:extent cx="4302878" cy="3302849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figs/api-reseni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878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Schéma celkového řešení API</w:t>
            </w:r>
          </w:p>
          <w:bookmarkEnd w:id="40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4" w:name="fig-api-sety"/>
          <w:p>
            <w:pPr>
              <w:pStyle w:val="Compact"/>
              <w:jc w:val="center"/>
            </w:pPr>
            <w:r>
              <w:drawing>
                <wp:inline>
                  <wp:extent cx="3256976" cy="3302849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figs/api-sety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976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Schéma databáze s dílčími datovými sety</w:t>
            </w:r>
          </w:p>
          <w:bookmarkEnd w:id="44"/>
        </w:tc>
      </w:tr>
    </w:tbl>
    <w:bookmarkStart w:id="58" w:name="řešení-filtrace"/>
    <w:p>
      <w:pPr>
        <w:pStyle w:val="Heading3"/>
      </w:pPr>
      <w:r>
        <w:t xml:space="preserve">Řešení filtrace</w:t>
      </w:r>
    </w:p>
    <w:bookmarkStart w:id="50" w:name="stav-a-přístupnost-záznamu"/>
    <w:p>
      <w:pPr>
        <w:pStyle w:val="Heading4"/>
      </w:pPr>
      <w:r>
        <w:t xml:space="preserve">Stav a přístupnost záznamu</w:t>
      </w:r>
    </w:p>
    <w:p>
      <w:pPr>
        <w:pStyle w:val="FirstParagraph"/>
      </w:pPr>
      <w:r>
        <w:t xml:space="preserve">Přístupnost záznam je ovlivněna jak</w:t>
      </w:r>
      <w:r>
        <w:t xml:space="preserve"> </w:t>
      </w:r>
      <w:hyperlink r:id="rId45">
        <w:r>
          <w:rPr>
            <w:rStyle w:val="Hyperlink"/>
          </w:rPr>
          <w:t xml:space="preserve">procesními stavy</w:t>
        </w:r>
      </w:hyperlink>
      <w:r>
        <w:t xml:space="preserve"> </w:t>
      </w:r>
      <w:r>
        <w:t xml:space="preserve">daných metadatových záznamů, tak</w:t>
      </w:r>
      <w:r>
        <w:t xml:space="preserve"> </w:t>
      </w:r>
      <w:hyperlink r:id="rId26">
        <w:r>
          <w:rPr>
            <w:rStyle w:val="Hyperlink"/>
          </w:rPr>
          <w:t xml:space="preserve">uživatelskou rolí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9" w:name="fig-api-pristupnost"/>
          <w:p>
            <w:pPr>
              <w:pStyle w:val="Compact"/>
              <w:jc w:val="center"/>
            </w:pPr>
            <w:r>
              <w:drawing>
                <wp:inline>
                  <wp:extent cx="3425177" cy="2746258"/>
                  <wp:effectExtent b="0" l="0" r="0" t="0"/>
                  <wp:docPr descr="" title="" id="47" name="Picture"/>
                  <a:graphic>
                    <a:graphicData uri="http://schemas.openxmlformats.org/drawingml/2006/picture">
                      <pic:pic>
                        <pic:nvPicPr>
                          <pic:cNvPr descr="figs/api-pristupnost.png" id="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177" cy="274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Schéma přístupnosti záznamů dle uživatelských rolí</w:t>
            </w:r>
          </w:p>
          <w:bookmarkEnd w:id="49"/>
        </w:tc>
      </w:tr>
    </w:tbl>
    <w:bookmarkEnd w:id="50"/>
    <w:bookmarkStart w:id="52" w:name="sety"/>
    <w:p>
      <w:pPr>
        <w:pStyle w:val="Heading4"/>
      </w:pPr>
      <w:r>
        <w:t xml:space="preserve">Sety</w:t>
      </w:r>
    </w:p>
    <w:p>
      <w:pPr>
        <w:pStyle w:val="FirstParagraph"/>
      </w:pPr>
      <w:r>
        <w:t xml:space="preserve">Selektivní výběr je umožněn pomocí nadefinovaných setů,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1" w:name="tbl-api-set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Sety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</w:tblPr>
            <w:tblGrid>
              <w:gridCol w:w="1584"/>
              <w:gridCol w:w="633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setSpec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setName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Projekty / Projects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 / Fieldwork Events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Lokality / Sites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dok_jednotka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Dokumentační jednotky / Descriptive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adb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Archeologický dokumentační bod / Archaeological Documentation Point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Dokumenty / Documents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Soubory / Files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/ Spatial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ext_zdroj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Externí zdroje / External Sources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Lety / Flights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samostatny_nalez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Samostatné nálezy / Individual Finds</w:t>
                  </w:r>
                </w:p>
              </w:tc>
            </w:tr>
          </w:tbl>
          <w:bookmarkEnd w:id="51"/>
          <w:p/>
        </w:tc>
      </w:tr>
    </w:tbl>
    <w:bookmarkEnd w:id="52"/>
    <w:bookmarkStart w:id="57" w:name="datestamps"/>
    <w:p>
      <w:pPr>
        <w:pStyle w:val="Heading4"/>
      </w:pPr>
      <w:r>
        <w:t xml:space="preserve">Datestamps</w:t>
      </w:r>
    </w:p>
    <w:p>
      <w:pPr>
        <w:pStyle w:val="FirstParagraph"/>
      </w:pPr>
      <w:r>
        <w:t xml:space="preserve">Pro dotazy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je umožněno filtrování na základě volitelného argumentu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(from – od, until – do), kdy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je vždy nejmladší z dostupných datumů.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6" w:name="fig-api-datestamps"/>
          <w:p>
            <w:pPr>
              <w:pStyle w:val="Compact"/>
              <w:jc w:val="center"/>
            </w:pPr>
            <w:r>
              <w:drawing>
                <wp:inline>
                  <wp:extent cx="4312053" cy="2177434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figs/api-datestamps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053" cy="2177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Specifikace nastavení</w:t>
            </w:r>
            <w:r>
              <w:t xml:space="preserve"> </w:t>
            </w:r>
            <w:r>
              <w:rPr>
                <w:rStyle w:val="VerbatimChar"/>
              </w:rPr>
              <w:t xml:space="preserve">datestamp</w:t>
            </w:r>
            <w:r>
              <w:t xml:space="preserve"> </w:t>
            </w:r>
            <w:r>
              <w:t xml:space="preserve">pro jednotlivé záznamy</w:t>
            </w:r>
          </w:p>
          <w:bookmarkEnd w:id="56"/>
        </w:tc>
      </w:tr>
    </w:tbl>
    <w:p>
      <w:pPr>
        <w:pStyle w:val="BodyText"/>
      </w:pPr>
      <w:r>
        <w:t xml:space="preserve">AMČR nepodporuje evidenci smazaných záznamů.</w:t>
      </w:r>
      <w:r>
        <w:t xml:space="preserve"> </w:t>
      </w:r>
      <w:r>
        <w:t xml:space="preserve">Po smazání záznamu z databáze proto dojde k odstranění záznamu z API bez náhrady ve formě hlavičky smazaného záznamu (</w:t>
      </w:r>
      <w:r>
        <w:rPr>
          <w:rStyle w:val="VerbatimChar"/>
        </w:rPr>
        <w:t xml:space="preserve">status="deleted"</w:t>
      </w:r>
      <w:r>
        <w:t xml:space="preserve">).</w:t>
      </w:r>
      <w:r>
        <w:t xml:space="preserve"> </w:t>
      </w:r>
      <w:r>
        <w:t xml:space="preserve">Některé operace se v AMČR se nemusí projevit změnou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v API.</w:t>
      </w:r>
      <w:r>
        <w:t xml:space="preserve"> </w:t>
      </w:r>
      <w:r>
        <w:t xml:space="preserve">Důvodem je způsob logování změn, který se váže pouze na specifické operace (změna</w:t>
      </w:r>
      <w:r>
        <w:t xml:space="preserve"> </w:t>
      </w:r>
      <w:hyperlink r:id="rId45">
        <w:r>
          <w:rPr>
            <w:rStyle w:val="Hyperlink"/>
          </w:rPr>
          <w:t xml:space="preserve">stavu</w:t>
        </w:r>
      </w:hyperlink>
      <w:r>
        <w:t xml:space="preserve"> </w:t>
      </w:r>
      <w:r>
        <w:t xml:space="preserve">záznamu).</w:t>
      </w:r>
      <w:r>
        <w:t xml:space="preserve"> </w:t>
      </w:r>
      <w:r>
        <w:t xml:space="preserve">Při využití API proto doporučujeme data pravidelně obnovovat, nebo umožnit uživateli vynucenou aktualizaci konkrétního záznamu.</w:t>
      </w:r>
      <w:r>
        <w:t xml:space="preserve"> </w:t>
      </w:r>
      <w:r>
        <w:t xml:space="preserve">Podpora úplného sledování změn bude implementována v budoucích verzích API po provedení nutných úprav v databázi AMČR</w:t>
      </w:r>
    </w:p>
    <w:bookmarkEnd w:id="57"/>
    <w:bookmarkEnd w:id="58"/>
    <w:bookmarkEnd w:id="59"/>
    <w:bookmarkStart w:id="62" w:name="přihlášení"/>
    <w:p>
      <w:pPr>
        <w:pStyle w:val="Heading2"/>
      </w:pPr>
      <w:r>
        <w:t xml:space="preserve">Přihlášení</w:t>
      </w:r>
    </w:p>
    <w:p>
      <w:pPr>
        <w:pStyle w:val="FirstParagraph"/>
      </w:pPr>
      <w:r>
        <w:t xml:space="preserve">Pokud chcete pro stahování dat používat svůj účet AMČR, je nutné přihlášení pomocí Basic access authentication.</w:t>
      </w:r>
      <w:r>
        <w:t xml:space="preserve"> </w:t>
      </w:r>
      <w:r>
        <w:t xml:space="preserve">Protokol https zajišťuje bezpečnou komunikaci.</w:t>
      </w:r>
      <w:r>
        <w:t xml:space="preserve"> </w:t>
      </w:r>
      <w:r>
        <w:t xml:space="preserve">Způsob přihlášení se liší v každém nástroji, který je pro stahování dat používán.</w:t>
      </w:r>
      <w:r>
        <w:t xml:space="preserve"> </w:t>
      </w:r>
      <w:r>
        <w:t xml:space="preserve">Níže jsou detailněji popsány způsoby přihlášení pro</w:t>
      </w:r>
      <w:r>
        <w:t xml:space="preserve"> </w:t>
      </w:r>
      <w:r>
        <w:rPr>
          <w:i/>
          <w:iCs/>
        </w:rPr>
        <w:t xml:space="preserve">cURL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Postman</w:t>
      </w:r>
      <w:r>
        <w:t xml:space="preserve">.</w:t>
      </w:r>
    </w:p>
    <w:bookmarkStart w:id="60" w:name="curl"/>
    <w:p>
      <w:pPr>
        <w:pStyle w:val="Heading3"/>
      </w:pPr>
      <w:r>
        <w:t xml:space="preserve">cURL</w:t>
      </w:r>
    </w:p>
    <w:p>
      <w:pPr>
        <w:pStyle w:val="FirstParagraph"/>
      </w:pPr>
      <w:r>
        <w:t xml:space="preserve">cURL je nástroj skládající se ze softwarové knihovny (libcurl) a z nástroje příkazového řádku (curl) sloužících ke stahování souborů přes počítačovou síť.</w:t>
      </w:r>
      <w:r>
        <w:t xml:space="preserve"> </w:t>
      </w:r>
      <w:r>
        <w:t xml:space="preserve">Nástroj je dostupný pro různé operační systémy Linux, macOS a Windows.</w:t>
      </w:r>
      <w:r>
        <w:t xml:space="preserve"> </w:t>
      </w:r>
      <w:r>
        <w:t xml:space="preserve">Své uživatelské jméno a heslo je možné zadat pomocí přepínače -u.</w:t>
      </w:r>
    </w:p>
    <w:p>
      <w:pPr>
        <w:pStyle w:val="SourceCode"/>
      </w:pPr>
      <w:r>
        <w:rPr>
          <w:rStyle w:val="VerbatimChar"/>
        </w:rPr>
        <w:t xml:space="preserve">curl -u username:password &lt;GET request&gt;</w:t>
      </w:r>
    </w:p>
    <w:p>
      <w:pPr>
        <w:pStyle w:val="FirstParagraph"/>
      </w:pPr>
      <w:r>
        <w:t xml:space="preserve">Přihlašovací údaje je nutné posílat v každém requestu.</w:t>
      </w:r>
    </w:p>
    <w:bookmarkEnd w:id="60"/>
    <w:bookmarkStart w:id="61" w:name="postman"/>
    <w:p>
      <w:pPr>
        <w:pStyle w:val="Heading3"/>
      </w:pPr>
      <w:r>
        <w:t xml:space="preserve">Postman</w:t>
      </w:r>
    </w:p>
    <w:p>
      <w:pPr>
        <w:pStyle w:val="FirstParagraph"/>
      </w:pPr>
      <w:r>
        <w:t xml:space="preserve">Postman je multiplatformní aplikace pro vývojáře sloužící k návrhu a interakci s HTTP API.</w:t>
      </w:r>
      <w:r>
        <w:t xml:space="preserve"> </w:t>
      </w:r>
      <w:r>
        <w:t xml:space="preserve">Uživatelské jméno a heslo lze zadávat na kartě</w:t>
      </w:r>
      <w:r>
        <w:t xml:space="preserve"> </w:t>
      </w:r>
      <w:r>
        <w:rPr>
          <w:i/>
          <w:iCs/>
        </w:rPr>
        <w:t xml:space="preserve">Autorizace</w:t>
      </w:r>
      <w:r>
        <w:t xml:space="preserve">.</w:t>
      </w:r>
      <w:r>
        <w:t xml:space="preserve"> </w:t>
      </w:r>
      <w:r>
        <w:t xml:space="preserve">V rozevírací nabídce</w:t>
      </w:r>
      <w:r>
        <w:t xml:space="preserve"> </w:t>
      </w:r>
      <w:r>
        <w:rPr>
          <w:i/>
          <w:iCs/>
        </w:rPr>
        <w:t xml:space="preserve">TYPE</w:t>
      </w:r>
      <w:r>
        <w:t xml:space="preserve"> </w:t>
      </w:r>
      <w:r>
        <w:t xml:space="preserve">zvolte možnost</w:t>
      </w:r>
      <w:r>
        <w:t xml:space="preserve"> </w:t>
      </w:r>
      <w:r>
        <w:rPr>
          <w:i/>
          <w:iCs/>
        </w:rPr>
        <w:t xml:space="preserve">Basic Auth</w:t>
      </w:r>
      <w:r>
        <w:t xml:space="preserve"> </w:t>
      </w:r>
      <w:r>
        <w:t xml:space="preserve">a stiskněte tlačítko</w:t>
      </w:r>
      <w:r>
        <w:t xml:space="preserve"> </w:t>
      </w:r>
      <w:r>
        <w:rPr>
          <w:i/>
          <w:iCs/>
        </w:rPr>
        <w:t xml:space="preserve">Odeslat</w:t>
      </w:r>
      <w:r>
        <w:t xml:space="preserve">.</w:t>
      </w:r>
      <w:r>
        <w:t xml:space="preserve"> </w:t>
      </w:r>
      <w:r>
        <w:t xml:space="preserve">Přihlašovací údaje jsou poté posílány automaticky v každém requestu.</w:t>
      </w:r>
    </w:p>
    <w:bookmarkEnd w:id="61"/>
    <w:bookmarkEnd w:id="62"/>
    <w:bookmarkStart w:id="80" w:name="verbs"/>
    <w:p>
      <w:pPr>
        <w:pStyle w:val="Heading2"/>
      </w:pPr>
      <w:r>
        <w:t xml:space="preserve">Verbs</w:t>
      </w:r>
    </w:p>
    <w:p>
      <w:pPr>
        <w:pStyle w:val="FirstParagraph"/>
      </w:pPr>
      <w:r>
        <w:t xml:space="preserve">Dotazování v protokolu OAI-PMH je možné pomocí tzv. sloves (verbs).</w:t>
      </w:r>
      <w:r>
        <w:t xml:space="preserve"> </w:t>
      </w:r>
      <w:r>
        <w:t xml:space="preserve">Význam jednotlivých sloves s příkladem užití jsou popsány v následujících kapitolách.</w:t>
      </w:r>
      <w:r>
        <w:t xml:space="preserve"> </w:t>
      </w:r>
      <w:r>
        <w:t xml:space="preserve">Podrobná specifikace protokolu OAI-PMH je k dispozici</w:t>
      </w:r>
      <w:r>
        <w:t xml:space="preserve"> </w:t>
      </w:r>
      <w:hyperlink r:id="rId63">
        <w:r>
          <w:rPr>
            <w:rStyle w:val="Hyperlink"/>
          </w:rPr>
          <w:t xml:space="preserve">zde</w:t>
        </w:r>
      </w:hyperlink>
      <w:r>
        <w:t xml:space="preserve">.</w:t>
      </w:r>
    </w:p>
    <w:bookmarkStart w:id="65" w:name="identify"/>
    <w:p>
      <w:pPr>
        <w:pStyle w:val="Heading3"/>
      </w:pPr>
      <w:r>
        <w:t xml:space="preserve">Identify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Identify</w:t>
      </w:r>
      <w:r>
        <w:t xml:space="preserve"> </w:t>
      </w:r>
      <w:r>
        <w:t xml:space="preserve">se používá k získání informací o úložišti.</w:t>
      </w:r>
    </w:p>
    <w:p>
      <w:pPr>
        <w:pStyle w:val="BodyText"/>
      </w:pPr>
      <w:r>
        <w:t xml:space="preserve">Dotaz:</w:t>
      </w:r>
      <w:r>
        <w:t xml:space="preserve"> </w:t>
      </w:r>
      <w:hyperlink r:id="rId64">
        <w:r>
          <w:rPr>
            <w:rStyle w:val="Hyperlink"/>
          </w:rPr>
          <w:t xml:space="preserve">https://api.aiscr.cz/dapro/oai?verb=Identify</w:t>
        </w:r>
      </w:hyperlink>
    </w:p>
    <w:bookmarkEnd w:id="65"/>
    <w:bookmarkStart w:id="67" w:name="listmetadataformats"/>
    <w:p>
      <w:pPr>
        <w:pStyle w:val="Heading3"/>
      </w:pPr>
      <w:r>
        <w:t xml:space="preserve">ListMetadataFormats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ListMetadataFormats</w:t>
      </w:r>
      <w:r>
        <w:t xml:space="preserve"> </w:t>
      </w:r>
      <w:r>
        <w:t xml:space="preserve">se používá k načtení formátů metadat dostupných z úložiště.</w:t>
      </w:r>
    </w:p>
    <w:p>
      <w:pPr>
        <w:pStyle w:val="BodyText"/>
      </w:pPr>
      <w:r>
        <w:t xml:space="preserve">Dotaz:</w:t>
      </w:r>
      <w:r>
        <w:t xml:space="preserve"> </w:t>
      </w:r>
      <w:hyperlink r:id="rId66">
        <w:r>
          <w:rPr>
            <w:rStyle w:val="Hyperlink"/>
          </w:rPr>
          <w:t xml:space="preserve">https://api.aiscr.cz/dapro/oai?verb=ListMetadataFormats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&gt;2023-07-10T14:10:00Z&lt;/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"ListMetadataFormats"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&gt;oai_dc&lt;/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&gt;http://www.openarchives.org/OAI/2.0/oai_dc.xsd&lt;/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&gt;http://www.openarchives.org/OAI/2.0/oai_dc/&lt;/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&gt;oai_rdf&lt;/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&gt;https://api.aiscr.cz/dapro/media/oai_rdf.xsd&lt;/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&gt;https://api.aiscr.cz/schema/oai_rdf/&lt;/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&gt;oai_amcr&lt;/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&gt;https://api.aiscr.cz/dapro/media/oai_amcr.xsd&lt;/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&gt;https://api.aiscr.cz/schema/oai_amcr/&lt;/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Implementace OAI-PMH podporuje reprezentaci metadat v:</w:t>
      </w:r>
    </w:p>
    <w:p>
      <w:pPr>
        <w:pStyle w:val="Compact"/>
        <w:numPr>
          <w:ilvl w:val="0"/>
          <w:numId w:val="1002"/>
        </w:numPr>
      </w:pPr>
      <w:r>
        <w:t xml:space="preserve">Dublin Core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oai_dc</w:t>
      </w:r>
      <w:r>
        <w:t xml:space="preserve">,</w:t>
      </w:r>
    </w:p>
    <w:p>
      <w:pPr>
        <w:pStyle w:val="Compact"/>
        <w:numPr>
          <w:ilvl w:val="0"/>
          <w:numId w:val="1002"/>
        </w:numPr>
      </w:pPr>
      <w:r>
        <w:rPr>
          <w:strike/>
        </w:rPr>
        <w:t xml:space="preserve">CIDOC-CRM –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metadataPrefix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oai_rdf</w:t>
      </w:r>
      <w:r>
        <w:rPr>
          <w:strike/>
        </w:rPr>
        <w:t xml:space="preserve">,</w:t>
      </w:r>
    </w:p>
    <w:p>
      <w:pPr>
        <w:pStyle w:val="Compact"/>
        <w:numPr>
          <w:ilvl w:val="0"/>
          <w:numId w:val="1002"/>
        </w:numPr>
      </w:pPr>
      <w:r>
        <w:t xml:space="preserve">interním AMČR XML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oai_amcr</w:t>
      </w:r>
      <w:r>
        <w:t xml:space="preserve">.</w:t>
      </w:r>
    </w:p>
    <w:p>
      <w:pPr>
        <w:pStyle w:val="FirstParagraph"/>
      </w:pPr>
      <w:r>
        <w:t xml:space="preserve">Jednotlivá schémata jsou k dispozici na: https://api.aiscr.cz/dapro/media/*.xsd.</w:t>
      </w:r>
    </w:p>
    <w:bookmarkEnd w:id="67"/>
    <w:bookmarkStart w:id="72" w:name="listidentifiers"/>
    <w:p>
      <w:pPr>
        <w:pStyle w:val="Heading3"/>
      </w:pPr>
      <w:r>
        <w:t xml:space="preserve">ListIdentifiers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se používá pro načtení záhlaví záznamů (header)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záhlaví na základě nastavených</w:t>
      </w:r>
      <w:r>
        <w:t xml:space="preserve"> </w:t>
      </w:r>
      <w:hyperlink r:id="rId68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9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záhlavím záznamů.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70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1">
        <w:r>
          <w:rPr>
            <w:rStyle w:val="Hyperlink"/>
          </w:rPr>
          <w:t xml:space="preserve">https://api.aiscr.cz/dapro/oai?verb=ListIdentifiers&amp;metadataPrefix=oai_amcr</w:t>
        </w:r>
      </w:hyperlink>
    </w:p>
    <w:bookmarkEnd w:id="72"/>
    <w:bookmarkStart w:id="74" w:name="listrecords"/>
    <w:p>
      <w:pPr>
        <w:pStyle w:val="Heading3"/>
      </w:pPr>
      <w:r>
        <w:t xml:space="preserve">ListRecords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se používá pro načtení záznamů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záznamů na základě nastavených</w:t>
      </w:r>
      <w:r>
        <w:t xml:space="preserve"> </w:t>
      </w:r>
      <w:hyperlink r:id="rId68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9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záznamy.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70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3">
        <w:r>
          <w:rPr>
            <w:rStyle w:val="Hyperlink"/>
          </w:rPr>
          <w:t xml:space="preserve">https://api.aiscr.cz/dapro/oai?verb=ListRecords&amp;metadataPrefix=oai_amcr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&gt;2023-07-11T07:21:17Z&lt;/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"ListRecords"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&gt;https://api.aiscr.cz/id/C-201773056&lt;/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&gt;2022-06-09&lt;/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&gt;projekt&lt;/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&gt;C-201773056&lt;/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&gt;6&lt;/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&gt;záchranný&lt;/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&gt;2016-01-01 00:00:00&lt;/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&gt;PLZEŇ-SEVER&lt;/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&gt;2019-12-30&lt;/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&gt;C-201773056A&lt;/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&gt;2023-07-10.oai_amcr.1000.projekt.1000.1000...f&lt;/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4"/>
    <w:bookmarkStart w:id="77" w:name="getrecord"/>
    <w:p>
      <w:pPr>
        <w:pStyle w:val="Heading3"/>
      </w:pPr>
      <w:r>
        <w:t xml:space="preserve">GetRecord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GetRecord</w:t>
      </w:r>
      <w:r>
        <w:t xml:space="preserve"> </w:t>
      </w:r>
      <w:r>
        <w:t xml:space="preserve">se používá k získání individuálního záznamu metadat z úložiště.</w:t>
      </w:r>
      <w:r>
        <w:t xml:space="preserve"> </w:t>
      </w:r>
      <w:r>
        <w:t xml:space="preserve">Požadované argumenty jsou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t xml:space="preserve">a identifikátor položky (</w:t>
      </w:r>
      <w:r>
        <w:rPr>
          <w:rStyle w:val="VerbatimChar"/>
        </w:rPr>
        <w:t xml:space="preserve">identifier</w:t>
      </w:r>
      <w:r>
        <w:t xml:space="preserve">), ze které je záznam požadován.</w:t>
      </w:r>
      <w:r>
        <w:t xml:space="preserve"> </w:t>
      </w:r>
      <w:r>
        <w:t xml:space="preserve">Položky jednotlivých setů nesou v hlavičce persistentní identifikátory, odvozované z pole</w:t>
      </w:r>
      <w:r>
        <w:t xml:space="preserve"> </w:t>
      </w:r>
      <w:r>
        <w:rPr>
          <w:i/>
          <w:iCs/>
        </w:rPr>
        <w:t xml:space="preserve">ident_cely</w:t>
      </w:r>
      <w:r>
        <w:t xml:space="preserve"> </w:t>
      </w:r>
      <w:r>
        <w:t xml:space="preserve">u jednotlivých záznamů nejvýše v XML struktuře záznamu v daném setu.</w:t>
      </w:r>
      <w:r>
        <w:t xml:space="preserve"> </w:t>
      </w:r>
      <w:r>
        <w:t xml:space="preserve">Výjimkou je set soubor, kde jako identifikátor slouží pole</w:t>
      </w:r>
      <w:r>
        <w:t xml:space="preserve"> </w:t>
      </w:r>
      <w:r>
        <w:rPr>
          <w:rStyle w:val="VerbatimChar"/>
        </w:rPr>
        <w:t xml:space="preserve">filepath</w:t>
      </w:r>
      <w:r>
        <w:t xml:space="preserve">.</w:t>
      </w:r>
      <w:r>
        <w:t xml:space="preserve"> </w:t>
      </w:r>
      <w:r>
        <w:t xml:space="preserve">K základnímu formátu identifikátoru je vždy jako prefix připojena URL:</w:t>
      </w:r>
      <w:r>
        <w:t xml:space="preserve"> </w:t>
      </w:r>
      <w:r>
        <w:rPr>
          <w:rStyle w:val="VerbatimChar"/>
        </w:rPr>
        <w:t xml:space="preserve">https://api.aiscr.cz/id/</w:t>
      </w:r>
      <w:r>
        <w:t xml:space="preserve">.</w:t>
      </w:r>
      <w:r>
        <w:t xml:space="preserve"> </w:t>
      </w:r>
      <w:r>
        <w:t xml:space="preserve">Odkazy mezi záznamy napříč sety jsou řešeny na úrovni základního identifikátoru bez prefixu.</w:t>
      </w:r>
      <w:r>
        <w:t xml:space="preserve"> </w:t>
      </w:r>
      <w:r>
        <w:t xml:space="preserve">Další informace ke struktuře identifikátorů a vazbám naleznete v samostatné</w:t>
      </w:r>
      <w:r>
        <w:t xml:space="preserve"> </w:t>
      </w:r>
      <w:hyperlink r:id="rId75">
        <w:r>
          <w:rPr>
            <w:rStyle w:val="Hyperlink"/>
          </w:rPr>
          <w:t xml:space="preserve">kapitole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6">
        <w:r>
          <w:rPr>
            <w:rStyle w:val="Hyperlink"/>
          </w:rPr>
          <w:t xml:space="preserve">https://api.aiscr.cz/dapro/oai?verb=GetRecord&amp;identifier=https://api.aiscr.cz/id/C-DL-200400001&amp;metadataPrefix=oai_amcr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&gt;2023-07-11T07:37:18Z&lt;/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"GetRecord"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OtherTok"/>
        </w:rPr>
        <w:t xml:space="preserve"> identifier=</w:t>
      </w:r>
      <w:r>
        <w:rPr>
          <w:rStyle w:val="StringTok"/>
        </w:rPr>
        <w:t xml:space="preserve">"https://api.aiscr.cz/id/C-DL-  200400001"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&gt;https://api.aiscr.cz/id/C-DL-200400001&lt;/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&gt;2018-06-15&lt;/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&gt;dokument&lt;/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&gt;C-LET-00253&lt;/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(...)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&gt;C-DL-200400001-K01&lt;/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&gt;pr.zem&lt;/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&gt;sídliště nesp.&lt;/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&gt;1&lt;/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&gt;0&lt;/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(...)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(...)</w:t>
      </w:r>
      <w:r>
        <w:br/>
      </w:r>
      <w:r>
        <w:rPr>
          <w:rStyle w:val="NormalTok"/>
        </w:rPr>
        <w:t xml:space="preserve">                &lt;/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&lt;/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7"/>
    <w:bookmarkStart w:id="79" w:name="listsets"/>
    <w:p>
      <w:pPr>
        <w:pStyle w:val="Heading3"/>
      </w:pPr>
      <w:r>
        <w:t xml:space="preserve">ListSets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se používá k načtení nastavené struktury úložiště, tzv. setů.</w:t>
      </w:r>
    </w:p>
    <w:p>
      <w:pPr>
        <w:pStyle w:val="BodyText"/>
      </w:pPr>
      <w:r>
        <w:t xml:space="preserve">Dotaz:</w:t>
      </w:r>
      <w:r>
        <w:t xml:space="preserve"> </w:t>
      </w:r>
      <w:hyperlink r:id="rId78">
        <w:r>
          <w:rPr>
            <w:rStyle w:val="Hyperlink"/>
          </w:rPr>
          <w:t xml:space="preserve">https://api.aiscr.cz/dapro/oai?verb=ListSets</w:t>
        </w:r>
      </w:hyperlink>
    </w:p>
    <w:bookmarkEnd w:id="79"/>
    <w:bookmarkEnd w:id="80"/>
    <w:bookmarkStart w:id="93" w:name="parametry"/>
    <w:p>
      <w:pPr>
        <w:pStyle w:val="Heading2"/>
      </w:pPr>
      <w:r>
        <w:t xml:space="preserve">Parametry</w:t>
      </w:r>
    </w:p>
    <w:bookmarkStart w:id="83" w:name="stránkování"/>
    <w:p>
      <w:pPr>
        <w:pStyle w:val="Heading3"/>
      </w:pPr>
      <w:r>
        <w:t xml:space="preserve">Stránkování</w:t>
      </w:r>
    </w:p>
    <w:p>
      <w:pPr>
        <w:pStyle w:val="FirstParagraph"/>
      </w:pPr>
      <w:r>
        <w:t xml:space="preserve">Pomocí sloves uživatel získává první stránku požadovaných metadat.</w:t>
      </w:r>
      <w:r>
        <w:t xml:space="preserve"> </w:t>
      </w:r>
      <w:r>
        <w:t xml:space="preserve">Pro získání dalších záznamů je nutné použit 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uživatel dostal v odpovědi na svůj dotaz.</w:t>
      </w:r>
      <w:r>
        <w:t xml:space="preserve"> </w:t>
      </w: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vždy na konci odpovědi.</w:t>
      </w:r>
      <w:r>
        <w:t xml:space="preserve"> </w:t>
      </w:r>
      <w:r>
        <w:t xml:space="preserve">Počet záznamů na stránku je dán konfigurací na straně poskytovatele API.</w:t>
      </w:r>
    </w:p>
    <w:p>
      <w:pPr>
        <w:pStyle w:val="BodyText"/>
      </w:pPr>
      <w:r>
        <w:t xml:space="preserve">Odpověď na dotaz v sekci</w:t>
      </w:r>
      <w:r>
        <w:t xml:space="preserve"> </w:t>
      </w:r>
      <w:hyperlink r:id="rId81">
        <w:r>
          <w:rPr>
            <w:rStyle w:val="Hyperlink"/>
          </w:rPr>
          <w:t xml:space="preserve">ListRecords</w:t>
        </w:r>
      </w:hyperlink>
      <w:r>
        <w:t xml:space="preserve"> </w:t>
      </w:r>
      <w:r>
        <w:t xml:space="preserve">vrátila následující XML element obsahující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je použit v dalším dotazu: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2023-07-10.oai_amcr.1000.projekt.1000.1000...f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Dotaz:</w:t>
      </w:r>
      <w:r>
        <w:t xml:space="preserve"> </w:t>
      </w:r>
      <w:hyperlink r:id="rId82">
        <w:r>
          <w:rPr>
            <w:rStyle w:val="Hyperlink"/>
          </w:rPr>
          <w:t xml:space="preserve">https://api.aiscr.cz/dapro/oai?verb=ListIdentifiers&amp;resumptionToken=2023-07-10.oai_amcr.1000.projekt.1000.1000…f</w:t>
        </w:r>
      </w:hyperlink>
    </w:p>
    <w:p>
      <w:pPr>
        <w:pStyle w:val="BodyText"/>
      </w:pP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 tomto případě společně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výhradním parametrem.</w:t>
      </w:r>
    </w:p>
    <w:bookmarkEnd w:id="83"/>
    <w:bookmarkStart w:id="92" w:name="filtrování"/>
    <w:p>
      <w:pPr>
        <w:pStyle w:val="Heading3"/>
      </w:pPr>
      <w:r>
        <w:t xml:space="preserve">Filtrování</w:t>
      </w:r>
    </w:p>
    <w:p>
      <w:pPr>
        <w:pStyle w:val="FirstParagraph"/>
      </w:pPr>
      <w:r>
        <w:t xml:space="preserve">Tzv. selektivní sklizeň umožňuje uživatelům omezit požadavky na sběr dat na části metadat dostupných z úložiště.</w:t>
      </w:r>
      <w:r>
        <w:t xml:space="preserve"> </w:t>
      </w:r>
      <w:r>
        <w:t xml:space="preserve">OAI-PMH podporuje selektivní sklizeň se dvěma typy kritérií pro sklizeň, která mohou být kombinována: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Data provider AMČR navíc uživatelům filtruje záznamy podle jejich přístupnosti.</w:t>
      </w:r>
    </w:p>
    <w:bookmarkStart w:id="84" w:name="podle-přístupnosti-záznamu"/>
    <w:p>
      <w:pPr>
        <w:pStyle w:val="Heading4"/>
      </w:pPr>
      <w:r>
        <w:t xml:space="preserve">Podle přístupnosti záznamu</w:t>
      </w:r>
    </w:p>
    <w:p>
      <w:pPr>
        <w:pStyle w:val="FirstParagraph"/>
      </w:pPr>
      <w:r>
        <w:t xml:space="preserve">Při zpracování dotazu jsou uživateli automaticky záznamy filtrovány podle přístupnosti, která je nadefinovaná v AMČR.</w:t>
      </w:r>
      <w:r>
        <w:t xml:space="preserve"> </w:t>
      </w:r>
      <w:r>
        <w:t xml:space="preserve">Anonymní uživatel má vždy přístupnost pouze k archivovaným záznamům.</w:t>
      </w:r>
      <w:r>
        <w:t xml:space="preserve"> </w:t>
      </w:r>
      <w:r>
        <w:t xml:space="preserve">Archeologové či uživatelé s vyšším oprávněním mají přístup i k nearchivovaným či jinak chráněným záznamům.</w:t>
      </w:r>
      <w:r>
        <w:t xml:space="preserve"> </w:t>
      </w:r>
      <w:r>
        <w:t xml:space="preserve">Vice viz kapitoly k</w:t>
      </w:r>
      <w:r>
        <w:t xml:space="preserve"> </w:t>
      </w:r>
      <w:hyperlink r:id="rId45">
        <w:r>
          <w:rPr>
            <w:rStyle w:val="Hyperlink"/>
          </w:rPr>
          <w:t xml:space="preserve">procesním stavům</w:t>
        </w:r>
      </w:hyperlink>
      <w:r>
        <w:t xml:space="preserve"> </w:t>
      </w:r>
      <w:r>
        <w:t xml:space="preserve">a</w:t>
      </w:r>
      <w:r>
        <w:t xml:space="preserve"> </w:t>
      </w:r>
      <w:hyperlink r:id="rId26">
        <w:r>
          <w:rPr>
            <w:rStyle w:val="Hyperlink"/>
          </w:rPr>
          <w:t xml:space="preserve">uživatelským rolím</w:t>
        </w:r>
      </w:hyperlink>
      <w:r>
        <w:t xml:space="preserve">.</w:t>
      </w:r>
    </w:p>
    <w:bookmarkEnd w:id="84"/>
    <w:bookmarkStart w:id="86" w:name="pomocí-setů"/>
    <w:p>
      <w:pPr>
        <w:pStyle w:val="Heading4"/>
      </w:pPr>
      <w:r>
        <w:t xml:space="preserve">Pomocí Setů</w:t>
      </w:r>
    </w:p>
    <w:p>
      <w:pPr>
        <w:pStyle w:val="FirstParagraph"/>
      </w:pPr>
      <w:r>
        <w:t xml:space="preserve">Protokol OAI-PMH umožňuje filtrování pomocí nadefinovaných setů, a to přidáním parametru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Pomocí slovesa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je možné získat hodnotu</w:t>
      </w:r>
      <w:r>
        <w:t xml:space="preserve"> </w:t>
      </w:r>
      <w:r>
        <w:rPr>
          <w:rStyle w:val="VerbatimChar"/>
        </w:rPr>
        <w:t xml:space="preserve">setSpec</w:t>
      </w:r>
      <w:r>
        <w:t xml:space="preserve"> </w:t>
      </w:r>
      <w:r>
        <w:t xml:space="preserve">pro všechny nadefinované</w:t>
      </w:r>
      <w:r>
        <w:t xml:space="preserve"> </w:t>
      </w:r>
      <w:hyperlink r:id="rId68">
        <w:r>
          <w:rPr>
            <w:rStyle w:val="Hyperlink"/>
          </w:rPr>
          <w:t xml:space="preserve">sety</w:t>
        </w:r>
      </w:hyperlink>
      <w:r>
        <w:t xml:space="preserve">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  <w:r>
        <w:t xml:space="preserve"> </w:t>
      </w:r>
      <w:r>
        <w:t xml:space="preserve">Pro zvolené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set=setSpec</w:t>
      </w:r>
      <w:r>
        <w:t xml:space="preserve">.</w:t>
      </w:r>
      <w:r>
        <w:t xml:space="preserve"> </w:t>
      </w:r>
      <w:r>
        <w:t xml:space="preserve">Filtrování pomocí setů lze kombinovat s filtrováním pomocí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85">
        <w:r>
          <w:rPr>
            <w:rStyle w:val="Hyperlink"/>
          </w:rPr>
          <w:t xml:space="preserve">https://api.aiscr.cz/dapro/oai?verb=ListRecords&amp;set=akce&amp;metadataPrefix=oai_amcr</w:t>
        </w:r>
      </w:hyperlink>
    </w:p>
    <w:bookmarkEnd w:id="86"/>
    <w:bookmarkStart w:id="91" w:name="pomocí-datestamp"/>
    <w:p>
      <w:pPr>
        <w:pStyle w:val="Heading4"/>
      </w:pPr>
      <w:r>
        <w:t xml:space="preserve">Pomocí datestamp</w:t>
      </w:r>
    </w:p>
    <w:p>
      <w:pPr>
        <w:pStyle w:val="FirstParagraph"/>
      </w:pPr>
      <w:r>
        <w:t xml:space="preserve">Protokol OAI-PMH umožňuje filtrování pomocí datumu (</w:t>
      </w:r>
      <w:r>
        <w:rPr>
          <w:rStyle w:val="VerbatimChar"/>
        </w:rPr>
        <w:t xml:space="preserve">datestamp</w:t>
      </w:r>
      <w:r>
        <w:t xml:space="preserve">), přiřazeného ke každému záznamu.</w:t>
      </w:r>
      <w:r>
        <w:t xml:space="preserve"> </w:t>
      </w:r>
      <w:r>
        <w:t xml:space="preserve">Pro požadované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(od) a/nebo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 </w:t>
      </w:r>
      <w:r>
        <w:t xml:space="preserve">(do).</w:t>
      </w:r>
    </w:p>
    <w:p>
      <w:pPr>
        <w:pStyle w:val="BodyText"/>
      </w:pPr>
      <w:r>
        <w:t xml:space="preserve">Dotaz:</w:t>
      </w:r>
      <w:r>
        <w:t xml:space="preserve"> </w:t>
      </w:r>
      <w:hyperlink r:id="rId87">
        <w:r>
          <w:rPr>
            <w:rStyle w:val="Hyperlink"/>
          </w:rPr>
          <w:t xml:space="preserve">https://api.aiscr.cz/dapro/oai?verb=ListIdentifiers&amp;metadataPrefix=oai_amcr&amp;from=2022-12-10&amp;until=2022-12-20</w:t>
        </w:r>
      </w:hyperlink>
    </w:p>
    <w:bookmarkStart w:id="90" w:name="refs"/>
    <w:bookmarkStart w:id="89" w:name="ref-pajdla2021a"/>
    <w:p>
      <w:pPr>
        <w:pStyle w:val="Bibliography"/>
      </w:pPr>
      <w:r>
        <w:t xml:space="preserve">Pajdla, Petr. 2021.</w:t>
      </w:r>
      <w:r>
        <w:t xml:space="preserve"> </w:t>
      </w:r>
      <w:r>
        <w:t xml:space="preserve">„</w:t>
      </w:r>
      <w:r>
        <w:t xml:space="preserve">AIS CR Public API</w:t>
      </w:r>
      <w:r>
        <w:t xml:space="preserve">:</w:t>
      </w:r>
      <w:r>
        <w:t xml:space="preserve"> </w:t>
      </w:r>
      <w:r>
        <w:t xml:space="preserve">AMCR Data Provider</w:t>
      </w:r>
      <w:r>
        <w:t xml:space="preserve">"</w:t>
      </w:r>
      <w:r>
        <w:t xml:space="preserve">. Poster prezentováno v</w:t>
      </w:r>
      <w:r>
        <w:t xml:space="preserve"> </w:t>
      </w:r>
      <w:r>
        <w:t xml:space="preserve">LiSeH</w:t>
      </w:r>
      <w:r>
        <w:t xml:space="preserve"> </w:t>
      </w:r>
      <w:r>
        <w:t xml:space="preserve">2021,</w:t>
      </w:r>
      <w:r>
        <w:t xml:space="preserve"> </w:t>
      </w:r>
      <w:r>
        <w:t xml:space="preserve">GAMS</w:t>
      </w:r>
      <w:r>
        <w:t xml:space="preserve">.</w:t>
      </w:r>
      <w:r>
        <w:t xml:space="preserve"> </w:t>
      </w:r>
      <w:hyperlink r:id="rId88">
        <w:r>
          <w:rPr>
            <w:rStyle w:val="Hyperlink"/>
          </w:rPr>
          <w:t xml:space="preserve">https://hdl.handle.net/11471/562.40.3</w:t>
        </w:r>
      </w:hyperlink>
      <w:r>
        <w:t xml:space="preserve">.</w:t>
      </w:r>
    </w:p>
    <w:bookmarkEnd w:id="89"/>
    <w:bookmarkEnd w:id="90"/>
    <w:bookmarkEnd w:id="91"/>
    <w:bookmarkEnd w:id="92"/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53" Target="media/rId53.png" /><Relationship Type="http://schemas.openxmlformats.org/officeDocument/2006/relationships/image" Id="rId46" Target="media/rId46.png" /><Relationship Type="http://schemas.openxmlformats.org/officeDocument/2006/relationships/image" Id="rId37" Target="media/rId37.png" /><Relationship Type="http://schemas.openxmlformats.org/officeDocument/2006/relationships/image" Id="rId33" Target="media/rId33.png" /><Relationship Type="http://schemas.openxmlformats.org/officeDocument/2006/relationships/image" Id="rId41" Target="media/rId41.png" /><Relationship Type="http://schemas.openxmlformats.org/officeDocument/2006/relationships/image" Id="rId28" Target="media/rId28.png" /><Relationship Type="http://schemas.openxmlformats.org/officeDocument/2006/relationships/hyperlink" Id="rId69" Target="api.qmd#datestamps" TargetMode="External" /><Relationship Type="http://schemas.openxmlformats.org/officeDocument/2006/relationships/hyperlink" Id="rId81" Target="api.qmd#listrecords" TargetMode="External" /><Relationship Type="http://schemas.openxmlformats.org/officeDocument/2006/relationships/hyperlink" Id="rId70" Target="api.qmd#resumptionToken" TargetMode="External" /><Relationship Type="http://schemas.openxmlformats.org/officeDocument/2006/relationships/hyperlink" Id="rId68" Target="api.qmd#sety" TargetMode="External" /><Relationship Type="http://schemas.openxmlformats.org/officeDocument/2006/relationships/hyperlink" Id="rId24" Target="http://dublincore.org/" TargetMode="External" /><Relationship Type="http://schemas.openxmlformats.org/officeDocument/2006/relationships/hyperlink" Id="rId25" Target="http://www.cidoc-crm.org/" TargetMode="External" /><Relationship Type="http://schemas.openxmlformats.org/officeDocument/2006/relationships/hyperlink" Id="rId63" Target="http://www.openarchives.org/OAI/openarchivesprotocol.html" TargetMode="External" /><Relationship Type="http://schemas.openxmlformats.org/officeDocument/2006/relationships/hyperlink" Id="rId23" Target="http://www.openarchives.org/pmh/" TargetMode="External" /><Relationship Type="http://schemas.openxmlformats.org/officeDocument/2006/relationships/hyperlink" Id="rId27" Target="https://api.aiscr.cz" TargetMode="External" /><Relationship Type="http://schemas.openxmlformats.org/officeDocument/2006/relationships/hyperlink" Id="rId76" Target="https://api.aiscr.cz/dapro/oai?verb=GetRecord&amp;identifier=https://api.aiscr.cz/id/C-DL-200400001&amp;metadataPrefix=oai_amcr" TargetMode="External" /><Relationship Type="http://schemas.openxmlformats.org/officeDocument/2006/relationships/hyperlink" Id="rId64" Target="https://api.aiscr.cz/dapro/oai?verb=Identify" TargetMode="External" /><Relationship Type="http://schemas.openxmlformats.org/officeDocument/2006/relationships/hyperlink" Id="rId71" Target="https://api.aiscr.cz/dapro/oai?verb=ListIdentifiers&amp;metadataPrefix=oai_amcr" TargetMode="External" /><Relationship Type="http://schemas.openxmlformats.org/officeDocument/2006/relationships/hyperlink" Id="rId87" Target="https://api.aiscr.cz/dapro/oai?verb=ListIdentifiers&amp;metadataPrefix=oai_amcr&amp;from=2022-12-10&amp;until=2022-12-20" TargetMode="External" /><Relationship Type="http://schemas.openxmlformats.org/officeDocument/2006/relationships/hyperlink" Id="rId82" Target="https://api.aiscr.cz/dapro/oai?verb=ListIdentifiers&amp;resumptionToken=2023-07-10.oai_amcr.1000.projekt.1000.1000...f" TargetMode="External" /><Relationship Type="http://schemas.openxmlformats.org/officeDocument/2006/relationships/hyperlink" Id="rId66" Target="https://api.aiscr.cz/dapro/oai?verb=ListMetadataFormats" TargetMode="External" /><Relationship Type="http://schemas.openxmlformats.org/officeDocument/2006/relationships/hyperlink" Id="rId73" Target="https://api.aiscr.cz/dapro/oai?verb=ListRecords&amp;metadataPrefix=oai_amcr" TargetMode="External" /><Relationship Type="http://schemas.openxmlformats.org/officeDocument/2006/relationships/hyperlink" Id="rId85" Target="https://api.aiscr.cz/dapro/oai?verb=ListRecords&amp;set=akce&amp;metadataPrefix=oai_amcr" TargetMode="External" /><Relationship Type="http://schemas.openxmlformats.org/officeDocument/2006/relationships/hyperlink" Id="rId78" Target="https://api.aiscr.cz/dapro/oai?verb=ListSets" TargetMode="External" /><Relationship Type="http://schemas.openxmlformats.org/officeDocument/2006/relationships/hyperlink" Id="rId31" Target="https://gams.uni-graz.at/o:liseh.8112/PDF_STREAM" TargetMode="External" /><Relationship Type="http://schemas.openxmlformats.org/officeDocument/2006/relationships/hyperlink" Id="rId88" Target="https://hdl.handle.net/11471/562.40.3" TargetMode="External" /><Relationship Type="http://schemas.openxmlformats.org/officeDocument/2006/relationships/hyperlink" Id="rId75" Target="identifikatory.qmd" TargetMode="External" /><Relationship Type="http://schemas.openxmlformats.org/officeDocument/2006/relationships/hyperlink" Id="rId45" Target="procesy.qmd" TargetMode="External" /><Relationship Type="http://schemas.openxmlformats.org/officeDocument/2006/relationships/hyperlink" Id="rId26" Target="role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9" Target="api.qmd#datestamps" TargetMode="External" /><Relationship Type="http://schemas.openxmlformats.org/officeDocument/2006/relationships/hyperlink" Id="rId81" Target="api.qmd#listrecords" TargetMode="External" /><Relationship Type="http://schemas.openxmlformats.org/officeDocument/2006/relationships/hyperlink" Id="rId70" Target="api.qmd#resumptionToken" TargetMode="External" /><Relationship Type="http://schemas.openxmlformats.org/officeDocument/2006/relationships/hyperlink" Id="rId68" Target="api.qmd#sety" TargetMode="External" /><Relationship Type="http://schemas.openxmlformats.org/officeDocument/2006/relationships/hyperlink" Id="rId24" Target="http://dublincore.org/" TargetMode="External" /><Relationship Type="http://schemas.openxmlformats.org/officeDocument/2006/relationships/hyperlink" Id="rId25" Target="http://www.cidoc-crm.org/" TargetMode="External" /><Relationship Type="http://schemas.openxmlformats.org/officeDocument/2006/relationships/hyperlink" Id="rId63" Target="http://www.openarchives.org/OAI/openarchivesprotocol.html" TargetMode="External" /><Relationship Type="http://schemas.openxmlformats.org/officeDocument/2006/relationships/hyperlink" Id="rId23" Target="http://www.openarchives.org/pmh/" TargetMode="External" /><Relationship Type="http://schemas.openxmlformats.org/officeDocument/2006/relationships/hyperlink" Id="rId27" Target="https://api.aiscr.cz" TargetMode="External" /><Relationship Type="http://schemas.openxmlformats.org/officeDocument/2006/relationships/hyperlink" Id="rId76" Target="https://api.aiscr.cz/dapro/oai?verb=GetRecord&amp;identifier=https://api.aiscr.cz/id/C-DL-200400001&amp;metadataPrefix=oai_amcr" TargetMode="External" /><Relationship Type="http://schemas.openxmlformats.org/officeDocument/2006/relationships/hyperlink" Id="rId64" Target="https://api.aiscr.cz/dapro/oai?verb=Identify" TargetMode="External" /><Relationship Type="http://schemas.openxmlformats.org/officeDocument/2006/relationships/hyperlink" Id="rId71" Target="https://api.aiscr.cz/dapro/oai?verb=ListIdentifiers&amp;metadataPrefix=oai_amcr" TargetMode="External" /><Relationship Type="http://schemas.openxmlformats.org/officeDocument/2006/relationships/hyperlink" Id="rId87" Target="https://api.aiscr.cz/dapro/oai?verb=ListIdentifiers&amp;metadataPrefix=oai_amcr&amp;from=2022-12-10&amp;until=2022-12-20" TargetMode="External" /><Relationship Type="http://schemas.openxmlformats.org/officeDocument/2006/relationships/hyperlink" Id="rId82" Target="https://api.aiscr.cz/dapro/oai?verb=ListIdentifiers&amp;resumptionToken=2023-07-10.oai_amcr.1000.projekt.1000.1000...f" TargetMode="External" /><Relationship Type="http://schemas.openxmlformats.org/officeDocument/2006/relationships/hyperlink" Id="rId66" Target="https://api.aiscr.cz/dapro/oai?verb=ListMetadataFormats" TargetMode="External" /><Relationship Type="http://schemas.openxmlformats.org/officeDocument/2006/relationships/hyperlink" Id="rId73" Target="https://api.aiscr.cz/dapro/oai?verb=ListRecords&amp;metadataPrefix=oai_amcr" TargetMode="External" /><Relationship Type="http://schemas.openxmlformats.org/officeDocument/2006/relationships/hyperlink" Id="rId85" Target="https://api.aiscr.cz/dapro/oai?verb=ListRecords&amp;set=akce&amp;metadataPrefix=oai_amcr" TargetMode="External" /><Relationship Type="http://schemas.openxmlformats.org/officeDocument/2006/relationships/hyperlink" Id="rId78" Target="https://api.aiscr.cz/dapro/oai?verb=ListSets" TargetMode="External" /><Relationship Type="http://schemas.openxmlformats.org/officeDocument/2006/relationships/hyperlink" Id="rId31" Target="https://gams.uni-graz.at/o:liseh.8112/PDF_STREAM" TargetMode="External" /><Relationship Type="http://schemas.openxmlformats.org/officeDocument/2006/relationships/hyperlink" Id="rId88" Target="https://hdl.handle.net/11471/562.40.3" TargetMode="External" /><Relationship Type="http://schemas.openxmlformats.org/officeDocument/2006/relationships/hyperlink" Id="rId75" Target="identifikatory.qmd" TargetMode="External" /><Relationship Type="http://schemas.openxmlformats.org/officeDocument/2006/relationships/hyperlink" Id="rId45" Target="procesy.qmd" TargetMode="External" /><Relationship Type="http://schemas.openxmlformats.org/officeDocument/2006/relationships/hyperlink" Id="rId26" Target="role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AMČR API</dc:title>
  <dc:creator/>
  <dc:language>cs</dc:language>
  <cp:keywords/>
  <dcterms:created xsi:type="dcterms:W3CDTF">2024-07-11T07:08:58Z</dcterms:created>
  <dcterms:modified xsi:type="dcterms:W3CDTF">2024-07-11T07:08:58Z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date">
    <vt:lpwstr>2020-06-01</vt:lpwstr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subtitle">
    <vt:lpwstr>Uživatelská příručka</vt:lpwstr>
  </property>
  <property fmtid="{D5CDD505-2E9C-101B-9397-08002B2CF9AE}" pid="12" name="toc-title">
    <vt:lpwstr>Na této stránce…</vt:lpwstr>
  </property>
</Properties>
</file>