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Pozor, zavítali jste na stránky připravované pro novou verzi AMČR!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Tyto stránky jsou ve výstavbě a informace, které obsahují, nemusí být platné pro aktuálně spuštěné verze nástrojů AMČR.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Původní platnou nápovědu a dokumentaci AMČR najdete na stránkách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https://amcr-info.aiscr.cz/help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4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5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6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7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8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9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30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32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33" w:name="soucasti"/>
    <w:bookmarkEnd w:id="33"/>
    <w:bookmarkStart w:id="39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4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5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6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7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8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5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9"/>
    <w:bookmarkStart w:id="49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bookmarkStart w:id="48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2024-02-28T09:32:49Z</dcterms:created>
  <dcterms:modified xsi:type="dcterms:W3CDTF">2024-02-28T09:32:49Z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oi">
    <vt:lpwstr>10.5281/zenodo.8141634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Vítejte na stránkách Uživatelské dokumentace AMČR!</vt:lpwstr>
  </property>
  <property fmtid="{D5CDD505-2E9C-101B-9397-08002B2CF9AE}" pid="13" name="toc-title">
    <vt:lpwstr>Na této stránce…</vt:lpwstr>
  </property>
</Properties>
</file>