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5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/>
                <w:iCs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/>
                <w:bCs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/>
                <w:bCs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</w:t>
            </w:r>
            <w:r>
              <w:t xml:space="preserve">Text</w:t>
            </w:r>
            <w:r>
              <w:rPr>
                <w:b/>
                <w:bCs/>
              </w:rPr>
              <w:t xml:space="preserve">*</w:t>
            </w:r>
            <w:r>
              <w:t xml:space="preserve"> </w:t>
            </w:r>
            <w:r>
              <w:rPr>
                <w:i/>
                <w:iCs/>
              </w:rPr>
              <w:t xml:space="preserve">kurzívou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**</w:t>
            </w:r>
            <w:r>
              <w:t xml:space="preserve">Text</w:t>
            </w:r>
            <w:r>
              <w:rPr>
                <w:b/>
                <w:bCs/>
              </w:rPr>
              <w:t xml:space="preserve">**</w:t>
            </w:r>
            <w:r>
              <w:t xml:space="preserve"> </w:t>
            </w:r>
            <w:r>
              <w:rPr>
                <w:b/>
                <w:bCs/>
              </w:rPr>
              <w:t xml:space="preserve">tučně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[</w:t>
            </w:r>
            <w:r>
              <w:t xml:space="preserve">Text odkazu</w:t>
            </w:r>
            <w:r>
              <w:rPr>
                <w:b/>
                <w:bCs/>
              </w:rPr>
              <w:t xml:space="preserve">](</w:t>
            </w:r>
            <w:r>
              <w:t xml:space="preserve">url</w:t>
            </w:r>
            <w:r>
              <w:rPr>
                <w:b/>
                <w:bCs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/>
                <w:bCs/>
              </w:rPr>
              <w:t xml:space="preserve">![</w:t>
            </w:r>
            <w:r>
              <w:t xml:space="preserve">Popisek obrázku</w:t>
            </w:r>
            <w:r>
              <w:rPr>
                <w:b/>
                <w:bCs/>
              </w:rPr>
              <w:t xml:space="preserve">](</w:t>
            </w:r>
            <w:r>
              <w:t xml:space="preserve">cesta fig/…</w:t>
            </w:r>
            <w:r>
              <w:rPr>
                <w:b/>
                <w:bCs/>
              </w:rPr>
              <w:t xml:space="preserve">)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Dvě mezery na konci řádku vytvoří nový odstavec, pro čitelnost je lepší vynechat celý řádek.</w:t>
            </w:r>
          </w:p>
          <w:bookmarkStart w:id="44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2024-07-01T16:02:36Z</dcterms:created>
  <dcterms:modified xsi:type="dcterms:W3CDTF">2024-07-01T16:02:36Z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