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VZOR </w:t>
      </w:r>
      <w:r w:rsidDel="00000000" w:rsidR="00000000" w:rsidRPr="00000000">
        <w:rPr>
          <w:b w:val="1"/>
          <w:sz w:val="22"/>
          <w:szCs w:val="22"/>
          <w:rtl w:val="0"/>
        </w:rPr>
        <w:t xml:space="preserve">(30. 3. 2021)</w:t>
      </w:r>
    </w:p>
    <w:p w:rsidR="00000000" w:rsidDel="00000000" w:rsidP="00000000" w:rsidRDefault="00000000" w:rsidRPr="00000000" w14:paraId="00000002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Tento vzor slouží jako modelový příklad protokolu o školení, který postihuje minimální potřebné okruhy školení poskytovaného spolupracovníkovi oprávněnou organizací. Text protokolu lze v individuálních případech upravovat podle konkrétních potřeb oprávněné organizace a ve vztahu ke konkrétním spolupracovníkům.</w:t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Protokol o proškolení Spolupracovníka</w:t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Příloha k Dohodě o spolupráci na archeologických výzkumech ze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dne …………………..</w:t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Název oprávněné organizace: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Sídlo:</w:t>
      </w:r>
    </w:p>
    <w:p w:rsidR="00000000" w:rsidDel="00000000" w:rsidP="00000000" w:rsidRDefault="00000000" w:rsidRPr="00000000" w14:paraId="00000009">
      <w:pPr>
        <w:spacing w:line="240" w:lineRule="auto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IČO:</w:t>
      </w:r>
    </w:p>
    <w:p w:rsidR="00000000" w:rsidDel="00000000" w:rsidP="00000000" w:rsidRDefault="00000000" w:rsidRPr="00000000" w14:paraId="0000000A">
      <w:pPr>
        <w:spacing w:line="240" w:lineRule="auto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zastoupena: </w:t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(dále jen Oprávněná organizace)</w:t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Jméno a příjmení:</w:t>
      </w:r>
    </w:p>
    <w:p w:rsidR="00000000" w:rsidDel="00000000" w:rsidP="00000000" w:rsidRDefault="00000000" w:rsidRPr="00000000" w14:paraId="0000000F">
      <w:pPr>
        <w:spacing w:line="240" w:lineRule="auto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adresa:</w:t>
      </w:r>
    </w:p>
    <w:p w:rsidR="00000000" w:rsidDel="00000000" w:rsidP="00000000" w:rsidRDefault="00000000" w:rsidRPr="00000000" w14:paraId="00000010">
      <w:pPr>
        <w:spacing w:line="240" w:lineRule="auto"/>
        <w:jc w:val="left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datum narození:</w:t>
      </w:r>
    </w:p>
    <w:p w:rsidR="00000000" w:rsidDel="00000000" w:rsidP="00000000" w:rsidRDefault="00000000" w:rsidRPr="00000000" w14:paraId="00000011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(dále jen Spolupracovník)</w:t>
      </w:r>
    </w:p>
    <w:p w:rsidR="00000000" w:rsidDel="00000000" w:rsidP="00000000" w:rsidRDefault="00000000" w:rsidRPr="00000000" w14:paraId="00000012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Spolupracovník byl řádně poučen v následujících oblastech:</w:t>
      </w:r>
    </w:p>
    <w:p w:rsidR="00000000" w:rsidDel="00000000" w:rsidP="00000000" w:rsidRDefault="00000000" w:rsidRPr="00000000" w14:paraId="00000015">
      <w:pPr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Základní principy exkavace a evidence movitých archeologických nálezů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Postupovat podle platných právních předpisů, zejména dbát na ustanovení zákona č. 20/1987 Sb., o státní památkové péči, ve znění pozdějších předpisů, a to včetně povinnosti zajištění souhlasu majitele při přístupu na pozemek za účelem provedení průzkumu.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Dbát postupů stanovených zvláštními právními předpisy, zejména v případě nálezu palných zbraní a střeliva vyrobených po r. 1890 a/nebo lidských ostatků.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Neprovádět samostatně průzkum v místech podléhajících památkové ochraně (kulturní památky, národní kulturní památky, památkové rezervace, památkové zóny).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Vždy minimalizovat zásah do terénu a vyzvedávat pouze nálezy, které nejsou v místě původního uložení (pochází z ornice, lesní hrabanky, míst narušených erozí). V případě pochybností, přítomnosti intaktních archeologických situací či většího souboru nálezů (hrob, depot apod.) bezodkladně kontaktovat archeologa a do situace bez jeho přítomnosti dále nezasahovat.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Před vyzvednutím nálezu zaměřit jeho polohu pomocí GPS (případně jiným vhodným a přesným způsobem) a vhodnými metodami dokumentovat.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vyzvednutí nález jemně očistit a fotograficky zdokumentovat, vytvořit záznam o nálezu v informačním systému AMČR-PAS a zapsat další okolnosti nálezu (zejména hloubku uložení, základní klasifikaci).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Každý nález uložit do samostatného obalu (plastového sáčku) označeného evidenčním číslem záznamu v AMČR-PAS, případně jiným předem stanoveným jednoznačným označením.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návratu z průzkumu doplnit do AMČR-PAS zbylé údaje o nálezu, doplnit celkovou fotodokumentaci nálezu, zkontrolovat označení sáčků a odeslat záznam Oprávněné organizaci.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 domluveném termínu předat nálezy odpovědnému pracovníkovi Oprávněné organizace.</w:t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Základní principy ošetření a uložení movitých archeologických nálezů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3" w:hanging="360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Spolupracovník může nález zběžně ošetřit při dodržení následujících pravidel: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708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Keramika </w:t>
      </w:r>
      <w:r w:rsidDel="00000000" w:rsidR="00000000" w:rsidRPr="00000000">
        <w:rPr>
          <w:sz w:val="20"/>
          <w:szCs w:val="20"/>
          <w:rtl w:val="0"/>
        </w:rPr>
        <w:t xml:space="preserve">– fragmenty lze lehce umýt pod tekoucí vodou. Hrubší ošetření může poškodit výzdobu a znemožnit datování, proto je zakázáno.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708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Kamenné artefakty </w:t>
      </w:r>
      <w:r w:rsidDel="00000000" w:rsidR="00000000" w:rsidRPr="00000000">
        <w:rPr>
          <w:sz w:val="20"/>
          <w:szCs w:val="20"/>
          <w:rtl w:val="0"/>
        </w:rPr>
        <w:t xml:space="preserve">– lze lehce umýt pod tekoucí vodou. Hrubší čištění může zničit stopy po používání, proto je zakázáno.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708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Kovové artefakty </w:t>
      </w:r>
      <w:r w:rsidDel="00000000" w:rsidR="00000000" w:rsidRPr="00000000">
        <w:rPr>
          <w:sz w:val="20"/>
          <w:szCs w:val="20"/>
          <w:rtl w:val="0"/>
        </w:rPr>
        <w:t xml:space="preserve">– lze zbavit nečistot ponořením do </w:t>
      </w:r>
      <w:r w:rsidDel="00000000" w:rsidR="00000000" w:rsidRPr="00000000">
        <w:rPr>
          <w:b w:val="1"/>
          <w:sz w:val="20"/>
          <w:szCs w:val="20"/>
          <w:rtl w:val="0"/>
        </w:rPr>
        <w:t xml:space="preserve">destilované</w:t>
      </w:r>
      <w:r w:rsidDel="00000000" w:rsidR="00000000" w:rsidRPr="00000000">
        <w:rPr>
          <w:sz w:val="20"/>
          <w:szCs w:val="20"/>
          <w:rtl w:val="0"/>
        </w:rPr>
        <w:t xml:space="preserve"> vody. Další mechanické čištění nebo použití chemických činidel a jiných látek je zakázáno.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283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 základním ošetření Spolupracovník nález nechá uschnout a znovu jej uloží do sáčku popsaného identifikačními údaji.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283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Ošetření nálezů nad rámec výše popsaných postupů náleží výhradně archeologovi a musí být prováděny v laboratorním prostředí. Spolupracovník má zakázáno tuto činnost vykonávat.</w:t>
      </w:r>
    </w:p>
    <w:p w:rsidR="00000000" w:rsidDel="00000000" w:rsidP="00000000" w:rsidRDefault="00000000" w:rsidRPr="00000000" w14:paraId="0000002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Spolupracovník potvrzuje, že byl Oprávněnou organizací proškolen k provádění archeologických výzkumů formou povrchového průzkumu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[jméno a pozice]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za Oprávněnou organizaci potvrzuje proškolení Spolupracovníka k provádění archeologických výzkumů formou průzkumu.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Spolupracovník potvrzuje, že byl Oprávněnou organizací proškolen ve věci ošetření, uložení a evidence archeologických nálezů.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highlight w:val="yellow"/>
          <w:rtl w:val="0"/>
        </w:rPr>
        <w:t xml:space="preserve">[Jméno a pozice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] za Oprávněnou organizaci potvrzuje proškolení Spolupracovníka ve věci ošetření, uložení a evidence archeologických nálezů.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Oprávněná organizace bude v rámci pravidelných konzultací Spolupracovníka dále metodicky vést ve všech výše uvedených bodech.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84" w:hanging="36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Spolupracovník bude dodržovat všechny výše uvedené zásady a také metodické pokyny Oprávněné organizace.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V…………………….. dne………………………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458"/>
        <w:gridCol w:w="2126"/>
        <w:gridCol w:w="3458"/>
        <w:tblGridChange w:id="0">
          <w:tblGrid>
            <w:gridCol w:w="3458"/>
            <w:gridCol w:w="2126"/>
            <w:gridCol w:w="3458"/>
          </w:tblGrid>
        </w:tblGridChange>
      </w:tblGrid>
      <w:t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 Oprávněnou organizaci</w:t>
            </w:r>
          </w:p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[Název OAO] 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[jméno zástupce]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Spolupracovník</w:t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[jméno spolupracovníka]</w:t>
            </w:r>
          </w:p>
        </w:tc>
      </w:tr>
    </w:tbl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283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0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(%5)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cs-CZ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  <w:ind w:left="720" w:hanging="7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  <w:ind w:left="578" w:hanging="578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2160" w:hanging="720"/>
    </w:pPr>
    <w:rPr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28"/>
      <w:szCs w:val="28"/>
    </w:rPr>
  </w:style>
  <w:style w:type="paragraph" w:styleId="Normln" w:default="1">
    <w:name w:val="Normal"/>
    <w:qFormat w:val="1"/>
    <w:rsid w:val="00922C58"/>
    <w:rPr>
      <w:color w:val="000000" w:themeColor="text1"/>
    </w:rPr>
  </w:style>
  <w:style w:type="paragraph" w:styleId="Nadpis1">
    <w:name w:val="heading 1"/>
    <w:basedOn w:val="Normln"/>
    <w:next w:val="Normln"/>
    <w:link w:val="Nadpis1Char"/>
    <w:uiPriority w:val="9"/>
    <w:qFormat w:val="1"/>
    <w:rsid w:val="00922C58"/>
    <w:pPr>
      <w:keepNext w:val="1"/>
      <w:keepLines w:val="1"/>
      <w:numPr>
        <w:numId w:val="4"/>
      </w:numPr>
      <w:spacing w:before="240"/>
      <w:outlineLvl w:val="0"/>
    </w:pPr>
    <w:rPr>
      <w:rFonts w:cstheme="majorBidi" w:eastAsiaTheme="majorEastAsia"/>
      <w:b w:val="1"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 w:val="1"/>
    <w:unhideWhenUsed w:val="1"/>
    <w:qFormat w:val="1"/>
    <w:rsid w:val="00922C58"/>
    <w:pPr>
      <w:keepNext w:val="1"/>
      <w:keepLines w:val="1"/>
      <w:numPr>
        <w:ilvl w:val="1"/>
        <w:numId w:val="1"/>
      </w:numPr>
      <w:spacing w:before="240"/>
      <w:ind w:left="578" w:hanging="578"/>
      <w:outlineLvl w:val="1"/>
    </w:pPr>
    <w:rPr>
      <w:rFonts w:cstheme="majorBidi" w:eastAsiaTheme="majorEastAsia"/>
      <w:b w:val="1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 w:val="1"/>
    <w:unhideWhenUsed w:val="1"/>
    <w:qFormat w:val="1"/>
    <w:rsid w:val="00922C58"/>
    <w:pPr>
      <w:keepNext w:val="1"/>
      <w:keepLines w:val="1"/>
      <w:numPr>
        <w:ilvl w:val="2"/>
        <w:numId w:val="4"/>
      </w:numPr>
      <w:spacing w:before="40"/>
      <w:outlineLvl w:val="2"/>
    </w:pPr>
    <w:rPr>
      <w:rFonts w:cstheme="majorBidi" w:eastAsiaTheme="majorEastAsia"/>
      <w:i w:val="1"/>
    </w:rPr>
  </w:style>
  <w:style w:type="paragraph" w:styleId="Nadpis4">
    <w:name w:val="heading 4"/>
    <w:basedOn w:val="Normln"/>
    <w:next w:val="Normln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Nadpis5">
    <w:name w:val="heading 5"/>
    <w:basedOn w:val="Normln"/>
    <w:next w:val="Normln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Nadpis6">
    <w:name w:val="heading 6"/>
    <w:basedOn w:val="Normln"/>
    <w:next w:val="Normln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 w:val="1"/>
    <w:rsid w:val="00922C58"/>
    <w:pPr>
      <w:spacing w:line="240" w:lineRule="auto"/>
      <w:contextualSpacing w:val="1"/>
      <w:jc w:val="center"/>
    </w:pPr>
    <w:rPr>
      <w:rFonts w:cstheme="majorBidi" w:eastAsiaTheme="majorEastAsia"/>
      <w:b w:val="1"/>
      <w:spacing w:val="-10"/>
      <w:kern w:val="28"/>
      <w:sz w:val="28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Nadpis1Char" w:customStyle="1">
    <w:name w:val="Nadpis 1 Char"/>
    <w:basedOn w:val="Standardnpsmoodstavce"/>
    <w:link w:val="Nadpis1"/>
    <w:uiPriority w:val="9"/>
    <w:rsid w:val="00922C58"/>
    <w:rPr>
      <w:rFonts w:ascii="Arial" w:hAnsi="Arial" w:cstheme="majorBidi" w:eastAsiaTheme="majorEastAsia"/>
      <w:b w:val="1"/>
      <w:sz w:val="28"/>
      <w:szCs w:val="32"/>
    </w:rPr>
  </w:style>
  <w:style w:type="character" w:styleId="NzevChar" w:customStyle="1">
    <w:name w:val="Název Char"/>
    <w:basedOn w:val="Standardnpsmoodstavce"/>
    <w:link w:val="Nzev"/>
    <w:uiPriority w:val="10"/>
    <w:rsid w:val="00922C58"/>
    <w:rPr>
      <w:rFonts w:ascii="Arial" w:hAnsi="Arial" w:cstheme="majorBidi" w:eastAsiaTheme="majorEastAsia"/>
      <w:b w:val="1"/>
      <w:color w:val="000000" w:themeColor="text1"/>
      <w:spacing w:val="-10"/>
      <w:kern w:val="28"/>
      <w:sz w:val="28"/>
      <w:szCs w:val="56"/>
    </w:rPr>
  </w:style>
  <w:style w:type="character" w:styleId="Nadpis2Char" w:customStyle="1">
    <w:name w:val="Nadpis 2 Char"/>
    <w:basedOn w:val="Standardnpsmoodstavce"/>
    <w:link w:val="Nadpis2"/>
    <w:uiPriority w:val="9"/>
    <w:rsid w:val="00922C58"/>
    <w:rPr>
      <w:rFonts w:ascii="Arial" w:hAnsi="Arial" w:cstheme="majorBidi" w:eastAsiaTheme="majorEastAsia"/>
      <w:b w:val="1"/>
      <w:color w:val="000000" w:themeColor="text1"/>
      <w:sz w:val="24"/>
      <w:szCs w:val="26"/>
    </w:rPr>
  </w:style>
  <w:style w:type="character" w:styleId="Nadpis3Char" w:customStyle="1">
    <w:name w:val="Nadpis 3 Char"/>
    <w:basedOn w:val="Standardnpsmoodstavce"/>
    <w:link w:val="Nadpis3"/>
    <w:uiPriority w:val="9"/>
    <w:semiHidden w:val="1"/>
    <w:rsid w:val="00922C58"/>
    <w:rPr>
      <w:rFonts w:ascii="Arial" w:hAnsi="Arial" w:cstheme="majorBidi" w:eastAsiaTheme="majorEastAsia"/>
      <w:i w:val="1"/>
      <w:color w:val="000000" w:themeColor="text1"/>
      <w:sz w:val="24"/>
      <w:szCs w:val="24"/>
    </w:rPr>
  </w:style>
  <w:style w:type="paragraph" w:styleId="Odstavecseseznamem">
    <w:name w:val="List Paragraph"/>
    <w:basedOn w:val="Normln"/>
    <w:uiPriority w:val="34"/>
    <w:qFormat w:val="1"/>
    <w:rsid w:val="006F4EE9"/>
    <w:pPr>
      <w:ind w:left="720"/>
      <w:contextualSpacing w:val="1"/>
    </w:pPr>
  </w:style>
  <w:style w:type="table" w:styleId="Mkatabulky">
    <w:name w:val="Table Grid"/>
    <w:basedOn w:val="Normlntabulka"/>
    <w:uiPriority w:val="39"/>
    <w:rsid w:val="006F4EE9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odnadpis">
    <w:name w:val="Subtitle"/>
    <w:basedOn w:val="Normln"/>
    <w:next w:val="Normln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KsJJhjAZ1lklGNWEj8yWd9jElA==">AMUW2mUMuvo1e/IZ4qqdRMTOlimLwZ/bhaLYzj2839vI+pjlR8nrRpiLGhXfJ+aR3KBLB3PtUaGLySa8Hdet36lUFdDZSth3k6eNjfCHCg/g/jghdnn17Tg=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2021-02-19T08:18:00Z</dcterms:created>
  <dc:creator>Róbert Antal</dc:creator>
</cp:coreProperties>
</file>