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3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OAI-PMH</w:t>
      </w:r>
      <w:r>
        <w:t xml:space="preserve"> </w:t>
      </w:r>
      <w:r>
        <w:t xml:space="preserve">API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p>
      <w:pPr>
        <w:pStyle w:val="FirstParagraph"/>
      </w:pPr>
      <w:r>
        <w:t xml:space="preserve">API v současné době nabízí službu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Cs/>
          <w:i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numPr>
          <w:ilvl w:val="0"/>
          <w:numId w:val="1001"/>
        </w:numPr>
        <w:pStyle w:val="Compact"/>
      </w:pPr>
      <w:hyperlink r:id="rId21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3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4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api-poster"/>
          <w:p>
            <w:pPr>
              <w:jc w:val="center"/>
            </w:pPr>
            <w:hyperlink r:id="rId28">
              <w:r>
                <w:drawing>
                  <wp:inline>
                    <wp:extent cx="2333402" cy="3302849"/>
                    <wp:effectExtent b="0" l="0" r="0" t="0"/>
                    <wp:docPr descr="" title="" id="26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27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29"/>
        </w:tc>
      </w:tr>
    </w:tbl>
    <w:bookmarkStart w:id="56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3" w:name="fig-api"/>
          <w:p>
            <w:pPr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3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Cs/>
          <w:i/>
        </w:rPr>
        <w:t xml:space="preserve">AMCR Filter</w:t>
      </w:r>
      <w:r>
        <w:t xml:space="preserve">,</w:t>
      </w:r>
      <w:r>
        <w:t xml:space="preserve"> </w:t>
      </w:r>
      <w:r>
        <w:rPr>
          <w:iCs/>
          <w:i/>
        </w:rPr>
        <w:t xml:space="preserve">RDF Converter</w:t>
      </w:r>
      <w:r>
        <w:t xml:space="preserve">,</w:t>
      </w:r>
      <w:r>
        <w:t xml:space="preserve"> </w:t>
      </w:r>
      <w:r>
        <w:rPr>
          <w:iCs/>
          <w:i/>
        </w:rPr>
        <w:t xml:space="preserve">Scrub</w:t>
      </w:r>
      <w:r>
        <w:t xml:space="preserve">,</w:t>
      </w:r>
      <w:r>
        <w:t xml:space="preserve"> </w:t>
      </w:r>
      <w:r>
        <w:rPr>
          <w:iCs/>
          <w:i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api-reseni"/>
          <w:p>
            <w:pPr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1" w:name="fig-api-sety"/>
          <w:p>
            <w:pPr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1"/>
        </w:tc>
      </w:tr>
    </w:tbl>
    <w:bookmarkStart w:id="55" w:name="řešení-filtrace"/>
    <w:p>
      <w:pPr>
        <w:pStyle w:val="Heading3"/>
      </w:pPr>
      <w:r>
        <w:t xml:space="preserve">Řešení filtrace</w:t>
      </w:r>
    </w:p>
    <w:bookmarkStart w:id="47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2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3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6" w:name="fig-api-pristupnost"/>
          <w:p>
            <w:pPr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6"/>
        </w:tc>
      </w:tr>
    </w:tbl>
    <w:bookmarkEnd w:id="47"/>
    <w:bookmarkStart w:id="49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bookmarkStart w:id="48" w:name="tbl-api-sets"/>
    <w:p>
      <w:pPr>
        <w:pStyle w:val="TableCaption"/>
      </w:pPr>
      <w:r>
        <w:t xml:space="preserve">Tab. 1: Sety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. 1: Sety"/>
      </w:tblPr>
      <w:tblGrid>
        <w:gridCol w:w="1584"/>
        <w:gridCol w:w="633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setSpec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setName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projekt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Projekty / Projects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akce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Akce / Fieldwork Events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lokalita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Lokality / Sites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dok_jednotka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Dokumentační jednotky / Descriptive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Archeologický dokumentační bod / Archaeological Documentation Point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dokument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Dokumenty / Documents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soubor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Soubory / Files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/ Spatial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ext_zdroj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Externí zdroje / External Sources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Lety / Flights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samostatny_nalez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Samostatné nálezy / Individual Finds</w:t>
            </w:r>
          </w:p>
        </w:tc>
      </w:tr>
    </w:tbl>
    <w:bookmarkEnd w:id="48"/>
    <w:bookmarkEnd w:id="49"/>
    <w:bookmarkStart w:id="54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api-datestamps"/>
          <w:p>
            <w:pPr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3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2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4"/>
    <w:bookmarkEnd w:id="55"/>
    <w:bookmarkEnd w:id="56"/>
    <w:bookmarkStart w:id="59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Cs/>
          <w:i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Postman</w:t>
      </w:r>
      <w:r>
        <w:t xml:space="preserve">.</w:t>
      </w:r>
    </w:p>
    <w:bookmarkStart w:id="57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57"/>
    <w:bookmarkStart w:id="58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Cs/>
          <w:i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Cs/>
          <w:i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Cs/>
          <w:i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Cs/>
          <w:i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58"/>
    <w:bookmarkEnd w:id="59"/>
    <w:bookmarkStart w:id="77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0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2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1">
        <w:r>
          <w:rPr>
            <w:rStyle w:val="Hyperlink"/>
          </w:rPr>
          <w:t xml:space="preserve">https://api.aiscr.cz/dapro/oai?verb=Identify</w:t>
        </w:r>
      </w:hyperlink>
    </w:p>
    <w:bookmarkEnd w:id="62"/>
    <w:bookmarkStart w:id="64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3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numPr>
          <w:ilvl w:val="0"/>
          <w:numId w:val="1002"/>
        </w:numPr>
        <w:pStyle w:val="Compact"/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numPr>
          <w:ilvl w:val="0"/>
          <w:numId w:val="1002"/>
        </w:numPr>
        <w:pStyle w:val="Compact"/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numPr>
          <w:ilvl w:val="0"/>
          <w:numId w:val="1002"/>
        </w:numPr>
        <w:pStyle w:val="Compact"/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4"/>
    <w:bookmarkStart w:id="69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68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69"/>
    <w:bookmarkStart w:id="71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0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1"/>
    <w:bookmarkStart w:id="74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Cs/>
          <w:i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2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6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5">
        <w:r>
          <w:rPr>
            <w:rStyle w:val="Hyperlink"/>
          </w:rPr>
          <w:t xml:space="preserve">https://api.aiscr.cz/dapro/oai?verb=ListSets</w:t>
        </w:r>
      </w:hyperlink>
    </w:p>
    <w:bookmarkEnd w:id="76"/>
    <w:bookmarkEnd w:id="77"/>
    <w:bookmarkStart w:id="90" w:name="parametry"/>
    <w:p>
      <w:pPr>
        <w:pStyle w:val="Heading2"/>
      </w:pPr>
      <w:r>
        <w:t xml:space="preserve">Parametry</w:t>
      </w:r>
    </w:p>
    <w:bookmarkStart w:id="80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78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79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0"/>
    <w:bookmarkStart w:id="89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1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2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3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1"/>
    <w:bookmarkStart w:id="83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5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3"/>
    <w:bookmarkStart w:id="88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4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87" w:name="refs"/>
    <w:bookmarkStart w:id="86" w:name="ref-pajdla2021a"/>
    <w:p>
      <w:pPr>
        <w:pStyle w:val="Bibliography"/>
      </w:pPr>
      <w:r>
        <w:t xml:space="preserve">Pajdla, P. 2021</w:t>
      </w:r>
      <w:r>
        <w:t xml:space="preserve"> </w:t>
      </w:r>
      <w:hyperlink r:id="rId85">
        <w:r>
          <w:rPr>
            <w:rStyle w:val="Hyperlink"/>
            <w:iCs/>
            <w:i/>
          </w:rPr>
          <w:t xml:space="preserve">AIS CR Public API</w:t>
        </w:r>
        <w:r>
          <w:rPr>
            <w:rStyle w:val="Hyperlink"/>
            <w:iCs/>
            <w:i/>
          </w:rPr>
          <w:t xml:space="preserve">:</w:t>
        </w:r>
        <w:r>
          <w:rPr>
            <w:rStyle w:val="Hyperlink"/>
            <w:iCs/>
            <w:i/>
          </w:rPr>
          <w:t xml:space="preserve"> </w:t>
        </w:r>
        <w:r>
          <w:rPr>
            <w:rStyle w:val="Hyperlink"/>
            <w:iCs/>
            <w:i/>
          </w:rPr>
          <w:t xml:space="preserve">AMCR Data Provider</w:t>
        </w:r>
      </w:hyperlink>
      <w:r>
        <w:t xml:space="preserve">.</w:t>
      </w:r>
    </w:p>
    <w:bookmarkEnd w:id="86"/>
    <w:bookmarkEnd w:id="87"/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OAI-PMH API</dc:title>
  <dc:creator/>
  <dc:description>Manuál k OAI-PMH API, které poskytuje metadatové záznamy z AMČR.</dc:description>
  <dc:language>cs</dc:language>
  <cp:keywords/>
  <dcterms:created xsi:type="dcterms:W3CDTF">2023-09-14T10:15:43Z</dcterms:created>
  <dcterms:modified xsi:type="dcterms:W3CDTF">2023-09-14T10:15:43Z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date">
    <vt:lpwstr>1. 6. 2020</vt:lpwstr>
  </property>
  <property fmtid="{D5CDD505-2E9C-101B-9397-08002B2CF9AE}" pid="8" name="date-format">
    <vt:lpwstr>D. M. YYYY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Na této stránce…</vt:lpwstr>
  </property>
</Properties>
</file>