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dok.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1"/>
        </w:numPr>
        <w:pStyle w:val="Compact"/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j-schema"/>
          <w:p>
            <w:pPr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./o-systemu/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Cs/>
                <w:i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Cs/>
          <w:i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Cs/>
          <w:i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Cs/>
          <w:b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Cs/>
          <w:b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Cs/>
          <w:b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Cs/>
          <w:b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Cs/>
          <w:b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Cs/>
          <w:b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Cs/>
          <w:b/>
        </w:rPr>
        <w:t xml:space="preserve">?@fig-dj-dalnic</w:t>
      </w:r>
      <w:r>
        <w:t xml:space="preserve">).</w:t>
      </w:r>
      <w:r>
        <w:t xml:space="preserve"> </w:t>
      </w:r>
      <w:r>
        <w:rPr>
          <w:bCs/>
          <w:b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Cs/>
          <w:b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Cs/>
          <w:b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rPr>
          <w:bCs/>
          <w:b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Cs/>
          <w:b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Cs/>
          <w:i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dok. jednotek</dc:title>
  <dc:creator/>
  <dc:description>Pokyny pro volbu a zápis správného typu dokumentačních jednotek.</dc:description>
  <dc:language>cs</dc:language>
  <cp:keywords/>
  <dcterms:created xsi:type="dcterms:W3CDTF">2023-08-11T13:52:09Z</dcterms:created>
  <dcterms:modified xsi:type="dcterms:W3CDTF">2023-08-11T13:52:09Z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