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Evidence</w:t>
      </w:r>
      <w:r>
        <w:t xml:space="preserve"> </w:t>
      </w:r>
      <w:r>
        <w:t xml:space="preserve">lokalit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Cs/>
                <w:i/>
              </w:rPr>
              <w:t xml:space="preserve">Zásady evidence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“</w:t>
            </w:r>
            <w:r>
              <w:rPr>
                <w:iCs/>
                <w:i/>
              </w:rPr>
              <w:t xml:space="preserve">nemovitých</w:t>
            </w:r>
            <w:r>
              <w:rPr>
                <w:iCs/>
                <w:i/>
              </w:rPr>
              <w:t xml:space="preserve">”</w:t>
            </w:r>
            <w:r>
              <w:rPr>
                <w:iCs/>
                <w:i/>
              </w:rPr>
              <w:t xml:space="preserve"> </w:t>
            </w:r>
            <w:r>
              <w:rPr>
                <w:iCs/>
                <w:i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Cs/>
          <w:b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Cs/>
          <w:i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Cs/>
          <w:b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lok-dj"/>
          <w:p>
            <w:pPr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numPr>
          <w:ilvl w:val="0"/>
          <w:numId w:val="1001"/>
        </w:numPr>
        <w:pStyle w:val="Compact"/>
      </w:pPr>
      <w:r>
        <w:t xml:space="preserve">nevznikaly redundantní informace;</w:t>
      </w:r>
    </w:p>
    <w:p>
      <w:pPr>
        <w:numPr>
          <w:ilvl w:val="0"/>
          <w:numId w:val="1001"/>
        </w:numPr>
        <w:pStyle w:val="Compact"/>
      </w:pPr>
      <w:r>
        <w:t xml:space="preserve">nedocházelo ke ztrátě informací a</w:t>
      </w:r>
    </w:p>
    <w:p>
      <w:pPr>
        <w:numPr>
          <w:ilvl w:val="0"/>
          <w:numId w:val="1001"/>
        </w:numPr>
        <w:pStyle w:val="Compact"/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numPr>
          <w:ilvl w:val="0"/>
          <w:numId w:val="1002"/>
        </w:numPr>
        <w:pStyle w:val="Compact"/>
      </w:pPr>
      <w:r>
        <w:t xml:space="preserve">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numPr>
          <w:ilvl w:val="0"/>
          <w:numId w:val="1002"/>
        </w:numPr>
        <w:pStyle w:val="Compact"/>
      </w:pPr>
      <w:r>
        <w:t xml:space="preserve">Vytvoření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numPr>
          <w:ilvl w:val="0"/>
          <w:numId w:val="1002"/>
        </w:numPr>
        <w:pStyle w:val="Compact"/>
      </w:pPr>
      <w:r>
        <w:t xml:space="preserve">Pokud z takové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Cs/>
          <w:i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numPr>
          <w:ilvl w:val="0"/>
          <w:numId w:val="1002"/>
        </w:numPr>
        <w:pStyle w:val="Compact"/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numPr>
          <w:ilvl w:val="0"/>
          <w:numId w:val="1002"/>
        </w:numPr>
        <w:pStyle w:val="Compact"/>
      </w:pPr>
      <w:r>
        <w:t xml:space="preserve">Jsme si vědomi arbitrárnosti výběru a popisu komponent</w:t>
      </w:r>
      <w:r>
        <w:t xml:space="preserve"> </w:t>
      </w:r>
      <w:r>
        <w:rPr>
          <w:iCs/>
          <w:i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Cs/>
          <w:i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Cs/>
          <w:i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Cs/>
          <w:i/>
        </w:rPr>
        <w:t xml:space="preserve">assemblage</w:t>
      </w:r>
      <w:r>
        <w:t xml:space="preserve">).</w:t>
      </w:r>
    </w:p>
    <w:p>
      <w:pPr>
        <w:numPr>
          <w:ilvl w:val="0"/>
          <w:numId w:val="1002"/>
        </w:numPr>
        <w:pStyle w:val="Compact"/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Cs/>
          <w:i/>
        </w:rPr>
        <w:t xml:space="preserve">lokality</w:t>
      </w:r>
      <w:r>
        <w:t xml:space="preserve">, i když jsou na stejném místě (typicky třeba hrad na hradišti).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numPr>
          <w:ilvl w:val="0"/>
          <w:numId w:val="1002"/>
        </w:numPr>
        <w:pStyle w:val="Compact"/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Cs/>
          <w:i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Cs/>
          <w:i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Cs/>
          <w:i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Cs/>
          <w:i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numPr>
          <w:ilvl w:val="1"/>
          <w:numId w:val="1004"/>
        </w:numPr>
        <w:pStyle w:val="Compact"/>
      </w:pPr>
      <w:r>
        <w:t xml:space="preserve">se průběžně mění s přibýváním archeologických akcí a</w:t>
      </w:r>
    </w:p>
    <w:p>
      <w:pPr>
        <w:numPr>
          <w:ilvl w:val="1"/>
          <w:numId w:val="1004"/>
        </w:numPr>
        <w:pStyle w:val="Compact"/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Cs/>
          <w:i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Cs/>
          <w:i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Cs/>
          <w:b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Cs/>
          <w:i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Cs/>
          <w:b/>
        </w:rPr>
        <w:t xml:space="preserve">typy lokalit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L</w:t>
      </w:r>
      <w:r>
        <w:t xml:space="preserve"> </w:t>
      </w:r>
      <w:r>
        <w:t xml:space="preserve">(</w:t>
      </w:r>
      <w:r>
        <w:rPr>
          <w:bCs/>
          <w:b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Cs/>
          <w:i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</w:t>
      </w:r>
      <w:r>
        <w:t xml:space="preserve"> </w:t>
      </w:r>
      <w:r>
        <w:rPr>
          <w:iCs/>
          <w:i/>
        </w:rPr>
        <w:t xml:space="preserve">et al.</w:t>
      </w:r>
      <w:r>
        <w:t xml:space="preserve"> </w:t>
      </w:r>
      <w:r>
        <w:t xml:space="preserve">(2022)</w:t>
      </w:r>
      <w:r>
        <w:t xml:space="preserve">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N</w:t>
      </w:r>
      <w:r>
        <w:t xml:space="preserve"> </w:t>
      </w:r>
      <w:r>
        <w:t xml:space="preserve">(</w:t>
      </w:r>
      <w:r>
        <w:rPr>
          <w:bCs/>
          <w:b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K</w:t>
      </w:r>
      <w:r>
        <w:t xml:space="preserve"> </w:t>
      </w:r>
      <w:r>
        <w:t xml:space="preserve">(</w:t>
      </w:r>
      <w:r>
        <w:rPr>
          <w:bCs/>
          <w:b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Cs/>
          <w:b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Cs/>
          <w:i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bookmarkStart w:id="34" w:name="tbl-lok-typy"/>
    <w:p>
      <w:pPr>
        <w:pStyle w:val="TableCaption"/>
      </w:pPr>
      <w:r>
        <w:t xml:space="preserve">Tab. 1: Typy a druhy lokalit</w:t>
      </w:r>
    </w:p>
    <w:tbl>
      <w:tblPr>
        <w:tblStyle w:val="Table"/>
        <w:tblW w:type="pct" w:w="4905"/>
        <w:tblLook w:firstRow="1" w:lastRow="0" w:firstColumn="0" w:lastColumn="0" w:noHBand="0" w:noVBand="0" w:val="0020"/>
        <w:jc w:val="start"/>
        <w:tblCaption w:val="Tab. 1: Typy a druhy lokalit"/>
      </w:tblPr>
      <w:tblGrid>
        <w:gridCol w:w="1131"/>
        <w:gridCol w:w="2640"/>
        <w:gridCol w:w="2790"/>
        <w:gridCol w:w="12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 lokality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obecný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Druh konkrétní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L</w:t>
            </w:r>
            <w:r>
              <w:t xml:space="preserve"> </w:t>
            </w:r>
            <w:r>
              <w:t xml:space="preserve">letecká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polygon archeologického průzkumu</w:t>
            </w:r>
          </w:p>
        </w:tc>
        <w:tc>
          <w:tcPr/>
          <w:p>
            <w:pPr>
              <w:numPr>
                <w:ilvl w:val="0"/>
                <w:numId w:val="1006"/>
              </w:numPr>
              <w:pStyle w:val="Compact"/>
              <w:jc w:val="left"/>
            </w:pPr>
            <w:r>
              <w:t xml:space="preserve">polygon leteckého průzkumu</w:t>
            </w:r>
          </w:p>
        </w:tc>
        <w:tc>
          <w:tcPr>
            <w:vMerge w:val="restart"/>
          </w:tcPr>
          <w:p>
            <w:pPr>
              <w:pStyle w:val="Compact"/>
              <w:jc w:val="left"/>
            </w:pPr>
            <w:r>
              <w:t xml:space="preserve">Vlastní PIAN</w:t>
            </w:r>
          </w:p>
        </w:tc>
      </w:tr>
      <w:tr>
        <w:tc>
          <w:tcPr>
            <w:vMerge w:val="restart"/>
          </w:tcPr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nemovitá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přírodní útvar</w:t>
            </w:r>
            <w:r>
              <w:t xml:space="preserve"> </w:t>
            </w:r>
            <w:r>
              <w:t xml:space="preserve">s lidskou aktivitou</w:t>
            </w:r>
          </w:p>
        </w:tc>
        <w:tc>
          <w:tcPr/>
          <w:p>
            <w:pPr>
              <w:numPr>
                <w:ilvl w:val="0"/>
                <w:numId w:val="1007"/>
              </w:numPr>
              <w:pStyle w:val="Compact"/>
              <w:jc w:val="left"/>
            </w:pPr>
            <w:r>
              <w:t xml:space="preserve">jeskyně/skalní prostor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>
            <w:gridSpan w:val="1"/>
            <w:vMerge w:val="continue"/>
          </w:tcPr>
          <w:p>
            <w:pPr/>
          </w:p>
        </w:tc>
        <w:tc>
          <w:tcPr/>
          <w:p>
            <w:pPr>
              <w:pStyle w:val="Compact"/>
              <w:jc w:val="left"/>
            </w:pPr>
            <w:r>
              <w:t xml:space="preserve">zaniklý/historický areál</w:t>
            </w:r>
          </w:p>
        </w:tc>
        <w:tc>
          <w:tcPr/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mohylové pohřebiště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pravěké/raně středověké ohrazení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středověké/novověké sídlo elity</w:t>
            </w:r>
          </w:p>
          <w:p>
            <w:pPr>
              <w:numPr>
                <w:ilvl w:val="0"/>
                <w:numId w:val="1008"/>
              </w:numPr>
              <w:pStyle w:val="Compact"/>
              <w:jc w:val="left"/>
            </w:pPr>
            <w:r>
              <w:t xml:space="preserve">těžěbní areál</w:t>
            </w:r>
          </w:p>
        </w:tc>
        <w:tc>
          <w:tcPr>
            <w:gridSpan w:val="1"/>
            <w:vMerge w:val="continue"/>
          </w:tcPr>
          <w:p>
            <w:pPr/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K</w:t>
            </w:r>
            <w:r>
              <w:t xml:space="preserve"> </w:t>
            </w:r>
            <w:r>
              <w:t xml:space="preserve">krajina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krajina</w:t>
            </w:r>
          </w:p>
        </w:tc>
        <w:tc>
          <w:tcPr/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krajina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památník/pomník</w:t>
            </w:r>
          </w:p>
          <w:p>
            <w:pPr>
              <w:numPr>
                <w:ilvl w:val="0"/>
                <w:numId w:val="1009"/>
              </w:numPr>
              <w:pStyle w:val="Compact"/>
              <w:jc w:val="left"/>
            </w:pPr>
            <w:r>
              <w:t xml:space="preserve">muzeum/skanzen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katastru</w:t>
            </w:r>
          </w:p>
        </w:tc>
      </w:tr>
    </w:tbl>
    <w:bookmarkEnd w:id="34"/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Cs/>
          <w:i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Cs/>
          <w:b/>
        </w:rPr>
        <w:t xml:space="preserve">N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numPr>
          <w:ilvl w:val="0"/>
          <w:numId w:val="1010"/>
        </w:numPr>
        <w:pStyle w:val="Compact"/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numPr>
          <w:ilvl w:val="0"/>
          <w:numId w:val="1010"/>
        </w:numPr>
        <w:pStyle w:val="Compact"/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numPr>
          <w:ilvl w:val="0"/>
          <w:numId w:val="1010"/>
        </w:numPr>
        <w:pStyle w:val="Compact"/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Cs/>
          <w:b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Cs/>
          <w:b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9" w:name="fig-lok-dtb"/>
          <w:p>
            <w:pPr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numPr>
          <w:ilvl w:val="1"/>
          <w:numId w:val="1012"/>
        </w:numPr>
        <w:pStyle w:val="Compact"/>
      </w:pPr>
      <w:r>
        <w:t xml:space="preserve">Na prvním místě uvést</w:t>
      </w:r>
      <w:r>
        <w:t xml:space="preserve"> </w:t>
      </w:r>
      <w:r>
        <w:rPr>
          <w:bCs/>
          <w:b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numPr>
          <w:ilvl w:val="1"/>
          <w:numId w:val="1012"/>
        </w:numPr>
        <w:pStyle w:val="Compact"/>
      </w:pPr>
      <w:r>
        <w:t xml:space="preserve">Za pomlčkou uvést</w:t>
      </w:r>
      <w:r>
        <w:t xml:space="preserve"> </w:t>
      </w:r>
      <w:r>
        <w:rPr>
          <w:bCs/>
          <w:b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Cs/>
          <w:b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numPr>
          <w:ilvl w:val="1"/>
          <w:numId w:val="1012"/>
        </w:numPr>
        <w:pStyle w:val="Compact"/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Cs/>
          <w:b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numPr>
          <w:ilvl w:val="1"/>
          <w:numId w:val="1012"/>
        </w:numPr>
        <w:pStyle w:val="Compact"/>
      </w:pPr>
      <w:r>
        <w:t xml:space="preserve">Název uvést vždy</w:t>
      </w:r>
      <w:r>
        <w:t xml:space="preserve"> </w:t>
      </w:r>
      <w:r>
        <w:rPr>
          <w:bCs/>
          <w:b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numPr>
          <w:ilvl w:val="1"/>
          <w:numId w:val="1012"/>
        </w:numPr>
        <w:pStyle w:val="Compact"/>
      </w:pPr>
      <w:r>
        <w:t xml:space="preserve">Pokud existují obecně užívané</w:t>
      </w:r>
      <w:r>
        <w:t xml:space="preserve"> </w:t>
      </w:r>
      <w:r>
        <w:rPr>
          <w:bCs/>
          <w:b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Cs/>
          <w:i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Cs/>
          <w:b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Cs/>
          <w:i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Cs/>
          <w:i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Cs/>
          <w:i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Cs/>
          <w:i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Cs/>
          <w:i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mohylníků</w:t>
      </w:r>
      <w:r>
        <w:t xml:space="preserve"> </w:t>
      </w:r>
      <w:r>
        <w:t xml:space="preserve">jde o pole: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Cs/>
          <w:b/>
        </w:rPr>
        <w:t xml:space="preserve">hradišť</w:t>
      </w:r>
      <w:r>
        <w:t xml:space="preserve"> </w:t>
      </w:r>
      <w:r>
        <w:t xml:space="preserve">jde o pole: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numPr>
          <w:ilvl w:val="0"/>
          <w:numId w:val="1016"/>
        </w:numPr>
        <w:pStyle w:val="Compact"/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lok-dok"/>
          <w:p>
            <w:pPr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numPr>
          <w:ilvl w:val="1"/>
          <w:numId w:val="1018"/>
        </w:numPr>
        <w:pStyle w:val="Compact"/>
      </w:pPr>
      <w:r>
        <w:t xml:space="preserve">Skutečné archeologicky identifikované hranice lokality (destruktivně i nedestruktivně).</w:t>
      </w:r>
    </w:p>
    <w:p>
      <w:pPr>
        <w:numPr>
          <w:ilvl w:val="1"/>
          <w:numId w:val="1018"/>
        </w:numPr>
        <w:pStyle w:val="Compact"/>
      </w:pPr>
      <w:r>
        <w:t xml:space="preserve">Přirozený tvar reliéfu, hranice zástavby a průběh komunikací.</w:t>
      </w:r>
    </w:p>
    <w:p>
      <w:pPr>
        <w:numPr>
          <w:ilvl w:val="1"/>
          <w:numId w:val="1018"/>
        </w:numPr>
        <w:pStyle w:val="Compact"/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lok-gis1"/>
          <w:p>
            <w:pPr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-lok-gis2"/>
          <w:p>
            <w:pPr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Cs/>
          <w:b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-lok-pian1"/>
          <w:p>
            <w:pPr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lok-pian2"/>
          <w:p>
            <w:pPr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Cs/>
                <w:b/>
              </w:rPr>
              <w:t xml:space="preserve">L</w:t>
            </w:r>
            <w:r>
              <w:t xml:space="preserve">/</w:t>
            </w:r>
            <w:r>
              <w:rPr>
                <w:bCs/>
                <w:b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2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1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0" w:name="refs"/>
    <w:bookmarkStart w:id="67" w:name="ref-gojda2022"/>
    <w:p>
      <w:pPr>
        <w:pStyle w:val="Bibliography"/>
      </w:pPr>
      <w:r>
        <w:t xml:space="preserve">Gojda, M., Novák, D., Kuna, M., Vavřín, P., a Bíšková, J. 2022</w:t>
      </w:r>
      <w:r>
        <w:t xml:space="preserve"> </w:t>
      </w:r>
      <w:r>
        <w:rPr>
          <w:iCs/>
          <w:i/>
        </w:rPr>
        <w:t xml:space="preserve">Metodika Zpracování a Evidence Dat Leteckého Průzkumu v Archeologii</w:t>
      </w:r>
      <w:r>
        <w:t xml:space="preserve">,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</w:p>
    <w:bookmarkEnd w:id="67"/>
    <w:bookmarkStart w:id="69" w:name="ref-kuna2020"/>
    <w:p>
      <w:pPr>
        <w:pStyle w:val="Bibliography"/>
      </w:pPr>
      <w:r>
        <w:t xml:space="preserve">Kuna, M. a Novák, D. 2020</w:t>
      </w:r>
      <w:r>
        <w:t xml:space="preserve"> </w:t>
      </w:r>
      <w:r>
        <w:t xml:space="preserve">„Zásady evidence lokalit v AMČR"</w:t>
      </w:r>
      <w:r>
        <w:t xml:space="preserve">.</w:t>
      </w:r>
      <w:r>
        <w:t xml:space="preserve"> </w:t>
      </w:r>
      <w:hyperlink r:id="rId68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69"/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8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Evidence lokalit</dc:title>
  <dc:creator>Martin Kuna; David Novák</dc:creator>
  <dc:description>Zásady evidence nemovitých archeologických památek (lokalit).</dc:description>
  <dc:language>cs</dc:language>
  <cp:keywords/>
  <dcterms:created xsi:type="dcterms:W3CDTF">2023-08-11T13:51:47Z</dcterms:created>
  <dcterms:modified xsi:type="dcterms:W3CDTF">2023-08-11T13:51:47Z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21. 10. 2020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10.5281/zenodo.4113964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