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hyperlink r:id="rId67">
        <w:r>
          <w:rPr>
            <w:rStyle w:val="Hyperlink"/>
            <w:iCs/>
            <w:i/>
          </w:rPr>
          <w:t xml:space="preserve">Metodika Zpracování a Evidence Dat Leteckého Průzkumu v Archeologii</w:t>
        </w:r>
      </w:hyperlink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2023-10-23T13:23:27Z</dcterms:created>
  <dcterms:modified xsi:type="dcterms:W3CDTF">2023-10-23T13:23:27Z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Zásady evidence nemovitých archeologických památek (lokalit)</vt:lpwstr>
  </property>
  <property fmtid="{D5CDD505-2E9C-101B-9397-08002B2CF9AE}" pid="17" name="toc-title">
    <vt:lpwstr>Na této stránce…</vt:lpwstr>
  </property>
</Properties>
</file>