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 Archeologická mapa České republiky (AMČR) integruje dvě základní oblasti správy archeologického dědictví ČR. Na jedné straně jde o oborový agendový systém, který má zajistit průběžnou administrativní evidenci připravovaných i probíhajících terénních výzkumů a umožnit tak efektivní kontrolu jejich kvality a následného zpracování do podoby nálezové zprávy. Na druhé straně jde o budování souhrnného přehledu archeologického dědictví ČR, tedy o vytvoření „národní“ databáze archeologického kulturního dědictví. 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</w:p>
    <w:p>
      <w:pPr>
        <w:pStyle w:val="BodyText"/>
      </w:pPr>
      <w:r>
        <w:t xml:space="preserve">AMČR slučuje některé dosud nespojité datové báze a operace související s jejich plněním a správou. Jde o (1) administrativní evidenci plánovaných a probíhajících terénních archeologických výzkumů; (2) shromažďování informací o odborných výsledcích archeologických terénních aktivit (jak těch prošly administrativní evidencí zmíněnou výše, tak aktivit staršího data a jiných druhů); (3) systematické podchycení dalších archeologických památek v krajině, známých především z dlouhodobého povrchového a dálkového průzkumu a (4) správu repozitáře terénní dokumentace pro účely Archeologických ústavů AV ČR v Praze a Brně (ARÚP a ARÚB), případně dalších institucí, v rozsahu daném platnou legislativou.</w:t>
      </w:r>
    </w:p>
    <w:p>
      <w:pPr>
        <w:pStyle w:val="BodyText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 Základním způsobem, jak tohoto cíle má být dosaženo, je vytvoření autoritních seznamů archeologických projektů, terénních akcí, dokumentů a dalších jednotek informačního systému. Evidence těchto jednotek pomocí jednotných a persistentních identifikátorů umožňuje spolehlivě identifikovat každý z prvků archeologického fondu a vytvářet mezi prvky účelné vazby (např. nález k akci, akce k dokumentu apod.).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2024-07-12T07:31:43Z</dcterms:created>
  <dcterms:modified xsi:type="dcterms:W3CDTF">2024-07-12T07:31:43Z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