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numPr>
          <w:ilvl w:val="0"/>
          <w:numId w:val="1001"/>
        </w:numPr>
        <w:pStyle w:val="Compact"/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numPr>
          <w:ilvl w:val="0"/>
          <w:numId w:val="1003"/>
        </w:numPr>
        <w:pStyle w:val="Compact"/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numPr>
          <w:ilvl w:val="0"/>
          <w:numId w:val="1003"/>
        </w:numPr>
        <w:pStyle w:val="Compact"/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chema"/>
          <w:p>
            <w:pPr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Cs/>
          <w:b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numPr>
          <w:ilvl w:val="0"/>
          <w:numId w:val="1004"/>
        </w:numPr>
        <w:pStyle w:val="Compact"/>
      </w:pPr>
      <w:r>
        <w:t xml:space="preserve">badatelské;</w:t>
      </w:r>
    </w:p>
    <w:p>
      <w:pPr>
        <w:numPr>
          <w:ilvl w:val="0"/>
          <w:numId w:val="1004"/>
        </w:numPr>
        <w:pStyle w:val="Compact"/>
      </w:pPr>
      <w:r>
        <w:t xml:space="preserve">záchranné;</w:t>
      </w:r>
    </w:p>
    <w:p>
      <w:pPr>
        <w:numPr>
          <w:ilvl w:val="0"/>
          <w:numId w:val="1004"/>
        </w:numPr>
        <w:pStyle w:val="Compact"/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Cs/>
          <w:b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Cs/>
          <w:b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Cs/>
          <w:b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numPr>
          <w:ilvl w:val="0"/>
          <w:numId w:val="1005"/>
        </w:numPr>
        <w:pStyle w:val="Compact"/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numPr>
          <w:ilvl w:val="0"/>
          <w:numId w:val="1005"/>
        </w:numPr>
        <w:pStyle w:val="Compact"/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numPr>
          <w:ilvl w:val="0"/>
          <w:numId w:val="1005"/>
        </w:numPr>
        <w:pStyle w:val="Compact"/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Cs/>
          <w:b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dj"/>
          <w:p>
            <w:pPr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Cs/>
          <w:b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Cs/>
          <w:b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Cs/>
          <w:b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Cs/>
          <w:b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Cs/>
          <w:b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Cs/>
          <w:b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Cs/>
          <w:b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Cs/>
          <w:b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iCs/>
          <w:i/>
          <w:bCs/>
          <w:b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Cs/>
          <w:i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Cs/>
          <w:i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2014, s.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Cs/>
          <w:b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Cs/>
          <w:b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Cs/>
          <w:i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Cs/>
          <w:i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Cs/>
          <w:b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Cs/>
          <w:i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Cs/>
          <w:b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E. 1986</w:t>
      </w:r>
      <w:r>
        <w:t xml:space="preserve"> </w:t>
      </w:r>
      <w:r>
        <w:t xml:space="preserve">„Sídelní Areály Pravěkých Zemědělců"</w:t>
      </w:r>
      <w:r>
        <w:t xml:space="preserve">,</w:t>
      </w:r>
      <w:r>
        <w:t xml:space="preserve"> </w:t>
      </w:r>
      <w:r>
        <w:rPr>
          <w:iCs/>
          <w:i/>
        </w:rPr>
        <w:t xml:space="preserve">Památky Archeologické</w:t>
      </w:r>
      <w:r>
        <w:t xml:space="preserve"> </w:t>
      </w:r>
      <w:r>
        <w:rPr>
          <w:bCs/>
          <w:b/>
        </w:rPr>
        <w:t xml:space="preserve">67</w:t>
      </w:r>
      <w:r>
        <w:t xml:space="preserve">(1), 226–234.</w:t>
      </w:r>
    </w:p>
    <w:bookmarkEnd w:id="86"/>
    <w:bookmarkStart w:id="88" w:name="ref-perrin2014"/>
    <w:p>
      <w:pPr>
        <w:pStyle w:val="Bibliography"/>
      </w:pPr>
      <w:r>
        <w:t xml:space="preserve">Perrin, K., Brown, D.H., Lange, G., Bibby, D., Carlsson, A., Degraeve, A., Kuna, M., Larsson, Y., Pálsdóttir, S.U., Stoll-Tucker, B., Dunning, C., a Bieberstein, A.R.V. 2014</w:t>
      </w:r>
      <w:r>
        <w:t xml:space="preserve"> </w:t>
      </w:r>
      <w:hyperlink r:id="rId87">
        <w:r>
          <w:rPr>
            <w:rStyle w:val="Hyperlink"/>
            <w:iCs/>
            <w:i/>
          </w:rPr>
          <w:t xml:space="preserve">Standardy a příručka k dobré praxi péče o archeologické fondy v Evropě</w:t>
        </w:r>
      </w:hyperlink>
      <w:r>
        <w:t xml:space="preserve">,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2023-08-11T13:51:29Z</dcterms:created>
  <dcterms:modified xsi:type="dcterms:W3CDTF">2023-08-11T13:51:29Z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