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pojmy</w:t>
      </w:r>
    </w:p>
    <w:p>
      <w:pPr>
        <w:pStyle w:val="FirstParagraph"/>
      </w:pPr>
      <w:r>
        <w:t xml:space="preserve">Řídící jednotkou evidence terénních aktivit v ČR je (v návaznosti na Archeologickou databázi Čech) „archeologická akce“, tedy jeden terénní výzkum.</w:t>
      </w:r>
      <w:r>
        <w:t xml:space="preserve"> </w:t>
      </w:r>
      <w:r>
        <w:t xml:space="preserve">Tento pojem byl v rámci AMČR integrován do dynamického modelu archeologického výzkumu jakožto způsobu tvorby odborných poznatků (viz</w:t>
      </w:r>
      <w:r>
        <w:t xml:space="preserve"> </w:t>
      </w:r>
      <w:hyperlink w:anchor="fig-schema">
        <w:r>
          <w:rPr>
            <w:rStyle w:val="Hyperlink"/>
          </w:rPr>
          <w:t xml:space="preserve">Obr. 1</w:t>
        </w:r>
      </w:hyperlink>
      <w:r>
        <w:t xml:space="preserve">).</w:t>
      </w:r>
      <w:r>
        <w:t xml:space="preserve"> </w:t>
      </w:r>
      <w:r>
        <w:t xml:space="preserve">V tomto modelu prochází terénní archeologický výzkum postupně několika fázemi, z nichž v každé se pracuje se specifickými pojmy a kategoriemi.</w:t>
      </w:r>
      <w:r>
        <w:t xml:space="preserve"> </w:t>
      </w:r>
      <w:r>
        <w:t xml:space="preserve">Těmito fázemi jsou formulace odborných cílů a územní plánování; vlastní terénní práce; funkční a chronologická analýza prozkoumaného archeologického kontextu a syntéza a interpretace získaných dat.</w:t>
      </w:r>
      <w:r>
        <w:t xml:space="preserve"> </w:t>
      </w:r>
      <w:r>
        <w:t xml:space="preserve">Poté, co poznatky dospějí do fáze syntézy, mohou být kladeny nové výzkumné otázky a dochází k další iteraci poznávacího cyklu.</w:t>
      </w:r>
    </w:p>
    <w:p>
      <w:pPr>
        <w:pStyle w:val="BodyText"/>
      </w:pPr>
      <w:hyperlink r:id="rId20">
        <w:r>
          <w:rPr>
            <w:rStyle w:val="Hyperlink"/>
          </w:rPr>
          <w:t xml:space="preserve">Datový model</w:t>
        </w:r>
      </w:hyperlink>
      <w:r>
        <w:t xml:space="preserve"> </w:t>
      </w:r>
      <w:r>
        <w:t xml:space="preserve">AMČR je nastaven tak, aby dovedl co nejvěrněji postihnout dynamický tok informací ve zmíněných fázích.</w:t>
      </w:r>
      <w:r>
        <w:t xml:space="preserve"> </w:t>
      </w:r>
      <w:r>
        <w:t xml:space="preserve">Fázím poznávacího procesu odpovídají následující jednotky archeologické evidence: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projekty</w:t>
        </w:r>
      </w:hyperlink>
      <w:r>
        <w:t xml:space="preserve"> </w:t>
      </w:r>
      <w:r>
        <w:t xml:space="preserve">(plánování);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 </w:t>
      </w:r>
      <w:r>
        <w:t xml:space="preserve">(terénní práce);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komponenty</w:t>
        </w:r>
      </w:hyperlink>
      <w:r>
        <w:t xml:space="preserve"> </w:t>
      </w:r>
      <w:r>
        <w:t xml:space="preserve">(funkční a chronologická analýza) a</w:t>
      </w:r>
    </w:p>
    <w:p>
      <w:pPr>
        <w:numPr>
          <w:ilvl w:val="0"/>
          <w:numId w:val="1001"/>
        </w:numPr>
        <w:pStyle w:val="Compact"/>
      </w:pPr>
      <w:r>
        <w:t xml:space="preserve">krajinné entity (syntéza).</w:t>
      </w:r>
    </w:p>
    <w:p>
      <w:pPr>
        <w:pStyle w:val="FirstParagraph"/>
      </w:pPr>
      <w:r>
        <w:t xml:space="preserve">Kromě nich existují v AMČR ještě další čtyři důležité skupiny dat, které využívá pro bližší specifikaci podoby a obsahu předchozích kategorií.</w:t>
      </w:r>
      <w:r>
        <w:t xml:space="preserve"> </w:t>
      </w:r>
      <w:r>
        <w:t xml:space="preserve">Jde především o repozitář a soubor metadat terénní dokumentace v repozitářích Archeologických ústavů AV ČR, tzv.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dokumenty</w:t>
        </w:r>
      </w:hyperlink>
      <w:r>
        <w:t xml:space="preserve">. Dále jde o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nálezy</w:t>
        </w:r>
      </w:hyperlink>
      <w:r>
        <w:t xml:space="preserve"> </w:t>
      </w:r>
      <w:r>
        <w:t xml:space="preserve">z terénních výzkumů, kterými jsou jednotlivé komponenty blíže charakterizovány.</w:t>
      </w:r>
    </w:p>
    <w:p>
      <w:pPr>
        <w:pStyle w:val="FirstParagraph"/>
      </w:pPr>
      <w:r>
        <w:t xml:space="preserve">Pomocným, leč také důležitou informaci nesoucím údajem jsou</w:t>
      </w:r>
    </w:p>
    <w:p>
      <w:pPr>
        <w:numPr>
          <w:ilvl w:val="0"/>
          <w:numId w:val="1003"/>
        </w:numPr>
        <w:pStyle w:val="Compact"/>
      </w:pPr>
      <w:r>
        <w:t xml:space="preserve">prostorové jednotky (</w:t>
      </w:r>
      <w:hyperlink r:id="rId27">
        <w:r>
          <w:rPr>
            <w:rStyle w:val="Hyperlink"/>
          </w:rPr>
          <w:t xml:space="preserve">PIAN</w:t>
        </w:r>
      </w:hyperlink>
      <w:r>
        <w:t xml:space="preserve">) a</w:t>
      </w:r>
    </w:p>
    <w:p>
      <w:pPr>
        <w:numPr>
          <w:ilvl w:val="0"/>
          <w:numId w:val="1003"/>
        </w:numPr>
        <w:pStyle w:val="Compact"/>
      </w:pPr>
      <w:r>
        <w:t xml:space="preserve">bibliografické záznamy chápané jako</w:t>
      </w:r>
      <w:r>
        <w:t xml:space="preserve"> </w:t>
      </w:r>
      <w:hyperlink r:id="rId28">
        <w:r>
          <w:rPr>
            <w:rStyle w:val="Hyperlink"/>
          </w:rPr>
          <w:t xml:space="preserve">externí zdroje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2" w:name="fig-schema"/>
          <w:p>
            <w:pPr>
              <w:jc w:val="center"/>
            </w:pPr>
            <w:r>
              <w:drawing>
                <wp:inline>
                  <wp:extent cx="4868149" cy="4242266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cyklus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4242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návaznosti fází archeologického poznávacího procesu</w:t>
            </w:r>
          </w:p>
          <w:bookmarkEnd w:id="32"/>
        </w:tc>
      </w:tr>
    </w:tbl>
    <w:bookmarkStart w:id="35" w:name="projekty"/>
    <w:p>
      <w:pPr>
        <w:pStyle w:val="Heading2"/>
      </w:pPr>
      <w:r>
        <w:t xml:space="preserve">Projekty</w:t>
      </w:r>
    </w:p>
    <w:p>
      <w:pPr>
        <w:pStyle w:val="FirstParagraph"/>
      </w:pPr>
      <w:r>
        <w:t xml:space="preserve">Evidenční jednotky terénní činnosti badatelského nebo záchranného rázu evidované již ve fázi přípravy nazýváme</w:t>
      </w:r>
      <w:r>
        <w:t xml:space="preserve"> </w:t>
      </w:r>
      <w:r>
        <w:rPr>
          <w:bCs/>
          <w:b/>
        </w:rPr>
        <w:t xml:space="preserve">projekty</w:t>
      </w:r>
      <w:r>
        <w:t xml:space="preserve">.</w:t>
      </w:r>
      <w:r>
        <w:t xml:space="preserve"> </w:t>
      </w:r>
      <w:r>
        <w:t xml:space="preserve">Pro vymezení projektu je rozhodující podnět k výzkumu a provádějící subjekt (</w:t>
      </w:r>
      <w:hyperlink r:id="rId33">
        <w:r>
          <w:rPr>
            <w:rStyle w:val="Hyperlink"/>
          </w:rPr>
          <w:t xml:space="preserve">oprávněná organizace</w:t>
        </w:r>
      </w:hyperlink>
      <w:r>
        <w:t xml:space="preserve">), lokalizace a příp.</w:t>
      </w:r>
      <w:r>
        <w:t xml:space="preserve"> </w:t>
      </w:r>
      <w:hyperlink r:id="rId34">
        <w:r>
          <w:rPr>
            <w:rStyle w:val="Hyperlink"/>
          </w:rPr>
          <w:t xml:space="preserve">projektová dokumentace</w:t>
        </w:r>
      </w:hyperlink>
      <w:r>
        <w:t xml:space="preserve">.</w:t>
      </w:r>
      <w:r>
        <w:t xml:space="preserve"> </w:t>
      </w:r>
      <w:r>
        <w:t xml:space="preserve">Na projekt zpravidla navazuje jedna či (méně často) více</w:t>
      </w:r>
      <w:r>
        <w:t xml:space="preserve"> </w:t>
      </w:r>
      <w:hyperlink r:id="rId22">
        <w:r>
          <w:rPr>
            <w:rStyle w:val="Hyperlink"/>
          </w:rPr>
          <w:t xml:space="preserve">terénních akcí</w:t>
        </w:r>
      </w:hyperlink>
      <w:r>
        <w:t xml:space="preserve">.</w:t>
      </w:r>
    </w:p>
    <w:p>
      <w:pPr>
        <w:pStyle w:val="BodyText"/>
      </w:pPr>
      <w:r>
        <w:t xml:space="preserve">Rozlišujeme tři typy projektů:</w:t>
      </w:r>
    </w:p>
    <w:p>
      <w:pPr>
        <w:numPr>
          <w:ilvl w:val="0"/>
          <w:numId w:val="1004"/>
        </w:numPr>
        <w:pStyle w:val="Compact"/>
      </w:pPr>
      <w:r>
        <w:t xml:space="preserve">badatelské;</w:t>
      </w:r>
    </w:p>
    <w:p>
      <w:pPr>
        <w:numPr>
          <w:ilvl w:val="0"/>
          <w:numId w:val="1004"/>
        </w:numPr>
        <w:pStyle w:val="Compact"/>
      </w:pPr>
      <w:r>
        <w:t xml:space="preserve">záchranné;</w:t>
      </w:r>
    </w:p>
    <w:p>
      <w:pPr>
        <w:numPr>
          <w:ilvl w:val="0"/>
          <w:numId w:val="1004"/>
        </w:numPr>
        <w:pStyle w:val="Compact"/>
      </w:pPr>
      <w:r>
        <w:t xml:space="preserve">průzkum.</w:t>
      </w:r>
    </w:p>
    <w:bookmarkEnd w:id="35"/>
    <w:bookmarkStart w:id="37" w:name="akce"/>
    <w:p>
      <w:pPr>
        <w:pStyle w:val="Heading2"/>
      </w:pPr>
      <w:r>
        <w:t xml:space="preserve">Akce</w:t>
      </w:r>
    </w:p>
    <w:p>
      <w:pPr>
        <w:pStyle w:val="FirstParagraph"/>
      </w:pPr>
      <w:r>
        <w:t xml:space="preserve">Archeologická akce je jakákoli logická, tj. prostorově a dobou provedení ucelená a konkrétní osobou/organizací provedená část terénní archeologické činnosti, sloužící jako jednotka evidence.</w:t>
      </w:r>
      <w:r>
        <w:t xml:space="preserve"> </w:t>
      </w:r>
      <w:r>
        <w:t xml:space="preserve">V zásadě může jít o terénní činnost libovolného časového a prostorového rozsahu; u velkých terénních výzkumů (např. výzkumů na liniových stavbách) je ovšem doporučováno evidovat terénní práce jako několik akcí, a to podle území katastrů.</w:t>
      </w:r>
      <w:r>
        <w:t xml:space="preserve"> </w:t>
      </w:r>
      <w:r>
        <w:t xml:space="preserve">Důvodem je přehlednost dat a jejich snazší vyhledávání podle jména katastru, což je jedno z nejčastějších vyhledávacích kritérií.</w:t>
      </w:r>
    </w:p>
    <w:p>
      <w:pPr>
        <w:pStyle w:val="BodyText"/>
      </w:pPr>
      <w:r>
        <w:t xml:space="preserve">Akce je zpravidla pokračováním archeologického</w:t>
      </w:r>
      <w:r>
        <w:t xml:space="preserve"> </w:t>
      </w:r>
      <w:hyperlink r:id="rId36">
        <w:r>
          <w:rPr>
            <w:rStyle w:val="Hyperlink"/>
          </w:rPr>
          <w:t xml:space="preserve">projektu</w:t>
        </w:r>
      </w:hyperlink>
      <w:r>
        <w:t xml:space="preserve">; v takovém případě hovoříme o</w:t>
      </w:r>
      <w:r>
        <w:t xml:space="preserve"> </w:t>
      </w:r>
      <w:r>
        <w:rPr>
          <w:bCs/>
          <w:b/>
        </w:rPr>
        <w:t xml:space="preserve">projektové akci</w:t>
      </w:r>
      <w:r>
        <w:t xml:space="preserve">.</w:t>
      </w:r>
      <w:r>
        <w:t xml:space="preserve"> </w:t>
      </w:r>
      <w:r>
        <w:t xml:space="preserve">V rámci projektu může proběhnout i několik (projektových) akcí, které se liší prostorovým vymezením, ale teoreticky třeba i sezónou výzkumu.</w:t>
      </w:r>
    </w:p>
    <w:p>
      <w:pPr>
        <w:pStyle w:val="BodyText"/>
      </w:pPr>
      <w:r>
        <w:t xml:space="preserve">Existují i případy akcí, které nesouvisejí s předem evidovaným projektem.</w:t>
      </w:r>
      <w:r>
        <w:t xml:space="preserve"> </w:t>
      </w:r>
      <w:r>
        <w:t xml:space="preserve">Stává se to zejména při retrospektivním zpracování starších archeologických výzkumů, u neplánovaných výzkumů (např. při náhodných nálezech) nebo při aplikaci některých nedestruktivních terénních metod.</w:t>
      </w:r>
      <w:r>
        <w:t xml:space="preserve"> </w:t>
      </w:r>
      <w:r>
        <w:t xml:space="preserve">U těchto typů akcí není jejich předběžná a/nebo zpětná evidence jako projektů možná nebo účelná. Dané akce proto evidujeme samostatně a hovoříme o</w:t>
      </w:r>
      <w:r>
        <w:t xml:space="preserve"> </w:t>
      </w:r>
      <w:r>
        <w:rPr>
          <w:bCs/>
          <w:b/>
        </w:rPr>
        <w:t xml:space="preserve">samostatných akcích</w:t>
      </w:r>
      <w:r>
        <w:t xml:space="preserve">.</w:t>
      </w:r>
    </w:p>
    <w:bookmarkEnd w:id="37"/>
    <w:bookmarkStart w:id="39" w:name="lokality"/>
    <w:p>
      <w:pPr>
        <w:pStyle w:val="Heading2"/>
      </w:pPr>
      <w:r>
        <w:t xml:space="preserve">Lokality</w:t>
      </w:r>
    </w:p>
    <w:p>
      <w:pPr>
        <w:pStyle w:val="FirstParagraph"/>
      </w:pPr>
      <w:r>
        <w:t xml:space="preserve">Specifickým případem terénního výzkumu je vizuální povrchový a letecký průzkum, při kterém bývají evidovány archeologické útvary, ale bez získání movitých nálezů.</w:t>
      </w:r>
      <w:r>
        <w:t xml:space="preserve"> </w:t>
      </w:r>
      <w:r>
        <w:t xml:space="preserve">Při tomto typu terénní práce jsou zpravidla evidovány logické celky odpovídající určitému krajinnému prvku s potenciálním archeologickým významem (např. jeskyně, výšinná poloha) a/nebo specifickému, na povrchu viditelnému archeologickému projevu (příznaky na letecké fotografii, prostor vymezený valy apod.).</w:t>
      </w:r>
      <w:r>
        <w:t xml:space="preserve"> </w:t>
      </w:r>
      <w:r>
        <w:t xml:space="preserve">Takovým celkům (</w:t>
      </w:r>
      <w:hyperlink r:id="rId38">
        <w:r>
          <w:rPr>
            <w:rStyle w:val="Hyperlink"/>
          </w:rPr>
          <w:t xml:space="preserve">dokumentačním jednotkám</w:t>
        </w:r>
      </w:hyperlink>
      <w:r>
        <w:t xml:space="preserve">) říkáme</w:t>
      </w:r>
      <w:r>
        <w:t xml:space="preserve"> </w:t>
      </w:r>
      <w:r>
        <w:rPr>
          <w:bCs/>
          <w:b/>
        </w:rPr>
        <w:t xml:space="preserve">lokality</w:t>
      </w:r>
      <w:r>
        <w:t xml:space="preserve">.</w:t>
      </w:r>
    </w:p>
    <w:p>
      <w:pPr>
        <w:pStyle w:val="BodyText"/>
      </w:pPr>
      <w:r>
        <w:t xml:space="preserve">Smyslem zavedení kategorie lokality je:</w:t>
      </w:r>
    </w:p>
    <w:p>
      <w:pPr>
        <w:numPr>
          <w:ilvl w:val="0"/>
          <w:numId w:val="1005"/>
        </w:numPr>
        <w:pStyle w:val="Compact"/>
      </w:pPr>
      <w:r>
        <w:t xml:space="preserve">zařadit do evidence prostorové celky známé z různých druhů vizuálního průzkumu, ale dosud řádně nezkoumané a mezi akcemi tudíž nepodchycené;</w:t>
      </w:r>
    </w:p>
    <w:p>
      <w:pPr>
        <w:numPr>
          <w:ilvl w:val="0"/>
          <w:numId w:val="1005"/>
        </w:numPr>
        <w:pStyle w:val="Compact"/>
      </w:pPr>
      <w:r>
        <w:t xml:space="preserve">neztratit informaci o těchto jednotkách jako větších celcích, jelikož mezi akcemi se většinou objevují jen jejich dílčí prozkoumané části, a zároveň</w:t>
      </w:r>
    </w:p>
    <w:p>
      <w:pPr>
        <w:numPr>
          <w:ilvl w:val="0"/>
          <w:numId w:val="1005"/>
        </w:numPr>
        <w:pStyle w:val="Compact"/>
      </w:pPr>
      <w:r>
        <w:t xml:space="preserve">vyčistit databázi akcí od zbytečných, redundantních záznamů typu opakovaných „návštěv lokality“, tedy případů, kdy se větší počet akcí váže ke stejné lokalitě, ale v zásadě nepřináší nové informace.</w:t>
      </w:r>
    </w:p>
    <w:bookmarkEnd w:id="39"/>
    <w:bookmarkStart w:id="45" w:name="dokumentační-jednotky"/>
    <w:p>
      <w:pPr>
        <w:pStyle w:val="Heading2"/>
      </w:pPr>
      <w:r>
        <w:t xml:space="preserve">Dokumentační jednotky</w:t>
      </w:r>
    </w:p>
    <w:p>
      <w:pPr>
        <w:pStyle w:val="FirstParagraph"/>
      </w:pPr>
      <w:r>
        <w:t xml:space="preserve">Archeologické terénní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členíme na prostorové celky, tzv.</w:t>
      </w:r>
      <w:r>
        <w:t xml:space="preserve"> </w:t>
      </w:r>
      <w:r>
        <w:rPr>
          <w:bCs/>
          <w:b/>
        </w:rPr>
        <w:t xml:space="preserve">dokumentační jednotky</w:t>
      </w:r>
      <w:r>
        <w:t xml:space="preserve">.</w:t>
      </w:r>
      <w:r>
        <w:t xml:space="preserve"> </w:t>
      </w:r>
      <w:r>
        <w:t xml:space="preserve">Za dokumentační jednotku lze považovat celý prostor akce, jeho část odpovídající určité skupině nálezů, příp. jeho část definovanou průběhem výzkumu (např. konkrétní sondu).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mohou mít jednu nebo více dokumentačních jednotek různých</w:t>
      </w:r>
      <w:r>
        <w:t xml:space="preserve"> </w:t>
      </w:r>
      <w:hyperlink r:id="rId40">
        <w:r>
          <w:rPr>
            <w:rStyle w:val="Hyperlink"/>
          </w:rPr>
          <w:t xml:space="preserve">typů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lokalita</w:t>
        </w:r>
      </w:hyperlink>
      <w:r>
        <w:t xml:space="preserve"> </w:t>
      </w:r>
      <w:r>
        <w:t xml:space="preserve">má právě jednu.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4" w:name="fig-dj"/>
          <w:p>
            <w:pPr>
              <w:jc w:val="center"/>
            </w:pPr>
            <w:r>
              <w:drawing>
                <wp:inline>
                  <wp:extent cx="4868149" cy="2747779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figs/typy_akci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2747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Dokumentační jednotka a komponenta vůči projektové akci, samostatné akci a lokalitě</w:t>
            </w:r>
          </w:p>
          <w:bookmarkEnd w:id="44"/>
        </w:tc>
      </w:tr>
    </w:tbl>
    <w:bookmarkEnd w:id="45"/>
    <w:bookmarkStart w:id="48" w:name="komponenty"/>
    <w:p>
      <w:pPr>
        <w:pStyle w:val="Heading2"/>
      </w:pPr>
      <w:r>
        <w:t xml:space="preserve">Komponenty</w:t>
      </w:r>
    </w:p>
    <w:p>
      <w:pPr>
        <w:pStyle w:val="FirstParagraph"/>
      </w:pPr>
      <w:r>
        <w:rPr>
          <w:bCs/>
          <w:b/>
        </w:rPr>
        <w:t xml:space="preserve">Komponenta akce</w:t>
      </w:r>
      <w:r>
        <w:t xml:space="preserve"> </w:t>
      </w:r>
      <w:r>
        <w:t xml:space="preserve">je prostorovým, chronologickým a funkčním celkem nálezů z jedné</w:t>
      </w:r>
      <w:r>
        <w:t xml:space="preserve"> </w:t>
      </w:r>
      <w:hyperlink r:id="rId38">
        <w:r>
          <w:rPr>
            <w:rStyle w:val="Hyperlink"/>
          </w:rPr>
          <w:t xml:space="preserve">dokumentační jednotky</w:t>
        </w:r>
      </w:hyperlink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r>
        <w:rPr>
          <w:bCs/>
          <w:b/>
        </w:rPr>
        <w:t xml:space="preserve">komponenta lokality</w:t>
      </w:r>
      <w:r>
        <w:t xml:space="preserve"> </w:t>
      </w:r>
      <w:r>
        <w:t xml:space="preserve">je analogickou částí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, avšak definovaná jen typologicky na základě viditelných povrchových znaků nebo informace z jiných zdrojů.</w:t>
      </w:r>
      <w:r>
        <w:t xml:space="preserve"> </w:t>
      </w:r>
      <w:r>
        <w:t xml:space="preserve">Jako</w:t>
      </w:r>
      <w:r>
        <w:t xml:space="preserve"> </w:t>
      </w:r>
      <w:r>
        <w:rPr>
          <w:bCs/>
          <w:b/>
        </w:rPr>
        <w:t xml:space="preserve">komponentu dokumentu</w:t>
      </w:r>
      <w:r>
        <w:t xml:space="preserve"> </w:t>
      </w:r>
      <w:r>
        <w:t xml:space="preserve">chápeme chronologický a funkční celek archeologické akce doložený výpovědí některého</w:t>
      </w:r>
      <w:r>
        <w:t xml:space="preserve"> </w:t>
      </w:r>
      <w:hyperlink r:id="rId25">
        <w:r>
          <w:rPr>
            <w:rStyle w:val="Hyperlink"/>
          </w:rPr>
          <w:t xml:space="preserve">dokumentu</w:t>
        </w:r>
      </w:hyperlink>
      <w:r>
        <w:t xml:space="preserve">.</w:t>
      </w:r>
    </w:p>
    <w:p>
      <w:pPr>
        <w:pStyle w:val="BodyText"/>
      </w:pPr>
      <w:r>
        <w:t xml:space="preserve">Komponenty jsou určeny přiřazením k určitému</w:t>
      </w:r>
      <w:r>
        <w:t xml:space="preserve"> </w:t>
      </w:r>
      <w:hyperlink r:id="rId46">
        <w:r>
          <w:rPr>
            <w:rStyle w:val="Hyperlink"/>
          </w:rPr>
          <w:t xml:space="preserve">areálu</w:t>
        </w:r>
      </w:hyperlink>
      <w:r>
        <w:t xml:space="preserve"> </w:t>
      </w:r>
      <w:r>
        <w:t xml:space="preserve">aktivity</w:t>
      </w:r>
      <w:r>
        <w:t xml:space="preserve"> </w:t>
      </w:r>
      <w:r>
        <w:t xml:space="preserve">(specifické funkční části sídelního areálu, cf. Neustupný 1986)</w:t>
      </w:r>
      <w:r>
        <w:t xml:space="preserve"> </w:t>
      </w:r>
      <w:r>
        <w:t xml:space="preserve">a</w:t>
      </w:r>
      <w:r>
        <w:t xml:space="preserve"> </w:t>
      </w:r>
      <w:hyperlink r:id="rId46">
        <w:r>
          <w:rPr>
            <w:rStyle w:val="Hyperlink"/>
          </w:rPr>
          <w:t xml:space="preserve">období</w:t>
        </w:r>
      </w:hyperlink>
      <w:r>
        <w:t xml:space="preserve"> </w:t>
      </w:r>
      <w:r>
        <w:t xml:space="preserve">(chronologicko-kulturnímu zařazení).</w:t>
      </w:r>
      <w:r>
        <w:t xml:space="preserve"> </w:t>
      </w:r>
      <w:r>
        <w:t xml:space="preserve">Každé komponentě se dále přiřazuje i výčet</w:t>
      </w:r>
      <w:r>
        <w:t xml:space="preserve"> </w:t>
      </w:r>
      <w:hyperlink r:id="rId46">
        <w:r>
          <w:rPr>
            <w:rStyle w:val="Hyperlink"/>
          </w:rPr>
          <w:t xml:space="preserve">aktivit</w:t>
        </w:r>
      </w:hyperlink>
      <w:r>
        <w:t xml:space="preserve">, tedy druhů činností, které jsou v rámci komponenty přímo doloženy: např. v areálu „sídliště“ může být kromě aktivity „sídlištní“ (přiřazené automaticky) zachycena i aktivita „pohřební“ (např. pohřeb v sídlištní jámě), „výrobní“ (keramická pec), „deponování“ (depot keramických nádob) a „komunikace“ (cesta vedoucí sídlištěm).</w:t>
      </w:r>
    </w:p>
    <w:p>
      <w:pPr>
        <w:pStyle w:val="BodyText"/>
      </w:pPr>
      <w:r>
        <w:t xml:space="preserve">Komponenty jsou arbitrárně vymezenými jednotkami; rozhodujícím hlediskem při jejich vymezení je přehlednost a srozumitelnost záznamu o obsahu akce.</w:t>
      </w:r>
      <w:r>
        <w:t xml:space="preserve"> </w:t>
      </w:r>
      <w:r>
        <w:t xml:space="preserve">Máme-li např. v rámci menší archeologické akce sídlištní nálezy dvou archeologických kultur, můžeme danou situaci popsat jako jednu dokumentační jednotku se dvěma komponentami.</w:t>
      </w:r>
      <w:r>
        <w:t xml:space="preserve"> </w:t>
      </w:r>
      <w:r>
        <w:t xml:space="preserve">Je-li plocha výzkumu větší a nálezy jednotlivých kultur nejsou rozprostřeny po jejím celém rozsahu, je vhodnější vymezit v rámci akce jednu dokumentační jednotku typu „celek“ a doplnit ji dvěma komponentami menšího rozsahu (obě mohou společnou dokumentační jednotku, ale též rozdílnou).</w:t>
      </w:r>
      <w:r>
        <w:t xml:space="preserve"> </w:t>
      </w:r>
      <w:r>
        <w:t xml:space="preserve">Pokud je na ploše výzkumu několik sond a rozhodneme-li se každou sondu chápat jako samostatnou dokumentační jednotku, bude počet komponent odpovídat počtu sond násobenému počtem archeologických období v nich zastoupených.</w:t>
      </w:r>
    </w:p>
    <w:p>
      <w:pPr>
        <w:pStyle w:val="BodyText"/>
      </w:pPr>
      <w:r>
        <w:t xml:space="preserve">Více viz také</w:t>
      </w:r>
      <w:r>
        <w:t xml:space="preserve"> </w:t>
      </w:r>
      <w:hyperlink r:id="rId47">
        <w:r>
          <w:rPr>
            <w:rStyle w:val="Hyperlink"/>
          </w:rPr>
          <w:t xml:space="preserve">Negativní zjištění</w:t>
        </w:r>
      </w:hyperlink>
      <w:r>
        <w:t xml:space="preserve">.</w:t>
      </w:r>
    </w:p>
    <w:bookmarkEnd w:id="48"/>
    <w:bookmarkStart w:id="49" w:name="nálezy"/>
    <w:p>
      <w:pPr>
        <w:pStyle w:val="Heading2"/>
      </w:pPr>
      <w:r>
        <w:t xml:space="preserve">Nálezy</w:t>
      </w:r>
    </w:p>
    <w:p>
      <w:pPr>
        <w:pStyle w:val="FirstParagraph"/>
      </w:pPr>
      <w:r>
        <w:t xml:space="preserve">V AMČR nepočítáme s podrobným a vyčerpávajícím popisem archeologických</w:t>
      </w:r>
      <w:r>
        <w:t xml:space="preserve"> </w:t>
      </w:r>
      <w:r>
        <w:rPr>
          <w:bCs/>
          <w:b/>
        </w:rPr>
        <w:t xml:space="preserve">nálezů</w:t>
      </w:r>
      <w:r>
        <w:t xml:space="preserve"> </w:t>
      </w:r>
      <w:r>
        <w:t xml:space="preserve">patřících jednotlivým komponentám, nálezy chápeme jen jako specifické vlastnosti komponent, které nám pomáhají charakterizovat pramenné východisko, podle něhož byla komponenta rozpoznána.</w:t>
      </w:r>
      <w:r>
        <w:t xml:space="preserve"> </w:t>
      </w:r>
      <w:r>
        <w:t xml:space="preserve">Bližší popis nálezu je totiž v mnoha případech nezbytný pro pochopení, o jakou</w:t>
      </w:r>
      <w:r>
        <w:t xml:space="preserve"> </w:t>
      </w:r>
      <w:hyperlink r:id="rId22">
        <w:r>
          <w:rPr>
            <w:rStyle w:val="Hyperlink"/>
          </w:rPr>
          <w:t xml:space="preserve">akci</w:t>
        </w:r>
      </w:hyperlink>
      <w:r>
        <w:t xml:space="preserve">/</w:t>
      </w:r>
      <w:hyperlink r:id="rId24">
        <w:r>
          <w:rPr>
            <w:rStyle w:val="Hyperlink"/>
          </w:rPr>
          <w:t xml:space="preserve">komponentu</w:t>
        </w:r>
      </w:hyperlink>
      <w:r>
        <w:t xml:space="preserve"> </w:t>
      </w:r>
      <w:r>
        <w:t xml:space="preserve">šlo.</w:t>
      </w:r>
      <w:r>
        <w:t xml:space="preserve"> </w:t>
      </w:r>
      <w:r>
        <w:t xml:space="preserve">Např. u komponenty „depot“ je nezbytné uvést, o jaký materiál a druh předmětů jde a někdy může být užitečné specifikovat dokonce čísla muzejní evidence.</w:t>
      </w:r>
      <w:r>
        <w:t xml:space="preserve"> </w:t>
      </w:r>
      <w:r>
        <w:t xml:space="preserve">U velkých komponent je tomu jinak: nálezy stačí evidovat souhrnně a výběrově a uvést při tom jen ty položky, které komponentu nejlépe charakterizují; např. u rozsáhlého pravěkého sídliště uvedeme třeba jen údaje typu „desítky domů“, „stovky zahloubených jam“, příp. „pohřby v sídlištních jamách“ a další charakteristické příklady.</w:t>
      </w:r>
    </w:p>
    <w:p>
      <w:pPr>
        <w:pStyle w:val="BodyText"/>
      </w:pPr>
      <w:r>
        <w:t xml:space="preserve">V rámci AMČR tedy nevzniká pro nálezy (na rozdíl od jiných datových tříd) autoritní seznam položek s jednoznačnými identifikátory; nemovité nálezy mohou být dokonce evidovány v rámci více akcí opakovaně (týž příkop odkrytý opakovaně, základy téže kostelní stavby aj.).</w:t>
      </w:r>
    </w:p>
    <w:bookmarkEnd w:id="49"/>
    <w:bookmarkStart w:id="50" w:name="pian"/>
    <w:p>
      <w:pPr>
        <w:pStyle w:val="Heading2"/>
      </w:pPr>
      <w:r>
        <w:t xml:space="preserve">PIAN</w:t>
      </w:r>
    </w:p>
    <w:p>
      <w:pPr>
        <w:pStyle w:val="FirstParagraph"/>
      </w:pPr>
      <w:r>
        <w:t xml:space="preserve">Prostorové vymezení archeologických výzkumů je v AMČR zajišťováno povinným vztahem</w:t>
      </w:r>
      <w:r>
        <w:t xml:space="preserve"> </w:t>
      </w:r>
      <w:hyperlink r:id="rId38">
        <w:r>
          <w:rPr>
            <w:rStyle w:val="Hyperlink"/>
          </w:rPr>
          <w:t xml:space="preserve">dokumentačních jednotek</w:t>
        </w:r>
      </w:hyperlink>
      <w:r>
        <w:t xml:space="preserve"> </w:t>
      </w:r>
      <w:r>
        <w:t xml:space="preserve">k některé z jednotek prostorové identifikace.</w:t>
      </w:r>
      <w:r>
        <w:t xml:space="preserve"> </w:t>
      </w:r>
      <w:r>
        <w:t xml:space="preserve">Tyto jednotky nazýváme PIAN (</w:t>
      </w:r>
      <w:r>
        <w:rPr>
          <w:bCs/>
          <w:b/>
        </w:rPr>
        <w:t xml:space="preserve">Prostorová identifikace archeologických nálezů</w:t>
      </w:r>
      <w:r>
        <w:t xml:space="preserve">).</w:t>
      </w:r>
      <w:r>
        <w:t xml:space="preserve"> </w:t>
      </w:r>
      <w:r>
        <w:t xml:space="preserve">Pojetí prostorových vymezení archeologických akcí jako samostatných databázových objektů (tedy nikoliv jako vlastností záznamů o akcích) je jedním z nových prvků, které AMČR přinesla.</w:t>
      </w:r>
      <w:r>
        <w:t xml:space="preserve"> </w:t>
      </w:r>
      <w:r>
        <w:t xml:space="preserve">Každá jednotka PIAN může mít vazby k většímu počtu</w:t>
      </w:r>
      <w:r>
        <w:t xml:space="preserve"> </w:t>
      </w:r>
      <w:hyperlink r:id="rId22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nebo</w:t>
      </w:r>
      <w:r>
        <w:t xml:space="preserve"> </w:t>
      </w:r>
      <w:hyperlink r:id="rId23">
        <w:r>
          <w:rPr>
            <w:rStyle w:val="Hyperlink"/>
          </w:rPr>
          <w:t xml:space="preserve">lokalit</w:t>
        </w:r>
      </w:hyperlink>
      <w:r>
        <w:t xml:space="preserve"> </w:t>
      </w:r>
      <w:r>
        <w:t xml:space="preserve">a v případě akcí to platí i naopak.</w:t>
      </w:r>
    </w:p>
    <w:bookmarkEnd w:id="50"/>
    <w:bookmarkStart w:id="51" w:name="dokumenty"/>
    <w:p>
      <w:pPr>
        <w:pStyle w:val="Heading2"/>
      </w:pPr>
      <w:r>
        <w:t xml:space="preserve">Dokumenty</w:t>
      </w:r>
    </w:p>
    <w:p>
      <w:pPr>
        <w:pStyle w:val="FirstParagraph"/>
      </w:pPr>
      <w:r>
        <w:rPr>
          <w:bCs/>
          <w:b/>
        </w:rPr>
        <w:t xml:space="preserve">Dokumentem</w:t>
      </w:r>
      <w:r>
        <w:t xml:space="preserve"> </w:t>
      </w:r>
      <w:r>
        <w:t xml:space="preserve">rozumíme v AMČR prvek dokumentace terénního archeologického výzkumu uložený v archivech ARÚP a ARÚB.</w:t>
      </w:r>
      <w:r>
        <w:t xml:space="preserve"> </w:t>
      </w:r>
      <w:r>
        <w:t xml:space="preserve">Obdobné informační zdroje v jiných institucích chápeme jako</w:t>
      </w:r>
      <w:r>
        <w:t xml:space="preserve"> </w:t>
      </w:r>
      <w:hyperlink r:id="rId28">
        <w:r>
          <w:rPr>
            <w:rStyle w:val="Hyperlink"/>
          </w:rPr>
          <w:t xml:space="preserve">externí zdroje</w:t>
        </w:r>
      </w:hyperlink>
      <w:r>
        <w:t xml:space="preserve">; na rozdíl od dokumentů totiž nemůžeme zajistit jejich podrobný metadatový popis ani fulltextovou verzi.</w:t>
      </w:r>
      <w:r>
        <w:t xml:space="preserve"> </w:t>
      </w:r>
      <w:r>
        <w:t xml:space="preserve">Obsah dokumentů lze popsat prostřednictvím</w:t>
      </w:r>
      <w:r>
        <w:t xml:space="preserve"> </w:t>
      </w:r>
      <w:r>
        <w:rPr>
          <w:bCs/>
          <w:b/>
        </w:rPr>
        <w:t xml:space="preserve">komponent dokumentu</w:t>
      </w:r>
      <w:r>
        <w:t xml:space="preserve"> </w:t>
      </w:r>
      <w:r>
        <w:t xml:space="preserve">(analogicky ke</w:t>
      </w:r>
      <w:r>
        <w:t xml:space="preserve"> </w:t>
      </w:r>
      <w:hyperlink r:id="rId24">
        <w:r>
          <w:rPr>
            <w:rStyle w:val="Hyperlink"/>
          </w:rPr>
          <w:t xml:space="preserve">komponentám akcí</w:t>
        </w:r>
      </w:hyperlink>
      <w:r>
        <w:t xml:space="preserve">) a</w:t>
      </w:r>
      <w:r>
        <w:t xml:space="preserve"> </w:t>
      </w:r>
      <w:r>
        <w:rPr>
          <w:bCs/>
          <w:b/>
        </w:rPr>
        <w:t xml:space="preserve">nálezů dokumentu</w:t>
      </w:r>
      <w:r>
        <w:t xml:space="preserve">.</w:t>
      </w:r>
      <w:r>
        <w:t xml:space="preserve"> </w:t>
      </w:r>
      <w:r>
        <w:t xml:space="preserve">Takový popis má účel zejména u fotografií a plánů, jejichž obsah je pochopitelně vždy užší než obsah celé terénní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Jde-li např. o fotografii hrobu ze starší doby bronzové, je chronologický a věcný údaj zachycen jako komponenta a nález (dokumentu), podle nichž lze fotografii vyhledat, aniž by bylo nutné probírat stovky jiných fotografií z daného výzkumu.</w:t>
      </w:r>
      <w:r>
        <w:t xml:space="preserve"> </w:t>
      </w:r>
      <w:r>
        <w:t xml:space="preserve">Fyzickým ekvivalentem dokumentu je soubor, příp. několik souborů uložených v repozitářích digitálního archivu.</w:t>
      </w:r>
      <w:r>
        <w:t xml:space="preserve"> </w:t>
      </w:r>
      <w:r>
        <w:t xml:space="preserve">Soubor má svůj vlastní metadatový popis týkající se jeho fyzických vlastností, data vzniku, migrace apod.</w:t>
      </w:r>
    </w:p>
    <w:bookmarkEnd w:id="51"/>
    <w:bookmarkStart w:id="52" w:name="externí-zdroje-bibliografie"/>
    <w:p>
      <w:pPr>
        <w:pStyle w:val="Heading2"/>
      </w:pPr>
      <w:r>
        <w:t xml:space="preserve">Externí zdroje (bibliografie)</w:t>
      </w:r>
    </w:p>
    <w:p>
      <w:pPr>
        <w:pStyle w:val="FirstParagraph"/>
      </w:pPr>
      <w:r>
        <w:t xml:space="preserve">Bibliografický segment AMČR slouží k napojení záznamů o akcích na zdrojové informace v publikacích, odborných zprávách a šedé literatuře.</w:t>
      </w:r>
      <w:r>
        <w:t xml:space="preserve"> </w:t>
      </w:r>
      <w:r>
        <w:t xml:space="preserve">Jako externí zdroje jsou chápány publikace, novinové články, nepublikované odborné zprávy a jiné informační zdroje, které nejsou uloženy v archivech ARÚP a ARÚB a nejsou tudíž zahrnuty mezi</w:t>
      </w:r>
      <w:r>
        <w:t xml:space="preserve"> </w:t>
      </w:r>
      <w:hyperlink r:id="rId25">
        <w:r>
          <w:rPr>
            <w:rStyle w:val="Hyperlink"/>
          </w:rPr>
          <w:t xml:space="preserve">dokumenty</w:t>
        </w:r>
      </w:hyperlink>
      <w:r>
        <w:t xml:space="preserve">.</w:t>
      </w:r>
    </w:p>
    <w:bookmarkEnd w:id="52"/>
    <w:bookmarkStart w:id="60" w:name="madb"/>
    <w:p>
      <w:pPr>
        <w:pStyle w:val="Heading2"/>
      </w:pPr>
      <w:r>
        <w:t xml:space="preserve">MADB</w:t>
      </w:r>
    </w:p>
    <w:p>
      <w:pPr>
        <w:pStyle w:val="FirstParagraph"/>
      </w:pPr>
      <w:r>
        <w:t xml:space="preserve">Extenze MADB vychází z dlouhodobého badatelsko-evidenčního záměru Oddělení archeologie středověku ARÚ Praha –</w:t>
      </w:r>
      <w:r>
        <w:t xml:space="preserve"> </w:t>
      </w:r>
      <w:r>
        <w:rPr>
          <w:bCs/>
          <w:b/>
        </w:rPr>
        <w:t xml:space="preserve">Mapa archeologických dokumentačních bodů na území Pražské památkové rezervace</w:t>
      </w:r>
      <w:r>
        <w:t xml:space="preserve"> </w:t>
      </w:r>
      <w:r>
        <w:t xml:space="preserve">(MADB; PPR) – jenž byl po několik desetiletí spjat se jménem Ladislava Hrdličky (1937–2011).</w:t>
      </w:r>
      <w:r>
        <w:t xml:space="preserve"> </w:t>
      </w:r>
      <w:r>
        <w:t xml:space="preserve">Na jeho odkaz navázal v letech 2013–2017 projekt NAKI (</w:t>
      </w:r>
      <w:hyperlink r:id="rId53">
        <w:r>
          <w:rPr>
            <w:rStyle w:val="Hyperlink"/>
          </w:rPr>
          <w:t xml:space="preserve">DF13P01OVV014</w:t>
        </w:r>
      </w:hyperlink>
      <w:r>
        <w:t xml:space="preserve">)</w:t>
      </w:r>
      <w:r>
        <w:t xml:space="preserve"> </w:t>
      </w:r>
      <w:r>
        <w:rPr>
          <w:iCs/>
          <w:i/>
        </w:rPr>
        <w:t xml:space="preserve">Integrovaný informační systém archeologických pramenů Prahy</w:t>
      </w:r>
      <w:r>
        <w:t xml:space="preserve">, v jehož rámci byl vytvořen obecný nástroj sběru záznamů archeologických dokumentačních bodů (ADB) a výškových bodů (VB) na komplexních lokalitách urbánního charakteru, tedy zejména v historických jádrech měst.</w:t>
      </w:r>
    </w:p>
    <w:bookmarkStart w:id="55" w:name="Xe72379c07e3194ec8140f3b22d8f91368128df0"/>
    <w:p>
      <w:pPr>
        <w:pStyle w:val="Heading3"/>
      </w:pPr>
      <w:r>
        <w:t xml:space="preserve">Mapa archeologických dokumentačních bodů (MADB)</w:t>
      </w:r>
    </w:p>
    <w:p>
      <w:pPr>
        <w:pStyle w:val="FirstParagraph"/>
      </w:pPr>
      <w:r>
        <w:t xml:space="preserve">Autoritní databáze zásahů do archeologických terénů prováděných oprávněnými organizacemi na území Pražské památkové rezervace (UNESCO).</w:t>
      </w:r>
      <w:r>
        <w:t xml:space="preserve"> </w:t>
      </w:r>
      <w:r>
        <w:t xml:space="preserve">Databáze vychází ze souboru informací shromážděných v 90. letech L. Hrdličkou.</w:t>
      </w:r>
      <w:r>
        <w:t xml:space="preserve"> </w:t>
      </w:r>
      <w:r>
        <w:t xml:space="preserve">Řídícím prvkem databáze je „archeologický dokumentační bod“, čili jednotlivá sonda archeologického výzkumu, geologického průzkumu apod.</w:t>
      </w:r>
      <w:r>
        <w:t xml:space="preserve"> </w:t>
      </w:r>
      <w:r>
        <w:t xml:space="preserve">Databáze je specializovaným rozšířením AMČR a je zpřístupněna jako součást webového rozhraní</w:t>
      </w:r>
      <w:r>
        <w:t xml:space="preserve"> </w:t>
      </w:r>
      <w:hyperlink r:id="rId54">
        <w:r>
          <w:rPr>
            <w:rStyle w:val="Hyperlink"/>
          </w:rPr>
          <w:t xml:space="preserve">Praha archeologická</w:t>
        </w:r>
      </w:hyperlink>
      <w:r>
        <w:t xml:space="preserve">.</w:t>
      </w:r>
    </w:p>
    <w:bookmarkEnd w:id="55"/>
    <w:bookmarkStart w:id="57" w:name="archeologické-dokumentační-body-adb"/>
    <w:p>
      <w:pPr>
        <w:pStyle w:val="Heading3"/>
      </w:pPr>
      <w:r>
        <w:t xml:space="preserve">Archeologické dokumentační body (ADB)</w:t>
      </w:r>
    </w:p>
    <w:p>
      <w:pPr>
        <w:pStyle w:val="FirstParagraph"/>
      </w:pPr>
      <w:r>
        <w:t xml:space="preserve">Datová třída Archeologický dokumentační bod (ADB) zahrnuje fakultativní rozšiřující popis dokumentační jednotky typu</w:t>
      </w:r>
      <w:r>
        <w:t xml:space="preserve"> </w:t>
      </w:r>
      <w:hyperlink r:id="rId56">
        <w:r>
          <w:rPr>
            <w:rStyle w:val="Hyperlink"/>
          </w:rPr>
          <w:t xml:space="preserve">Sonda</w:t>
        </w:r>
      </w:hyperlink>
      <w:r>
        <w:t xml:space="preserve">.</w:t>
      </w:r>
      <w:r>
        <w:t xml:space="preserve"> </w:t>
      </w:r>
      <w:r>
        <w:t xml:space="preserve">Ten zahrnuje bližší identifikaci terénního zásahu (adresními údaji, parcelním číslem), základní charakteristiku terénního zásahu (typ sondy, podnět, počet stratigrafických jednotek) a údaje provazující záznam s primární dokumentací (autor a rok popisu, resp. revize, uživatelské označení sondy); součástí popisu ADB je též textové pole poznámky.</w:t>
      </w:r>
    </w:p>
    <w:bookmarkEnd w:id="57"/>
    <w:bookmarkStart w:id="59" w:name="výškové-body-vb"/>
    <w:p>
      <w:pPr>
        <w:pStyle w:val="Heading3"/>
      </w:pPr>
      <w:r>
        <w:t xml:space="preserve">Výškové body (VB)</w:t>
      </w:r>
    </w:p>
    <w:p>
      <w:pPr>
        <w:pStyle w:val="FirstParagraph"/>
      </w:pPr>
      <w:r>
        <w:t xml:space="preserve">K záznamu ADB je v relaci 1:N vázána datová třída Výškový bod. Ta postihuje výškové úrovně povrchu a dna sondy, (sníženého) podloží a základních antropogenních horizontů (pravěk, středověk, novověk, industriál) a slouží tak k popisu vývoje historického nadloží v místě archeologického výzkumu.</w:t>
      </w:r>
    </w:p>
    <w:p>
      <w:pPr>
        <w:pStyle w:val="BodyText"/>
      </w:pPr>
      <w:r>
        <w:t xml:space="preserve">Další informace viz sekce</w:t>
      </w:r>
      <w:r>
        <w:t xml:space="preserve"> </w:t>
      </w:r>
      <w:hyperlink r:id="rId58">
        <w:r>
          <w:rPr>
            <w:rStyle w:val="Hyperlink"/>
          </w:rPr>
          <w:t xml:space="preserve">Datový model</w:t>
        </w:r>
      </w:hyperlink>
      <w:r>
        <w:t xml:space="preserve">.</w:t>
      </w:r>
    </w:p>
    <w:bookmarkEnd w:id="59"/>
    <w:bookmarkEnd w:id="60"/>
    <w:bookmarkStart w:id="91" w:name="sec-dalsipojmy"/>
    <w:p>
      <w:pPr>
        <w:pStyle w:val="Heading2"/>
      </w:pPr>
      <w:r>
        <w:t xml:space="preserve">Další pojmy</w:t>
      </w:r>
    </w:p>
    <w:bookmarkStart w:id="61" w:name="archeologická-databáze-čech-adč"/>
    <w:p>
      <w:pPr>
        <w:pStyle w:val="Heading3"/>
      </w:pPr>
      <w:r>
        <w:t xml:space="preserve">Archeologická databáze Čech (ADČ)</w:t>
      </w:r>
    </w:p>
    <w:p>
      <w:pPr>
        <w:pStyle w:val="FirstParagraph"/>
      </w:pPr>
      <w:r>
        <w:t xml:space="preserve">Původní databáze archeologických výzkumů a nálezů.</w:t>
      </w:r>
      <w:r>
        <w:t xml:space="preserve"> </w:t>
      </w:r>
      <w:r>
        <w:t xml:space="preserve">Vznikla v ARÚP v r. 1990 a byla průběžně doplňována jak rešerší literatury, archivů a muzejních sbírek, tak informacemi o výsledcích nových terénních výzkumů, které oprávněné organizace předávají do centrálního archivu.</w:t>
      </w:r>
      <w:r>
        <w:t xml:space="preserve"> </w:t>
      </w:r>
      <w:r>
        <w:t xml:space="preserve">K r. 2012 ADČ zahrnovala kolem 94 tis. záznamů, které byly v rámci projektu AMČR obsahově a prostorově revidovány.</w:t>
      </w:r>
      <w:r>
        <w:t xml:space="preserve"> </w:t>
      </w:r>
      <w:r>
        <w:t xml:space="preserve">V r. 2016 proběhla její transformace do AMČR.</w:t>
      </w:r>
    </w:p>
    <w:bookmarkEnd w:id="61"/>
    <w:bookmarkStart w:id="62" w:name="archeologický-fond"/>
    <w:p>
      <w:pPr>
        <w:pStyle w:val="Heading3"/>
      </w:pPr>
      <w:r>
        <w:t xml:space="preserve">Archeologický fond</w:t>
      </w:r>
    </w:p>
    <w:p>
      <w:pPr>
        <w:pStyle w:val="FirstParagraph"/>
      </w:pPr>
      <w:r>
        <w:t xml:space="preserve">Termínem</w:t>
      </w:r>
      <w:r>
        <w:t xml:space="preserve"> </w:t>
      </w:r>
      <w:r>
        <w:rPr>
          <w:iCs/>
          <w:i/>
          <w:bCs/>
          <w:b/>
        </w:rPr>
        <w:t xml:space="preserve">archeologický fond</w:t>
      </w:r>
      <w:r>
        <w:t xml:space="preserve"> </w:t>
      </w:r>
      <w:r>
        <w:t xml:space="preserve">se rozumí souhrn dokumentace archeologického výzkumu a veškeré movité nálezy, které byly během výzkumu získány a vyhodnoceny jako hodné uchování v příslušných paměťových institucích.</w:t>
      </w:r>
      <w:r>
        <w:t xml:space="preserve"> </w:t>
      </w:r>
      <w:r>
        <w:t xml:space="preserve">Z archeologických pramenů zůstávají mimo takto vymezený pojem pouze archeologická naleziště jako taková, resp. nemovité nálezy a situace uchovávané in situ.</w:t>
      </w:r>
      <w:r>
        <w:t xml:space="preserve"> </w:t>
      </w:r>
      <w:r>
        <w:t xml:space="preserve">Pojem</w:t>
      </w:r>
      <w:r>
        <w:t xml:space="preserve"> </w:t>
      </w:r>
      <w:r>
        <w:rPr>
          <w:iCs/>
          <w:i/>
        </w:rPr>
        <w:t xml:space="preserve">archeologický fond</w:t>
      </w:r>
      <w:r>
        <w:t xml:space="preserve"> </w:t>
      </w:r>
      <w:r>
        <w:t xml:space="preserve">postihuje</w:t>
      </w:r>
      <w:r>
        <w:t xml:space="preserve"> </w:t>
      </w:r>
      <w:r>
        <w:rPr>
          <w:iCs/>
          <w:i/>
        </w:rPr>
        <w:t xml:space="preserve">multimediální</w:t>
      </w:r>
      <w:r>
        <w:t xml:space="preserve"> </w:t>
      </w:r>
      <w:r>
        <w:t xml:space="preserve">charakter primární archeologické informace (artefaktuální, digitální, různé typy analogových dokumentů), které z důvodu rozdílných konzervačních nároků a platných právních úprav bývají v ČR zpravidla ukládány i evidovány odděleně.</w:t>
      </w:r>
      <w:r>
        <w:t xml:space="preserve"> </w:t>
      </w:r>
      <w:r>
        <w:t xml:space="preserve">Proto je nezbytné při pořádání nálezového fondu dbát na zachování vnitřních souvislostí všech jeho komponent</w:t>
      </w:r>
      <w:r>
        <w:t xml:space="preserve"> </w:t>
      </w:r>
      <w:r>
        <w:t xml:space="preserve">(Perrin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2014, s. 18–19)</w:t>
      </w:r>
      <w:r>
        <w:t xml:space="preserve">.</w:t>
      </w:r>
    </w:p>
    <w:bookmarkEnd w:id="62"/>
    <w:bookmarkStart w:id="63" w:name="badatelská-výzkum"/>
    <w:p>
      <w:pPr>
        <w:pStyle w:val="Heading3"/>
      </w:pPr>
      <w:r>
        <w:t xml:space="preserve">Badatelská výzkum</w:t>
      </w:r>
    </w:p>
    <w:p>
      <w:pPr>
        <w:pStyle w:val="FirstParagraph"/>
      </w:pPr>
      <w:r>
        <w:t xml:space="preserve">Archeologická akce prováděná z čistě badatelských pohnutek na místě, jehož archeologický obsah není bezprostředně ohrožen.</w:t>
      </w:r>
      <w:r>
        <w:t xml:space="preserve"> </w:t>
      </w:r>
      <w:r>
        <w:t xml:space="preserve">Provádění badatelských výzkumů podléhá schvalování ze strany Archeologických ústavů AV ČR.</w:t>
      </w:r>
    </w:p>
    <w:bookmarkEnd w:id="63"/>
    <w:bookmarkStart w:id="65" w:name="digitální-archiv-amčr"/>
    <w:p>
      <w:pPr>
        <w:pStyle w:val="Heading3"/>
      </w:pPr>
      <w:r>
        <w:t xml:space="preserve">Digitální archiv AMČR</w:t>
      </w:r>
    </w:p>
    <w:p>
      <w:pPr>
        <w:pStyle w:val="FirstParagraph"/>
      </w:pPr>
      <w:r>
        <w:t xml:space="preserve">Repozitář skenovaných dokumentů a soubor primárně digitálních dat v archivu terénní dokumentace ARÚP a ARÚB doplněný podrobným popisem metadaty.</w:t>
      </w:r>
      <w:r>
        <w:t xml:space="preserve"> </w:t>
      </w:r>
      <w:r>
        <w:t xml:space="preserve">Práce na DA byly na ARÚP zahájeny po povodni r. 2002, v r. 2010 byla digitalizace dokončena.</w:t>
      </w:r>
      <w:r>
        <w:t xml:space="preserve"> </w:t>
      </w:r>
      <w:r>
        <w:t xml:space="preserve">V roce 2016 byla původní aplikace nahrazena</w:t>
      </w:r>
      <w:r>
        <w:t xml:space="preserve"> </w:t>
      </w:r>
      <w:hyperlink r:id="rId64">
        <w:r>
          <w:rPr>
            <w:rStyle w:val="Hyperlink"/>
          </w:rPr>
          <w:t xml:space="preserve">Digitálním archivem AMČR</w:t>
        </w:r>
      </w:hyperlink>
      <w:r>
        <w:t xml:space="preserve">.</w:t>
      </w:r>
    </w:p>
    <w:bookmarkEnd w:id="65"/>
    <w:bookmarkStart w:id="66" w:name="Xcc74b8493281c353b5bab2e48a0205e242c9c1e"/>
    <w:p>
      <w:pPr>
        <w:pStyle w:val="Heading3"/>
      </w:pPr>
      <w:r>
        <w:t xml:space="preserve">Digitální archiv a evidence archeologických výzkumů Moravy a Slezska (DAEAV)</w:t>
      </w:r>
    </w:p>
    <w:p>
      <w:pPr>
        <w:pStyle w:val="FirstParagraph"/>
      </w:pPr>
      <w:r>
        <w:t xml:space="preserve">Databáze výsledků archeologických výzkumů a na ně navázaných digitálních dokumentů pro Moravu a Slezsko.</w:t>
      </w:r>
      <w:r>
        <w:t xml:space="preserve"> </w:t>
      </w:r>
      <w:r>
        <w:t xml:space="preserve">Vznikala od r. 2009; od r. 2016 probíhá její postupná integrace do AMČR.</w:t>
      </w:r>
    </w:p>
    <w:bookmarkEnd w:id="66"/>
    <w:bookmarkStart w:id="67" w:name="X94e919cce58ad1b76368248713f20b5c8d7ad38"/>
    <w:p>
      <w:pPr>
        <w:pStyle w:val="Heading3"/>
      </w:pPr>
      <w:r>
        <w:t xml:space="preserve">Internetová databáze archeologických výzkumů (IDAV)</w:t>
      </w:r>
    </w:p>
    <w:p>
      <w:pPr>
        <w:pStyle w:val="FirstParagraph"/>
      </w:pPr>
      <w:r>
        <w:t xml:space="preserve">Registr plánovaných terénních zásahů s možností provedení archeologického výzkumu.</w:t>
      </w:r>
      <w:r>
        <w:t xml:space="preserve"> </w:t>
      </w:r>
      <w:r>
        <w:t xml:space="preserve">V r. 2009 zaveden v Čechách (ARÚP), v r. 2011 i na Moravě a ve Slezsku (ARÚB).</w:t>
      </w:r>
      <w:r>
        <w:t xml:space="preserve"> </w:t>
      </w:r>
      <w:r>
        <w:t xml:space="preserve">IDAV sehrál klíčovou roli v evidenci archeologických terénních aktivit na území Česka.</w:t>
      </w:r>
      <w:r>
        <w:t xml:space="preserve"> </w:t>
      </w:r>
      <w:r>
        <w:t xml:space="preserve">V r. 2017 byl nahrazen AMČR, přičemž záznamy tohoto typu jsou evidovány jako</w:t>
      </w:r>
      <w:r>
        <w:t xml:space="preserve"> </w:t>
      </w:r>
      <w:hyperlink r:id="rId21">
        <w:r>
          <w:rPr>
            <w:rStyle w:val="Hyperlink"/>
          </w:rPr>
          <w:t xml:space="preserve">projekty</w:t>
        </w:r>
      </w:hyperlink>
      <w:r>
        <w:t xml:space="preserve">.</w:t>
      </w:r>
    </w:p>
    <w:bookmarkEnd w:id="67"/>
    <w:bookmarkStart w:id="70" w:name="nálezová-zpráva"/>
    <w:p>
      <w:pPr>
        <w:pStyle w:val="Heading3"/>
      </w:pPr>
      <w:r>
        <w:t xml:space="preserve">Nálezová zpráva</w:t>
      </w:r>
    </w:p>
    <w:p>
      <w:pPr>
        <w:pStyle w:val="FirstParagraph"/>
      </w:pPr>
      <w:r>
        <w:rPr>
          <w:bCs/>
          <w:b/>
        </w:rPr>
        <w:t xml:space="preserve">Nálezovou zprávou</w:t>
      </w:r>
      <w:r>
        <w:t xml:space="preserve"> </w:t>
      </w:r>
      <w:r>
        <w:t xml:space="preserve">rozumíme dokument souhrnně popisující provedenou archeologickou</w:t>
      </w:r>
      <w:r>
        <w:t xml:space="preserve"> </w:t>
      </w:r>
      <w:hyperlink r:id="rId22">
        <w:r>
          <w:rPr>
            <w:rStyle w:val="Hyperlink"/>
          </w:rPr>
          <w:t xml:space="preserve">akci</w:t>
        </w:r>
      </w:hyperlink>
      <w:r>
        <w:t xml:space="preserve">, s pevně určenými náležitostmi.</w:t>
      </w:r>
      <w:r>
        <w:t xml:space="preserve"> </w:t>
      </w:r>
      <w:r>
        <w:t xml:space="preserve">Nálezová zpráva má za úkol plně postihnout podstatu výzkumu, srozumitelnou formou zpřístupnit terénní dokumentaci a nastínit základní interpretaci.</w:t>
      </w:r>
      <w:r>
        <w:t xml:space="preserve"> </w:t>
      </w:r>
      <w:r>
        <w:t xml:space="preserve">Pokyny a doporučené postupy pro vypracování nálezové zprávy jsou dostupné jak na webu</w:t>
      </w:r>
      <w:r>
        <w:t xml:space="preserve"> </w:t>
      </w:r>
      <w:hyperlink r:id="rId68">
        <w:r>
          <w:rPr>
            <w:rStyle w:val="Hyperlink"/>
          </w:rPr>
          <w:t xml:space="preserve">ARÚP</w:t>
        </w:r>
      </w:hyperlink>
      <w:r>
        <w:t xml:space="preserve">, tak</w:t>
      </w:r>
      <w:r>
        <w:t xml:space="preserve"> </w:t>
      </w:r>
      <w:hyperlink r:id="rId69">
        <w:r>
          <w:rPr>
            <w:rStyle w:val="Hyperlink"/>
          </w:rPr>
          <w:t xml:space="preserve">ARÚB</w:t>
        </w:r>
      </w:hyperlink>
      <w:r>
        <w:t xml:space="preserve">.</w:t>
      </w:r>
    </w:p>
    <w:bookmarkEnd w:id="70"/>
    <w:bookmarkStart w:id="71" w:name="negativní-zjištění"/>
    <w:p>
      <w:pPr>
        <w:pStyle w:val="Heading3"/>
      </w:pPr>
      <w:r>
        <w:t xml:space="preserve">Negativní zjištění</w:t>
      </w:r>
    </w:p>
    <w:p>
      <w:pPr>
        <w:pStyle w:val="FirstParagraph"/>
      </w:pPr>
      <w:r>
        <w:rPr>
          <w:bCs/>
          <w:b/>
        </w:rPr>
        <w:t xml:space="preserve">Negativním zjištěním</w:t>
      </w:r>
      <w:r>
        <w:t xml:space="preserve"> </w:t>
      </w:r>
      <w:r>
        <w:t xml:space="preserve">(též prázdnou komponentou) rozumíme poznatek, že v prostoru určité archeologické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či</w:t>
      </w:r>
      <w:r>
        <w:t xml:space="preserve"> </w:t>
      </w:r>
      <w:hyperlink r:id="rId38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nebyly při aplikaci standardních archeologických metod zjištěny žádné archeologické nálezy.</w:t>
      </w:r>
      <w:r>
        <w:t xml:space="preserve"> </w:t>
      </w:r>
      <w:r>
        <w:t xml:space="preserve">Popisu takových akcí je systematicky věnována pozornost od počátku 90. let, a to s přesvědčením, že pro řešení sídelně archeologických otázek jde o informace velmi důležité.</w:t>
      </w:r>
      <w:r>
        <w:t xml:space="preserve"> </w:t>
      </w:r>
      <w:r>
        <w:t xml:space="preserve">Pro jednoduchost postupu se v AMČR údaj o negativním pozorování připojuje k dokumentační jednotce, ke které pak není nutno připojit žádnou jinou</w:t>
      </w:r>
      <w:r>
        <w:t xml:space="preserve"> </w:t>
      </w:r>
      <w:hyperlink r:id="rId24">
        <w:r>
          <w:rPr>
            <w:rStyle w:val="Hyperlink"/>
          </w:rPr>
          <w:t xml:space="preserve">komponentu</w:t>
        </w:r>
      </w:hyperlink>
      <w:r>
        <w:t xml:space="preserve">.</w:t>
      </w:r>
      <w:r>
        <w:t xml:space="preserve"> </w:t>
      </w:r>
      <w:r>
        <w:t xml:space="preserve">Připojit hodnotu</w:t>
      </w:r>
      <w:r>
        <w:t xml:space="preserve"> </w:t>
      </w:r>
      <w:r>
        <w:rPr>
          <w:iCs/>
          <w:i/>
        </w:rPr>
        <w:t xml:space="preserve">negativního zjištění</w:t>
      </w:r>
      <w:r>
        <w:t xml:space="preserve"> </w:t>
      </w:r>
      <w:r>
        <w:t xml:space="preserve">dokumentační jednotce</w:t>
      </w:r>
      <w:r>
        <w:t xml:space="preserve"> </w:t>
      </w:r>
      <w:r>
        <w:rPr>
          <w:iCs/>
          <w:i/>
        </w:rPr>
        <w:t xml:space="preserve">celku</w:t>
      </w:r>
      <w:r>
        <w:t xml:space="preserve"> </w:t>
      </w:r>
      <w:r>
        <w:t xml:space="preserve">akce a následně její plochu překrýt lokálními dokumentačními jednotkami s určitými komponentami je nejjednodušším způsobem jak popsat situaci, kdy velká plocha či dlouhá linie je převážně bez nálezů, ale na několika místech je negativní pozorování přerušeno výskytem nálezů.</w:t>
      </w:r>
    </w:p>
    <w:bookmarkEnd w:id="71"/>
    <w:bookmarkStart w:id="73" w:name="oprávněná-archeologická-organizace"/>
    <w:p>
      <w:pPr>
        <w:pStyle w:val="Heading3"/>
      </w:pPr>
      <w:r>
        <w:t xml:space="preserve">Oprávněná archeologická organizace</w:t>
      </w:r>
    </w:p>
    <w:p>
      <w:pPr>
        <w:pStyle w:val="FirstParagraph"/>
      </w:pPr>
      <w:r>
        <w:t xml:space="preserve">Pojem oprávněná archeologická organizace (také oprávněná organizace či</w:t>
      </w:r>
      <w:r>
        <w:t xml:space="preserve"> </w:t>
      </w:r>
      <w:r>
        <w:rPr>
          <w:bCs/>
          <w:b/>
        </w:rPr>
        <w:t xml:space="preserve">OAO</w:t>
      </w:r>
      <w:r>
        <w:t xml:space="preserve">) označuje instituci oprávněnou k provádění archeologických výzkumů podle zákona o státní památkové péči (20/1987 Sb.).</w:t>
      </w:r>
      <w:r>
        <w:t xml:space="preserve"> </w:t>
      </w:r>
      <w:r>
        <w:t xml:space="preserve">Více informací o OAO lze získat v samostatné aplikaci</w:t>
      </w:r>
      <w:r>
        <w:t xml:space="preserve"> </w:t>
      </w:r>
      <w:hyperlink r:id="rId72">
        <w:r>
          <w:rPr>
            <w:rStyle w:val="Hyperlink"/>
          </w:rPr>
          <w:t xml:space="preserve">Mapa archeologických organizací</w:t>
        </w:r>
      </w:hyperlink>
      <w:r>
        <w:t xml:space="preserve"> </w:t>
      </w:r>
      <w:r>
        <w:t xml:space="preserve">spuštěné v roce 2022.</w:t>
      </w:r>
    </w:p>
    <w:bookmarkEnd w:id="73"/>
    <w:bookmarkStart w:id="74" w:name="projektová-dokumentace"/>
    <w:p>
      <w:pPr>
        <w:pStyle w:val="Heading3"/>
      </w:pPr>
      <w:r>
        <w:t xml:space="preserve">Projektová dokumentace</w:t>
      </w:r>
    </w:p>
    <w:p>
      <w:pPr>
        <w:pStyle w:val="FirstParagraph"/>
      </w:pPr>
      <w:r>
        <w:t xml:space="preserve">Projektová dokumentace doplňuje popis projektu o další údaje nad rámec metadatového popisu.</w:t>
      </w:r>
      <w:r>
        <w:t xml:space="preserve"> </w:t>
      </w:r>
      <w:r>
        <w:t xml:space="preserve">Zejména jde o popis odborných záměrů výzkumu, plánované vymezení apod.</w:t>
      </w:r>
    </w:p>
    <w:bookmarkEnd w:id="74"/>
    <w:bookmarkStart w:id="76" w:name="registrovaný-uživatel"/>
    <w:p>
      <w:pPr>
        <w:pStyle w:val="Heading3"/>
      </w:pPr>
      <w:r>
        <w:t xml:space="preserve">Registrovaný uživatel</w:t>
      </w:r>
    </w:p>
    <w:p>
      <w:pPr>
        <w:pStyle w:val="FirstParagraph"/>
      </w:pPr>
      <w:r>
        <w:t xml:space="preserve">Za registrovaného uživatele je považován každý uživatel aplikace s aktivním uživatelským účtem, tedy na úrovni všech</w:t>
      </w:r>
      <w:r>
        <w:t xml:space="preserve"> </w:t>
      </w:r>
      <w:hyperlink r:id="rId75">
        <w:r>
          <w:rPr>
            <w:rStyle w:val="Hyperlink"/>
          </w:rPr>
          <w:t xml:space="preserve">oprávnění</w:t>
        </w:r>
      </w:hyperlink>
      <w:r>
        <w:t xml:space="preserve">, kromě oprávnění Anonym.</w:t>
      </w:r>
    </w:p>
    <w:bookmarkEnd w:id="76"/>
    <w:bookmarkStart w:id="78" w:name="správce-systému"/>
    <w:p>
      <w:pPr>
        <w:pStyle w:val="Heading3"/>
      </w:pPr>
      <w:r>
        <w:t xml:space="preserve">Správce systému</w:t>
      </w:r>
    </w:p>
    <w:p>
      <w:pPr>
        <w:pStyle w:val="FirstParagraph"/>
      </w:pPr>
      <w:r>
        <w:t xml:space="preserve">Správcem systému se rozumí uživatelé s</w:t>
      </w:r>
      <w:r>
        <w:t xml:space="preserve"> </w:t>
      </w:r>
      <w:hyperlink r:id="rId75">
        <w:r>
          <w:rPr>
            <w:rStyle w:val="Hyperlink"/>
          </w:rPr>
          <w:t xml:space="preserve">oprávněním</w:t>
        </w:r>
      </w:hyperlink>
      <w:r>
        <w:t xml:space="preserve"> </w:t>
      </w:r>
      <w:r>
        <w:t xml:space="preserve">Archivář či Administrátor.</w:t>
      </w:r>
      <w:r>
        <w:t xml:space="preserve"> </w:t>
      </w:r>
      <w:r>
        <w:t xml:space="preserve">Zpravidla jde o zaměstnance archivů ARÚP a ARÚB.</w:t>
      </w:r>
      <w:r>
        <w:t xml:space="preserve"> </w:t>
      </w:r>
      <w:r>
        <w:t xml:space="preserve">Správce lze kontaktovat přes emailovou adresu</w:t>
      </w:r>
      <w:r>
        <w:t xml:space="preserve"> </w:t>
      </w:r>
      <w:hyperlink r:id="rId77">
        <w:r>
          <w:rPr>
            <w:rStyle w:val="Hyperlink"/>
          </w:rPr>
          <w:t xml:space="preserve"> info@amapa.cz</w:t>
        </w:r>
      </w:hyperlink>
      <w:r>
        <w:t xml:space="preserve"> </w:t>
      </w:r>
      <w:r>
        <w:t xml:space="preserve">nebo na adresách uvedených v</w:t>
      </w:r>
      <w:r>
        <w:t xml:space="preserve"> </w:t>
      </w:r>
      <w:hyperlink w:anchor="kontakty">
        <w:r>
          <w:rPr>
            <w:rStyle w:val="Hyperlink"/>
          </w:rPr>
          <w:t xml:space="preserve">Kontaktech</w:t>
        </w:r>
      </w:hyperlink>
      <w:r>
        <w:t xml:space="preserve">.</w:t>
      </w:r>
    </w:p>
    <w:bookmarkEnd w:id="78"/>
    <w:bookmarkStart w:id="79" w:name="terénní-zásah"/>
    <w:p>
      <w:pPr>
        <w:pStyle w:val="Heading3"/>
      </w:pPr>
      <w:r>
        <w:t xml:space="preserve">Terénní zásah</w:t>
      </w:r>
    </w:p>
    <w:p>
      <w:pPr>
        <w:pStyle w:val="FirstParagraph"/>
      </w:pPr>
      <w:r>
        <w:t xml:space="preserve">Libovolný zásah do terénu, který dává podnět k provedení archeologického výzkumu podle zákona o státní památkové péči (20/1987 Sb.).</w:t>
      </w:r>
    </w:p>
    <w:bookmarkEnd w:id="79"/>
    <w:bookmarkStart w:id="82" w:name="výzkumné-infrastruktury"/>
    <w:p>
      <w:pPr>
        <w:pStyle w:val="Heading3"/>
      </w:pPr>
      <w:r>
        <w:t xml:space="preserve">Výzkumné infrastruktury</w:t>
      </w:r>
    </w:p>
    <w:p>
      <w:pPr>
        <w:pStyle w:val="FirstParagraph"/>
      </w:pPr>
      <w:r>
        <w:t xml:space="preserve">Výzkumnou infrastrukturou se rozumí zařízení, zdroje a související služby, které vědecká obec využívá k provádění špičkového výzkumu ve všech oborech, zahrnující základní vědecké vybavení a výzkumný materiál; zdroje založené na znalostech, například sbírky, archivy a strukturované vědecké informace; infrastruktury informačních a komunikačních technologií, například sítě GRID, počítačové a programové vybavení, komunikační prostředky, jakož i veškeré další prvky jedinečné povahy nezbytné k dosažení špičkové úrovně.</w:t>
      </w:r>
      <w:r>
        <w:t xml:space="preserve"> </w:t>
      </w:r>
      <w:r>
        <w:t xml:space="preserve">Tyto infrastruktury se mohou nacházet na jednom místě nebo mohou být</w:t>
      </w:r>
      <w:r>
        <w:t xml:space="preserve"> </w:t>
      </w:r>
      <w:r>
        <w:rPr>
          <w:iCs/>
          <w:i/>
        </w:rPr>
        <w:t xml:space="preserve">rozmístěné</w:t>
      </w:r>
      <w:r>
        <w:t xml:space="preserve"> </w:t>
      </w:r>
      <w:r>
        <w:t xml:space="preserve">v rámci sítě (organizovaná síť zdrojů; viz</w:t>
      </w:r>
      <w:r>
        <w:t xml:space="preserve"> </w:t>
      </w:r>
      <w:hyperlink r:id="rId80">
        <w:r>
          <w:rPr>
            <w:rStyle w:val="Hyperlink"/>
          </w:rPr>
          <w:t xml:space="preserve">definice MŠMT</w:t>
        </w:r>
      </w:hyperlink>
      <w:r>
        <w:t xml:space="preserve"> </w:t>
      </w:r>
      <w:r>
        <w:t xml:space="preserve">a popis na portálu</w:t>
      </w:r>
      <w:r>
        <w:t xml:space="preserve"> </w:t>
      </w:r>
      <w:hyperlink r:id="rId81">
        <w:r>
          <w:rPr>
            <w:rStyle w:val="Hyperlink"/>
          </w:rPr>
          <w:t xml:space="preserve">Velké výzkumné infrastruktury</w:t>
        </w:r>
      </w:hyperlink>
      <w:r>
        <w:t xml:space="preserve">).</w:t>
      </w:r>
    </w:p>
    <w:bookmarkEnd w:id="82"/>
    <w:bookmarkStart w:id="84" w:name="záchranná-akce-záchranný-projekt"/>
    <w:p>
      <w:pPr>
        <w:pStyle w:val="Heading3"/>
      </w:pPr>
      <w:r>
        <w:t xml:space="preserve">Záchranná akce (záchranný projekt)</w:t>
      </w:r>
    </w:p>
    <w:p>
      <w:pPr>
        <w:pStyle w:val="FirstParagraph"/>
      </w:pPr>
      <w:r>
        <w:t xml:space="preserve">Archeologický výzkum realizovaný v souvislosti s plánovaným či probíhajícím</w:t>
      </w:r>
      <w:r>
        <w:t xml:space="preserve"> </w:t>
      </w:r>
      <w:hyperlink r:id="rId83">
        <w:r>
          <w:rPr>
            <w:rStyle w:val="Hyperlink"/>
          </w:rPr>
          <w:t xml:space="preserve">terénním zásahem</w:t>
        </w:r>
      </w:hyperlink>
      <w:r>
        <w:t xml:space="preserve">.</w:t>
      </w:r>
    </w:p>
    <w:bookmarkEnd w:id="84"/>
    <w:bookmarkStart w:id="90" w:name="zpráva-o-archeologické-akci-zaa"/>
    <w:p>
      <w:pPr>
        <w:pStyle w:val="Heading3"/>
      </w:pPr>
      <w:r>
        <w:t xml:space="preserve">Zpráva o archeologické akci (ZAA)</w:t>
      </w:r>
    </w:p>
    <w:p>
      <w:pPr>
        <w:pStyle w:val="FirstParagraph"/>
      </w:pPr>
      <w:r>
        <w:t xml:space="preserve">Zpráva o archeologické akci (</w:t>
      </w:r>
      <w:r>
        <w:rPr>
          <w:bCs/>
          <w:b/>
        </w:rPr>
        <w:t xml:space="preserve">ZAA</w:t>
      </w:r>
      <w:r>
        <w:t xml:space="preserve">) označuje formulář pro metadatový popis archeologického výzkumu, používaný při sběru dat pro</w:t>
      </w:r>
      <w:r>
        <w:t xml:space="preserve"> </w:t>
      </w:r>
      <w:hyperlink r:id="rId85">
        <w:r>
          <w:rPr>
            <w:rStyle w:val="Hyperlink"/>
          </w:rPr>
          <w:t xml:space="preserve">Archeologickou databázi Čech</w:t>
        </w:r>
      </w:hyperlink>
      <w:r>
        <w:t xml:space="preserve">.</w:t>
      </w:r>
      <w:r>
        <w:t xml:space="preserve"> </w:t>
      </w:r>
      <w:r>
        <w:t xml:space="preserve">V rámci AMČR je jako ekvivalent ZAA označována tzv. Karta akce, resp. Karta samostatné akce.</w:t>
      </w:r>
    </w:p>
    <w:bookmarkStart w:id="89" w:name="refs"/>
    <w:bookmarkStart w:id="86" w:name="ref-neustupny1986"/>
    <w:p>
      <w:pPr>
        <w:pStyle w:val="Bibliography"/>
      </w:pPr>
      <w:r>
        <w:t xml:space="preserve">Neustupný, E. 1986</w:t>
      </w:r>
      <w:r>
        <w:t xml:space="preserve"> </w:t>
      </w:r>
      <w:r>
        <w:t xml:space="preserve">„Sídelní Areály Pravěkých Zemědělců"</w:t>
      </w:r>
      <w:r>
        <w:t xml:space="preserve">,</w:t>
      </w:r>
      <w:r>
        <w:t xml:space="preserve"> </w:t>
      </w:r>
      <w:r>
        <w:rPr>
          <w:iCs/>
          <w:i/>
        </w:rPr>
        <w:t xml:space="preserve">Památky Archeologické</w:t>
      </w:r>
      <w:r>
        <w:t xml:space="preserve"> </w:t>
      </w:r>
      <w:r>
        <w:rPr>
          <w:bCs/>
          <w:b/>
        </w:rPr>
        <w:t xml:space="preserve">67</w:t>
      </w:r>
      <w:r>
        <w:t xml:space="preserve">(1), 226–234.</w:t>
      </w:r>
    </w:p>
    <w:bookmarkEnd w:id="86"/>
    <w:bookmarkStart w:id="88" w:name="ref-perrin2014"/>
    <w:p>
      <w:pPr>
        <w:pStyle w:val="Bibliography"/>
      </w:pPr>
      <w:r>
        <w:t xml:space="preserve">Perrin, K., Brown, D.H., Lange, G., Bibby, D., Carlsson, A., Degraeve, A., Kuna, M., Larsson, Y., Pálsdóttir, S.U., Stoll-Tucker, B., Dunning, C., a Bieberstein, A.R.V. 2014</w:t>
      </w:r>
      <w:r>
        <w:t xml:space="preserve"> </w:t>
      </w:r>
      <w:hyperlink r:id="rId87">
        <w:r>
          <w:rPr>
            <w:rStyle w:val="Hyperlink"/>
            <w:iCs/>
            <w:i/>
          </w:rPr>
          <w:t xml:space="preserve">Standardy a příručka k dobré praxi péče o archeologické fondy v Evropě</w:t>
        </w:r>
      </w:hyperlink>
      <w:r>
        <w:t xml:space="preserve">,</w:t>
      </w:r>
      <w:r>
        <w:t xml:space="preserve"> </w:t>
      </w:r>
      <w:r>
        <w:t xml:space="preserve">Namur</w:t>
      </w:r>
      <w:r>
        <w:t xml:space="preserve">:</w:t>
      </w:r>
      <w:r>
        <w:t xml:space="preserve"> </w:t>
      </w:r>
      <w:r>
        <w:t xml:space="preserve">Europae Archaeologia Consilium (EAC)</w:t>
      </w:r>
      <w:r>
        <w:t xml:space="preserve">.</w:t>
      </w:r>
    </w:p>
    <w:bookmarkEnd w:id="88"/>
    <w:bookmarkEnd w:id="89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hyperlink" Id="rId20" Target="datovy-model.qmd" TargetMode="External" /><Relationship Type="http://schemas.openxmlformats.org/officeDocument/2006/relationships/hyperlink" Id="rId58" Target="datovy-model.qmd#popis-madb" TargetMode="External" /><Relationship Type="http://schemas.openxmlformats.org/officeDocument/2006/relationships/hyperlink" Id="rId46" Target="heslare.qmd#komponenty" TargetMode="External" /><Relationship Type="http://schemas.openxmlformats.org/officeDocument/2006/relationships/hyperlink" Id="rId40" Target="heslare.qmd#prostorov&#233;-vymezen&#237;" TargetMode="External" /><Relationship Type="http://schemas.openxmlformats.org/officeDocument/2006/relationships/hyperlink" Id="rId56" Target="heslare.qmd#sondy-madb" TargetMode="External" /><Relationship Type="http://schemas.openxmlformats.org/officeDocument/2006/relationships/hyperlink" Id="rId80" Target="http://www.msmt.cz/vyzkum-a-vyvoj/definice-infrastruktury" TargetMode="External" /><Relationship Type="http://schemas.openxmlformats.org/officeDocument/2006/relationships/hyperlink" Id="rId54" Target="http://www.praha-archeologicka.cz/" TargetMode="External" /><Relationship Type="http://schemas.openxmlformats.org/officeDocument/2006/relationships/hyperlink" Id="rId64" Target="https://digiarchiv.aiscr.cz/" TargetMode="External" /><Relationship Type="http://schemas.openxmlformats.org/officeDocument/2006/relationships/hyperlink" Id="rId72" Target="https://oao.aiscr.cz/" TargetMode="External" /><Relationship Type="http://schemas.openxmlformats.org/officeDocument/2006/relationships/hyperlink" Id="rId69" Target="https://www.arub.cz/archiv/chci-odevzdat-dokument/" TargetMode="External" /><Relationship Type="http://schemas.openxmlformats.org/officeDocument/2006/relationships/hyperlink" Id="rId68" Target="https://www.arup.cas.cz/wp-content/uploads/2020/05/pravidla_NZ_obecna_191009.pdf" TargetMode="External" /><Relationship Type="http://schemas.openxmlformats.org/officeDocument/2006/relationships/hyperlink" Id="rId87" Target="https://www.europae-archaeologiae-consilium.org/_files/ugd/881a59_8f64941804054368bffd6038baf912d9.pdf" TargetMode="External" /><Relationship Type="http://schemas.openxmlformats.org/officeDocument/2006/relationships/hyperlink" Id="rId53" Target="https://www.isvavai.cz/cep?ss=detail&amp;n=0&amp;h=DF13P01OVV014" TargetMode="External" /><Relationship Type="http://schemas.openxmlformats.org/officeDocument/2006/relationships/hyperlink" Id="rId81" Target="https://www.vyzkumne-infrastruktury.cz/co-jsou-velke-vyzkumne-infrastruktury/" TargetMode="External" /><Relationship Type="http://schemas.openxmlformats.org/officeDocument/2006/relationships/hyperlink" Id="rId77" Target="mailto:info@amapa.cz" TargetMode="External" /><Relationship Type="http://schemas.openxmlformats.org/officeDocument/2006/relationships/hyperlink" Id="rId22" Target="pojmy.qmd#akce" TargetMode="External" /><Relationship Type="http://schemas.openxmlformats.org/officeDocument/2006/relationships/hyperlink" Id="rId85" Target="pojmy.qmd#archeologick&#225;-datab&#225;ze-&#269;ech-ad&#269;" TargetMode="External" /><Relationship Type="http://schemas.openxmlformats.org/officeDocument/2006/relationships/hyperlink" Id="rId38" Target="pojmy.qmd#dokumenta&#269;n&#237;-jednotky" TargetMode="External" /><Relationship Type="http://schemas.openxmlformats.org/officeDocument/2006/relationships/hyperlink" Id="rId25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6" Target="pojmy.qmd#n&#225;lezy" TargetMode="External" /><Relationship Type="http://schemas.openxmlformats.org/officeDocument/2006/relationships/hyperlink" Id="rId33" Target="pojmy.qmd#opr&#225;vn&#283;n&#225;-archeologick&#225;-organizace" TargetMode="External" /><Relationship Type="http://schemas.openxmlformats.org/officeDocument/2006/relationships/hyperlink" Id="rId27" Target="pojmy.qmd#pian" TargetMode="External" /><Relationship Type="http://schemas.openxmlformats.org/officeDocument/2006/relationships/hyperlink" Id="rId36" Target="pojmy.qmd#projekt" TargetMode="External" /><Relationship Type="http://schemas.openxmlformats.org/officeDocument/2006/relationships/hyperlink" Id="rId34" Target="pojmy.qmd#projektov&#225;-dokumentace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83" Target="pojmy.qmd#ter&#233;nn&#237;-z&#225;sah" TargetMode="External" /><Relationship Type="http://schemas.openxmlformats.org/officeDocument/2006/relationships/hyperlink" Id="rId47" Target="pojmy.qmd#&#283;negativn&#237;-zji&#353;t&#283;n&#237;" TargetMode="External" /><Relationship Type="http://schemas.openxmlformats.org/officeDocument/2006/relationships/hyperlink" Id="rId75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datovy-model.qmd" TargetMode="External" /><Relationship Type="http://schemas.openxmlformats.org/officeDocument/2006/relationships/hyperlink" Id="rId58" Target="datovy-model.qmd#popis-madb" TargetMode="External" /><Relationship Type="http://schemas.openxmlformats.org/officeDocument/2006/relationships/hyperlink" Id="rId46" Target="heslare.qmd#komponenty" TargetMode="External" /><Relationship Type="http://schemas.openxmlformats.org/officeDocument/2006/relationships/hyperlink" Id="rId40" Target="heslare.qmd#prostorov&#233;-vymezen&#237;" TargetMode="External" /><Relationship Type="http://schemas.openxmlformats.org/officeDocument/2006/relationships/hyperlink" Id="rId56" Target="heslare.qmd#sondy-madb" TargetMode="External" /><Relationship Type="http://schemas.openxmlformats.org/officeDocument/2006/relationships/hyperlink" Id="rId80" Target="http://www.msmt.cz/vyzkum-a-vyvoj/definice-infrastruktury" TargetMode="External" /><Relationship Type="http://schemas.openxmlformats.org/officeDocument/2006/relationships/hyperlink" Id="rId54" Target="http://www.praha-archeologicka.cz/" TargetMode="External" /><Relationship Type="http://schemas.openxmlformats.org/officeDocument/2006/relationships/hyperlink" Id="rId64" Target="https://digiarchiv.aiscr.cz/" TargetMode="External" /><Relationship Type="http://schemas.openxmlformats.org/officeDocument/2006/relationships/hyperlink" Id="rId72" Target="https://oao.aiscr.cz/" TargetMode="External" /><Relationship Type="http://schemas.openxmlformats.org/officeDocument/2006/relationships/hyperlink" Id="rId69" Target="https://www.arub.cz/archiv/chci-odevzdat-dokument/" TargetMode="External" /><Relationship Type="http://schemas.openxmlformats.org/officeDocument/2006/relationships/hyperlink" Id="rId68" Target="https://www.arup.cas.cz/wp-content/uploads/2020/05/pravidla_NZ_obecna_191009.pdf" TargetMode="External" /><Relationship Type="http://schemas.openxmlformats.org/officeDocument/2006/relationships/hyperlink" Id="rId87" Target="https://www.europae-archaeologiae-consilium.org/_files/ugd/881a59_8f64941804054368bffd6038baf912d9.pdf" TargetMode="External" /><Relationship Type="http://schemas.openxmlformats.org/officeDocument/2006/relationships/hyperlink" Id="rId53" Target="https://www.isvavai.cz/cep?ss=detail&amp;n=0&amp;h=DF13P01OVV014" TargetMode="External" /><Relationship Type="http://schemas.openxmlformats.org/officeDocument/2006/relationships/hyperlink" Id="rId81" Target="https://www.vyzkumne-infrastruktury.cz/co-jsou-velke-vyzkumne-infrastruktury/" TargetMode="External" /><Relationship Type="http://schemas.openxmlformats.org/officeDocument/2006/relationships/hyperlink" Id="rId77" Target="mailto:info@amapa.cz" TargetMode="External" /><Relationship Type="http://schemas.openxmlformats.org/officeDocument/2006/relationships/hyperlink" Id="rId22" Target="pojmy.qmd#akce" TargetMode="External" /><Relationship Type="http://schemas.openxmlformats.org/officeDocument/2006/relationships/hyperlink" Id="rId85" Target="pojmy.qmd#archeologick&#225;-datab&#225;ze-&#269;ech-ad&#269;" TargetMode="External" /><Relationship Type="http://schemas.openxmlformats.org/officeDocument/2006/relationships/hyperlink" Id="rId38" Target="pojmy.qmd#dokumenta&#269;n&#237;-jednotky" TargetMode="External" /><Relationship Type="http://schemas.openxmlformats.org/officeDocument/2006/relationships/hyperlink" Id="rId25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6" Target="pojmy.qmd#n&#225;lezy" TargetMode="External" /><Relationship Type="http://schemas.openxmlformats.org/officeDocument/2006/relationships/hyperlink" Id="rId33" Target="pojmy.qmd#opr&#225;vn&#283;n&#225;-archeologick&#225;-organizace" TargetMode="External" /><Relationship Type="http://schemas.openxmlformats.org/officeDocument/2006/relationships/hyperlink" Id="rId27" Target="pojmy.qmd#pian" TargetMode="External" /><Relationship Type="http://schemas.openxmlformats.org/officeDocument/2006/relationships/hyperlink" Id="rId36" Target="pojmy.qmd#projekt" TargetMode="External" /><Relationship Type="http://schemas.openxmlformats.org/officeDocument/2006/relationships/hyperlink" Id="rId34" Target="pojmy.qmd#projektov&#225;-dokumentace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83" Target="pojmy.qmd#ter&#233;nn&#237;-z&#225;sah" TargetMode="External" /><Relationship Type="http://schemas.openxmlformats.org/officeDocument/2006/relationships/hyperlink" Id="rId47" Target="pojmy.qmd#&#283;negativn&#237;-zji&#353;t&#283;n&#237;" TargetMode="External" /><Relationship Type="http://schemas.openxmlformats.org/officeDocument/2006/relationships/hyperlink" Id="rId75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pojmy</dc:title>
  <dc:creator/>
  <dc:language>cs</dc:language>
  <cp:keywords/>
  <dcterms:created xsi:type="dcterms:W3CDTF">2023-09-22T08:31:22Z</dcterms:created>
  <dcterms:modified xsi:type="dcterms:W3CDTF">2023-09-22T08:31:22Z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