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Jedním z hlavních poslání AMČR je zabezpečit nutnou agendu a evidenci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4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/>
          <w:bCs/>
        </w:rPr>
        <w:t xml:space="preserve">procesní stavy</w:t>
      </w:r>
      <w:r>
        <w:t xml:space="preserve">, které jsou přidělovány všem záznamům v základních datových třídách (</w:t>
      </w:r>
      <w:hyperlink r:id="rId25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30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31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5"/>
        </w:tc>
      </w:tr>
    </w:tbl>
    <w:bookmarkStart w:id="37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6"/>
          <w:p/>
        </w:tc>
      </w:tr>
    </w:tbl>
    <w:bookmarkEnd w:id="37"/>
    <w:bookmarkStart w:id="39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8"/>
          <w:p/>
        </w:tc>
      </w:tr>
    </w:tbl>
    <w:bookmarkEnd w:id="39"/>
    <w:bookmarkStart w:id="41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0"/>
          <w:p/>
        </w:tc>
      </w:tr>
    </w:tbl>
    <w:bookmarkEnd w:id="41"/>
    <w:bookmarkStart w:id="43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2"/>
          <w:p/>
        </w:tc>
      </w:tr>
    </w:tbl>
    <w:bookmarkEnd w:id="43"/>
    <w:bookmarkStart w:id="45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4"/>
          <w:p/>
        </w:tc>
      </w:tr>
    </w:tbl>
    <w:bookmarkEnd w:id="45"/>
    <w:bookmarkStart w:id="47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6"/>
          <w:p/>
        </w:tc>
      </w:tr>
    </w:tbl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2024-07-04T19:23:08Z</dcterms:created>
  <dcterms:modified xsi:type="dcterms:W3CDTF">2024-07-04T19:23:08Z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