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Cs/>
          <w:b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Anonym</w:t>
      </w:r>
      <w:r>
        <w:t xml:space="preserve">) získává každý uživatel, který zavítá do AMČR, Digitálního archivu AMČR, či jiné aplikace AIS CR.</w:t>
      </w:r>
      <w:r>
        <w:t xml:space="preserve"> </w:t>
      </w:r>
      <w:r>
        <w:t xml:space="preserve">Rozšířená uživatelská práva lze získat na základě</w:t>
      </w:r>
      <w:r>
        <w:t xml:space="preserve"> </w:t>
      </w:r>
      <w:hyperlink r:id="rId20">
        <w:r>
          <w:rPr>
            <w:rStyle w:val="Hyperlink"/>
          </w:rPr>
          <w:t xml:space="preserve">registrace</w:t>
        </w:r>
      </w:hyperlink>
      <w:r>
        <w:t xml:space="preserve"> </w:t>
      </w:r>
      <w:r>
        <w:t xml:space="preserve">(role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1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Cs/>
          <w:b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Cs/>
          <w:b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Cs/>
          <w:b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2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3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5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jej edituje, a uživatelům s vyššími oprávněními (úroveň D a E).</w:t>
      </w:r>
    </w:p>
    <w:bookmarkStart w:id="27" w:name="X795f8621e66bb7a8a818d407eb2dcf1b49cbbf6"/>
    <w:p>
      <w:pPr>
        <w:pStyle w:val="Heading2"/>
      </w:pPr>
      <w:r>
        <w:t xml:space="preserve">Oprávnění jednotlivých uživatelských rolí</w:t>
      </w:r>
    </w:p>
    <w:bookmarkStart w:id="26" w:name="tbl-role"/>
    <w:p>
      <w:pPr>
        <w:pStyle w:val="TableCaption"/>
      </w:pPr>
      <w:r>
        <w:t xml:space="preserve">Tab. 1: Seznam uživatelských rolí a oprávnění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Seznam uživatelských rolí a oprávnění"/>
      </w:tblPr>
      <w:tblGrid>
        <w:gridCol w:w="210"/>
        <w:gridCol w:w="589"/>
        <w:gridCol w:w="3328"/>
        <w:gridCol w:w="37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</dc:title>
  <dc:creator/>
  <dc:language>cs</dc:language>
  <cp:keywords/>
  <dcterms:created xsi:type="dcterms:W3CDTF">2023-09-20T13:18:45Z</dcterms:created>
  <dcterms:modified xsi:type="dcterms:W3CDTF">2023-09-20T13:18:45Z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