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Cs/>
          <w:i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Cs/>
          <w:b/>
        </w:rPr>
        <w:t xml:space="preserve">Každý uživatel AMČR, jako nedílné součásti AIS CR, má proto povinnost:</w:t>
      </w:r>
    </w:p>
    <w:p>
      <w:pPr>
        <w:numPr>
          <w:ilvl w:val="0"/>
          <w:numId w:val="1001"/>
        </w:numPr>
        <w:pStyle w:val="Compact"/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numPr>
          <w:ilvl w:val="0"/>
          <w:numId w:val="1001"/>
        </w:numPr>
        <w:pStyle w:val="Compact"/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numPr>
          <w:ilvl w:val="0"/>
          <w:numId w:val="1001"/>
        </w:numPr>
        <w:pStyle w:val="Compact"/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2023-09-20T13:14:10Z</dcterms:created>
  <dcterms:modified xsi:type="dcterms:W3CDTF">2023-09-20T13:14:10Z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