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Licence</w:t>
      </w:r>
    </w:p>
    <w:p>
      <w:pPr>
        <w:pStyle w:val="FirstParagraph"/>
      </w:pPr>
      <w:r>
        <w:t xml:space="preserve">Veškerý obsah na těchto stránkách podléhá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.</w:t>
      </w:r>
    </w:p>
    <w:p>
      <w:pPr>
        <w:pStyle w:val="BodyText"/>
      </w:pPr>
      <w:r>
        <w:t xml:space="preserve">Data dostupná v AMČR jsou zveřejňována v souladu s politikou otevřeného přístupu k datům a se souhlasem držitelů autorských práv.</w:t>
      </w:r>
      <w:r>
        <w:t xml:space="preserve"> </w:t>
      </w:r>
      <w:r>
        <w:t xml:space="preserve">Využití dat podléhá (pokud není explicitně uvedeno jinak) licenci</w:t>
      </w:r>
      <w:r>
        <w:t xml:space="preserve"> </w:t>
      </w:r>
      <w:hyperlink r:id="rId20">
        <w:r>
          <w:rPr>
            <w:rStyle w:val="Hyperlink"/>
          </w:rPr>
          <w:t xml:space="preserve">CC BY-NC 4.0</w:t>
        </w:r>
      </w:hyperlink>
      <w:r>
        <w:t xml:space="preserve"> </w:t>
      </w:r>
      <w:r>
        <w:t xml:space="preserve">(Creative Commons Uveďte původ-Neužívejte komerčně 4.0).</w:t>
      </w:r>
      <w:r>
        <w:t xml:space="preserve"> </w:t>
      </w:r>
      <w:r>
        <w:t xml:space="preserve">Data je proto možné využít pouze s uvedením autora a pouze pro nekomerční použití.</w:t>
      </w:r>
      <w:r>
        <w:t xml:space="preserve"> </w:t>
      </w:r>
      <w:r>
        <w:t xml:space="preserve">Toto ustanovení neomezuje využití AMČR na základě jiných smluvních ujednání či na základě zákonného titulu.</w:t>
      </w:r>
    </w:p>
    <w:p>
      <w:pPr>
        <w:pStyle w:val="BodyText"/>
      </w:pPr>
      <w:r>
        <w:t xml:space="preserve">Vzhledem k tomu, že AMČR, ale i další nástroje patřící do rámce infrastruktury Archeologický informační systém ČR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), poskytují data převážně v otevřeném režimu (</w:t>
      </w:r>
      <w:r>
        <w:rPr>
          <w:iCs/>
          <w:i/>
        </w:rPr>
        <w:t xml:space="preserve">Open Access</w:t>
      </w:r>
      <w:r>
        <w:t xml:space="preserve">), nemáme možnost sledovat využití těchto dat, ani to, jaké výstupy na jejich základě vznikají.</w:t>
      </w:r>
      <w:r>
        <w:t xml:space="preserve"> </w:t>
      </w:r>
      <w:r>
        <w:t xml:space="preserve">Jelikož jsme však tyto informace povinni ze zákona vykazovat, chtěli bychom Vás, uživatele AMČR, požádat o součinnost při vykazování vědeckých výstupů, při jejichž vzniku byla využita data z AMČR či dalších součástí AIS CR.</w:t>
      </w:r>
    </w:p>
    <w:p>
      <w:pPr>
        <w:pStyle w:val="BodyText"/>
      </w:pPr>
      <w:r>
        <w:rPr>
          <w:bCs/>
          <w:b/>
        </w:rPr>
        <w:t xml:space="preserve">Každý uživatel AMČR, jako nedílné součásti AIS CR, má proto povinnost:</w:t>
      </w:r>
    </w:p>
    <w:p>
      <w:pPr>
        <w:numPr>
          <w:ilvl w:val="0"/>
          <w:numId w:val="1001"/>
        </w:numPr>
        <w:pStyle w:val="Compact"/>
      </w:pPr>
      <w:r>
        <w:t xml:space="preserve">v konkrétních výstupech vždy obvyklým způsobem uvést, že k jejich tvorbě byla využita infrastruktura AIS CR s odkazem na využitá data či nástroj;</w:t>
      </w:r>
    </w:p>
    <w:p>
      <w:pPr>
        <w:numPr>
          <w:ilvl w:val="0"/>
          <w:numId w:val="1001"/>
        </w:numPr>
        <w:pStyle w:val="Compact"/>
      </w:pPr>
      <w:r>
        <w:t xml:space="preserve">pokud zadává informace o výstupech do</w:t>
      </w:r>
      <w:r>
        <w:t xml:space="preserve"> </w:t>
      </w:r>
      <w:hyperlink r:id="rId22">
        <w:r>
          <w:rPr>
            <w:rStyle w:val="Hyperlink"/>
          </w:rPr>
          <w:t xml:space="preserve">Rejstříku informací o výsledcích - RIV</w:t>
        </w:r>
      </w:hyperlink>
      <w:r>
        <w:t xml:space="preserve"> </w:t>
      </w:r>
      <w:r>
        <w:t xml:space="preserve">(např. na pracovištích AV ČR prostřednictvím databáze</w:t>
      </w:r>
      <w:r>
        <w:t xml:space="preserve"> </w:t>
      </w:r>
      <w:hyperlink r:id="rId23">
        <w:r>
          <w:rPr>
            <w:rStyle w:val="Hyperlink"/>
          </w:rPr>
          <w:t xml:space="preserve">ASEP</w:t>
        </w:r>
      </w:hyperlink>
      <w:r>
        <w:t xml:space="preserve">), vybrat návaznost výsledku na infrastrukturu AIS CR v poli VVI (Velké výzkumné infrastruktury) z nabízeného číselníku projektů podpory velkých výzkumných infrastruktur;</w:t>
      </w:r>
    </w:p>
    <w:p>
      <w:pPr>
        <w:numPr>
          <w:ilvl w:val="0"/>
          <w:numId w:val="1001"/>
        </w:numPr>
        <w:pStyle w:val="Compact"/>
      </w:pPr>
      <w:r>
        <w:t xml:space="preserve">dát nám laskavě vědět prostřednictvím tohoto dotazníku –</w:t>
      </w:r>
      <w:r>
        <w:t xml:space="preserve"> </w:t>
      </w:r>
      <w:hyperlink r:id="rId24">
        <w:r>
          <w:rPr>
            <w:rStyle w:val="Hyperlink"/>
          </w:rPr>
          <w:t xml:space="preserve">https://www.aiscr.cz/vystupy</w:t>
        </w:r>
      </w:hyperlink>
      <w:r>
        <w:t xml:space="preserve">, že výstup byl publikován.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3" Target="https://asep-portal.lib.cas.cz/" TargetMode="External" /><Relationship Type="http://schemas.openxmlformats.org/officeDocument/2006/relationships/hyperlink" Id="rId20" Target="https://creativecommons.org/licenses/by-nc/4.0/" TargetMode="External" /><Relationship Type="http://schemas.openxmlformats.org/officeDocument/2006/relationships/hyperlink" Id="rId24" Target="https://www.aiscr.cz/vystupy" TargetMode="External" /><Relationship Type="http://schemas.openxmlformats.org/officeDocument/2006/relationships/hyperlink" Id="rId22" Target="https://www.isvavai.cz/ri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Licence</dc:title>
  <dc:creator/>
  <dc:language>cs</dc:language>
  <cp:keywords/>
  <dcterms:created xsi:type="dcterms:W3CDTF">2024-03-01T11:36:38Z</dcterms:created>
  <dcterms:modified xsi:type="dcterms:W3CDTF">2024-03-01T11:36:38Z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