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0.png" ContentType="image/png"/>
  <Override PartName="/word/media/rId3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Uživatelské</w:t>
      </w:r>
      <w:r>
        <w:t xml:space="preserve"> </w:t>
      </w:r>
      <w:r>
        <w:t xml:space="preserve">účty</w:t>
      </w:r>
    </w:p>
    <w:p>
      <w:pPr>
        <w:pStyle w:val="Date"/>
      </w:pPr>
      <w:r>
        <w:t xml:space="preserve">2024-07-03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Registraci do AMČR můžete provést na následující stránce: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https://amcr.aiscr.cz/accounts/register/</w:t>
              </w:r>
            </w:hyperlink>
            <w:r>
              <w:t xml:space="preserve">.</w:t>
            </w:r>
          </w:p>
        </w:tc>
      </w:tr>
    </w:tbl>
    <w:p>
      <w:pPr>
        <w:pStyle w:val="BodyText"/>
      </w:pPr>
      <w:r>
        <w:t xml:space="preserve">Registrace v systému AMČR je pro všechny uživatele zdarma.</w:t>
      </w:r>
      <w:r>
        <w:t xml:space="preserve"> </w:t>
      </w:r>
      <w:r>
        <w:t xml:space="preserve">Při registraci je potřeba vyplnit následující údaje:</w:t>
      </w:r>
      <w:r>
        <w:t xml:space="preserve"> </w:t>
      </w:r>
      <w:r>
        <w:drawing>
          <wp:inline>
            <wp:extent cx="3840479" cy="8056345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s/registrace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79" cy="8056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Jméno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Příjmení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 </w:t>
      </w:r>
      <w:r>
        <w:t xml:space="preserve">– každý účet je vázán na emailovou adresu;</w:t>
      </w:r>
    </w:p>
    <w:p>
      <w:pPr>
        <w:pStyle w:val="Compact"/>
        <w:numPr>
          <w:ilvl w:val="0"/>
          <w:numId w:val="1001"/>
        </w:numPr>
      </w:pPr>
      <w:r>
        <w:rPr>
          <w:i/>
          <w:iCs/>
        </w:rPr>
        <w:t xml:space="preserve">Telefon</w:t>
      </w:r>
      <w:r>
        <w:t xml:space="preserve"> </w:t>
      </w:r>
      <w:r>
        <w:t xml:space="preserve">– nepovinný údaj;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Organizace</w:t>
      </w:r>
      <w:r>
        <w:t xml:space="preserve"> </w:t>
      </w:r>
      <w:r>
        <w:t xml:space="preserve">– z rozbalovací nabídky lze vybrat organizaci uživatele, uživatelé mimo archeologické organizace zpravidla vyberou možnost</w:t>
      </w:r>
      <w:r>
        <w:t xml:space="preserve"> </w:t>
      </w:r>
      <w:r>
        <w:rPr>
          <w:rStyle w:val="VerbatimChar"/>
        </w:rPr>
        <w:t xml:space="preserve">[amatérský spolupracovník]</w:t>
      </w:r>
      <w:r>
        <w:t xml:space="preserve"> </w:t>
      </w:r>
      <w:r>
        <w:t xml:space="preserve">či</w:t>
      </w:r>
      <w:r>
        <w:t xml:space="preserve"> </w:t>
      </w:r>
      <w:r>
        <w:rPr>
          <w:rStyle w:val="VerbatimChar"/>
        </w:rPr>
        <w:t xml:space="preserve">[neuvedeno]</w:t>
      </w:r>
      <w:r>
        <w:t xml:space="preserve">;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Heslo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Pro registraci do AMČR je potřeba uvést</w:t>
            </w:r>
            <w:r>
              <w:t xml:space="preserve"> </w:t>
            </w:r>
            <w:r>
              <w:rPr>
                <w:b/>
                <w:bCs/>
              </w:rPr>
              <w:t xml:space="preserve">skutečné jméno a příjmení</w:t>
            </w:r>
            <w:r>
              <w:t xml:space="preserve">.</w:t>
            </w:r>
            <w:r>
              <w:t xml:space="preserve"> </w:t>
            </w:r>
            <w:r>
              <w:t xml:space="preserve">Zkratky, přezdívky apod. nejsou přípustné.</w:t>
            </w:r>
          </w:p>
        </w:tc>
      </w:tr>
    </w:tbl>
    <w:p>
      <w:pPr>
        <w:pStyle w:val="BodyText"/>
      </w:pPr>
      <w:r>
        <w:t xml:space="preserve">Po vyplnění a odeslání registračního formuláře pak dojde k ověření uvedené emailové adresy a následné aktivaci účtu správci systému z ARÚP/ARÚB.</w:t>
      </w:r>
      <w:r>
        <w:t xml:space="preserve"> </w:t>
      </w:r>
      <w:r>
        <w:t xml:space="preserve">Po aktivaci účtu správci systému přijde na zadanou emailovovou adresu email s potvrzením.</w:t>
      </w:r>
      <w:r>
        <w:t xml:space="preserve"> </w:t>
      </w:r>
      <w:r>
        <w:t xml:space="preserve">Následně je možné se přihlásit.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/>
            </w:pPr>
            <w:r>
              <w:t xml:space="preserve">Uživatelský účet AMČR je možné použít především na následujících místech: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webová aplikace AMČR –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https://amcr.aiscr.cz/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Digitální archiv AMČR –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https://digiarchiv.aiscr.cz/</w:t>
              </w:r>
            </w:hyperlink>
            <w:r>
              <w:t xml:space="preserve"> </w:t>
            </w:r>
            <w:r>
              <w:t xml:space="preserve">a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AMČR API –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https://api.aiscr.cz/</w:t>
              </w:r>
            </w:hyperlink>
            <w:r>
              <w:t xml:space="preserve">.</w:t>
            </w:r>
          </w:p>
        </w:tc>
      </w:tr>
    </w:tbl>
    <w:bookmarkStart w:id="38" w:name="uživatelské-role"/>
    <w:p>
      <w:pPr>
        <w:pStyle w:val="Heading3"/>
      </w:pPr>
      <w:r>
        <w:t xml:space="preserve">Uživatelské role</w:t>
      </w:r>
    </w:p>
    <w:p>
      <w:pPr>
        <w:pStyle w:val="FirstParagraph"/>
      </w:pPr>
      <w:r>
        <w:t xml:space="preserve">Uživatelské role jsou detailně popsány</w:t>
      </w:r>
      <w:r>
        <w:t xml:space="preserve"> </w:t>
      </w:r>
      <w:hyperlink r:id="rId36">
        <w:r>
          <w:rPr>
            <w:rStyle w:val="Hyperlink"/>
          </w:rPr>
          <w:t xml:space="preserve">zde</w:t>
        </w:r>
      </w:hyperlink>
      <w:r>
        <w:t xml:space="preserve">.</w:t>
      </w:r>
      <w:r>
        <w:t xml:space="preserve"> </w:t>
      </w:r>
      <w:r>
        <w:t xml:space="preserve">Registrací v systému získává uživatel automaticky roli</w:t>
      </w:r>
      <w:r>
        <w:t xml:space="preserve"> </w:t>
      </w:r>
      <w:r>
        <w:rPr>
          <w:b/>
          <w:bCs/>
        </w:rPr>
        <w:t xml:space="preserve">Badatel</w:t>
      </w:r>
      <w:r>
        <w:t xml:space="preserve"> </w:t>
      </w:r>
      <w:r>
        <w:t xml:space="preserve">(</w:t>
      </w:r>
      <w:r>
        <w:rPr>
          <w:b/>
          <w:bCs/>
        </w:rPr>
        <w:t xml:space="preserve">B</w:t>
      </w:r>
      <w:r>
        <w:t xml:space="preserve">).</w:t>
      </w:r>
      <w:r>
        <w:t xml:space="preserve"> </w:t>
      </w:r>
      <w:r>
        <w:t xml:space="preserve">Roli</w:t>
      </w:r>
      <w:r>
        <w:t xml:space="preserve"> </w:t>
      </w:r>
      <w:r>
        <w:rPr>
          <w:b/>
          <w:bCs/>
        </w:rPr>
        <w:t xml:space="preserve">Archeolog</w:t>
      </w:r>
      <w:r>
        <w:t xml:space="preserve"> </w:t>
      </w:r>
      <w:r>
        <w:t xml:space="preserve">(</w:t>
      </w:r>
      <w:r>
        <w:rPr>
          <w:b/>
          <w:bCs/>
        </w:rPr>
        <w:t xml:space="preserve">C</w:t>
      </w:r>
      <w:r>
        <w:t xml:space="preserve">) mohou získat uživatelé z</w:t>
      </w:r>
      <w:r>
        <w:t xml:space="preserve"> </w:t>
      </w:r>
      <w:hyperlink r:id="rId37">
        <w:r>
          <w:rPr>
            <w:rStyle w:val="Hyperlink"/>
          </w:rPr>
          <w:t xml:space="preserve">organizací s oprávněním provádět archeologický výzkum</w:t>
        </w:r>
      </w:hyperlink>
      <w:r>
        <w:t xml:space="preserve"> </w:t>
      </w:r>
      <w:r>
        <w:t xml:space="preserve">prostřednictvím doplnění dodatku ke smlouvě uzavřené s ARÚP/ARÚB.</w:t>
      </w:r>
    </w:p>
    <w:p>
      <w:pPr>
        <w:pStyle w:val="BodyText"/>
      </w:pPr>
      <w:r>
        <w:t xml:space="preserve">V závislosti na získané uživatelské roli (oprávnění) nabízí systém AMČR uživatelům širokou škálu nástrojů a funkcionalit.</w:t>
      </w:r>
      <w:r>
        <w:t xml:space="preserve"> </w:t>
      </w:r>
      <w:r>
        <w:t xml:space="preserve">Obsah uživatelských rolí v zásadě odpovídá základním typům uživatelů a očekávaným způsobům práce s informačním systémem.</w:t>
      </w:r>
      <w:r>
        <w:t xml:space="preserve"> </w:t>
      </w:r>
      <w:r>
        <w:t xml:space="preserve">Vždy platí, že vyšší oprávnění v sobě zahrnuje i všechna práva a možnosti oprávnění nižších, toto lze samozřejmě předpokládat i o pracovních postupech, které jsou při práci využívány.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image" Id="rId24" Target="media/rId24.png" /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../o-systemu/pojmy.qmd#opr&#225;vn&#283;n&#225;-archeologick&#225;-organizace" TargetMode="External" /><Relationship Type="http://schemas.openxmlformats.org/officeDocument/2006/relationships/hyperlink" Id="rId36" Target="../o-systemu/role.qmd" TargetMode="External" /><Relationship Type="http://schemas.openxmlformats.org/officeDocument/2006/relationships/hyperlink" Id="rId33" Target="https://amcr.aiscr.cz/" TargetMode="External" /><Relationship Type="http://schemas.openxmlformats.org/officeDocument/2006/relationships/hyperlink" Id="rId23" Target="https://amcr.aiscr.cz/registrace/" TargetMode="External" /><Relationship Type="http://schemas.openxmlformats.org/officeDocument/2006/relationships/hyperlink" Id="rId35" Target="https://api.aiscr.cz/" TargetMode="External" /><Relationship Type="http://schemas.openxmlformats.org/officeDocument/2006/relationships/hyperlink" Id="rId34" Target="https://digiarchiv.aiscr.c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Uživatelské účty</dc:title>
  <dc:creator/>
  <dc:language>cs</dc:language>
  <cp:keywords/>
  <dcterms:created xsi:type="dcterms:W3CDTF">2024-07-11T07:06:00Z</dcterms:created>
  <dcterms:modified xsi:type="dcterms:W3CDTF">2024-07-11T07:06:00Z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date">
    <vt:lpwstr>2024-07-03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