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p>
      <w:pPr>
        <w:pStyle w:val="FirstParagraph"/>
      </w:pPr>
      <w:r>
        <w:t xml:space="preserve">Informační systém</w:t>
      </w:r>
      <w:r>
        <w:t xml:space="preserve"> </w:t>
      </w:r>
      <w:r>
        <w:rPr>
          <w:bCs/>
          <w:b/>
        </w:rPr>
        <w:t xml:space="preserve">Archeologická mapa České republiky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1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Cs/>
          <w:i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2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Cs/>
          <w:b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numPr>
          <w:ilvl w:val="0"/>
          <w:numId w:val="1001"/>
        </w:numPr>
        <w:pStyle w:val="Compact"/>
      </w:pPr>
      <w:r>
        <w:t xml:space="preserve">administrativní evidenci plánovaných a probíhajících terénních archeologických výzkumů;</w:t>
      </w:r>
    </w:p>
    <w:p>
      <w:pPr>
        <w:numPr>
          <w:ilvl w:val="0"/>
          <w:numId w:val="1001"/>
        </w:numPr>
        <w:pStyle w:val="Compact"/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numPr>
          <w:ilvl w:val="0"/>
          <w:numId w:val="1001"/>
        </w:numPr>
        <w:pStyle w:val="Compact"/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numPr>
          <w:ilvl w:val="0"/>
          <w:numId w:val="1001"/>
        </w:numPr>
        <w:pStyle w:val="Compact"/>
      </w:pPr>
      <w:r>
        <w:t xml:space="preserve">správu repozitáře terénní dokumentace pro účely Archeologických ústavů AV ČR v Praze a Brně (</w:t>
      </w:r>
      <w:hyperlink r:id="rId24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5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6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27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28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Cs/>
          <w:i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Cs/>
          <w:i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Cs/>
          <w:i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29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3">
        <w:r>
          <w:rPr>
            <w:rStyle w:val="Hyperlink"/>
            <w:iCs/>
            <w:i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0">
        <w:r>
          <w:rPr>
            <w:rStyle w:val="Hyperlink"/>
            <w:iCs/>
            <w:i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2024-02-28T09:36:37Z</dcterms:created>
  <dcterms:modified xsi:type="dcterms:W3CDTF">2024-02-28T09:36:37Z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