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Powered Presentation System</w:t>
      </w:r>
    </w:p>
    <w:p>
      <w:r>
        <w:t>This is a summary of the next-generation automated presentation generator.</w:t>
      </w:r>
    </w:p>
    <w:p>
      <w:pPr>
        <w:pStyle w:val="Heading2"/>
      </w:pPr>
      <w:r>
        <w:t>Key Features</w:t>
      </w:r>
    </w:p>
    <w:p>
      <w:r>
        <w:t>Automatic parsing of hierarchical documents.</w:t>
      </w:r>
    </w:p>
    <w:p>
      <w:r>
        <w:t>Dynamic visual matching with extracted shapes.</w:t>
      </w:r>
    </w:p>
    <w:p>
      <w:pPr>
        <w:pStyle w:val="Heading2"/>
      </w:pPr>
      <w:r>
        <w:t>Market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99.4%</w:t>
            </w:r>
          </w:p>
        </w:tc>
      </w:tr>
      <w:tr>
        <w:tc>
          <w:tcPr>
            <w:tcW w:type="dxa" w:w="4320"/>
          </w:tcPr>
          <w:p>
            <w:r>
              <w:t>Speedup</w:t>
            </w:r>
          </w:p>
        </w:tc>
        <w:tc>
          <w:tcPr>
            <w:tcW w:type="dxa" w:w="4320"/>
          </w:tcPr>
          <w:p>
            <w:r>
              <w:t>10x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