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3A5C"/>
          <w:sz w:val="44"/>
          <w:szCs w:val="44"/>
        </w:rPr>
        <w:t xml:space="preserve">MERGE LAB</w:t>
      </w:r>
    </w:p>
    <w:p>
      <w:pPr>
        <w:spacing w:after="40"/>
      </w:pPr>
      <w:r>
        <w:rPr>
          <w:color w:val="222222"/>
          <w:sz w:val="26"/>
          <w:szCs w:val="26"/>
        </w:rPr>
        <w:t xml:space="preserve">Build Audit and Work Split</w:t>
      </w:r>
    </w:p>
    <w:p>
      <w:pPr>
        <w:spacing w:after="200"/>
      </w:pPr>
      <w:r>
        <w:rPr>
          <w:i/>
          <w:iCs/>
          <w:color w:val="5A5A5A"/>
          <w:sz w:val="20"/>
          <w:szCs w:val="20"/>
        </w:rPr>
        <w:t xml:space="preserve">A pre-push interface contract registry for teams whose members code with AI agents</w:t>
      </w:r>
    </w:p>
    <w:p>
      <w:pPr>
        <w:pBdr>
          <w:bottom w:val="single" w:color="CCCCCC" w:sz="6"/>
        </w:pBdr>
        <w:spacing w:after="160" w:before="60"/>
      </w:pPr>
      <w:r>
        <w:t xml:space="preserve"/>
      </w:r>
    </w:p>
    <w:p>
      <w:pPr>
        <w:spacing w:after="60" w:before="0" w:line="276"/>
      </w:pPr>
      <w:r>
        <w:rPr>
          <w:b/>
          <w:bCs/>
          <w:sz w:val="21"/>
          <w:szCs w:val="21"/>
        </w:rPr>
        <w:t xml:space="preserve">Prepared for: </w:t>
      </w:r>
      <w:r>
        <w:rPr>
          <w:sz w:val="21"/>
          <w:szCs w:val="21"/>
        </w:rPr>
        <w:t xml:space="preserve">the Merge Lab team   </w:t>
      </w:r>
      <w:r>
        <w:rPr>
          <w:b/>
          <w:bCs/>
          <w:sz w:val="21"/>
          <w:szCs w:val="21"/>
        </w:rPr>
        <w:t xml:space="preserve">Event: </w:t>
      </w:r>
      <w:r>
        <w:rPr>
          <w:sz w:val="21"/>
          <w:szCs w:val="21"/>
        </w:rPr>
        <w:t xml:space="preserve">First Commit, Bharat Builds Tour (AWS Builder Center)   </w:t>
      </w:r>
      <w:r>
        <w:rPr>
          <w:b/>
          <w:bCs/>
          <w:sz w:val="21"/>
          <w:szCs w:val="21"/>
        </w:rPr>
        <w:t xml:space="preserve">Date: </w:t>
      </w:r>
      <w:r>
        <w:rPr>
          <w:sz w:val="21"/>
          <w:szCs w:val="21"/>
        </w:rPr>
        <w:t xml:space="preserve">20 September 2026</w:t>
      </w:r>
    </w:p>
    <w:p>
      <w:pPr>
        <w:spacing w:after="200" w:before="0" w:line="276"/>
      </w:pPr>
      <w:r>
        <w:rPr>
          <w:b/>
          <w:bCs/>
          <w:sz w:val="21"/>
          <w:szCs w:val="21"/>
        </w:rPr>
        <w:t xml:space="preserve">Codebase: </w:t>
      </w:r>
      <w:r>
        <w:rPr>
          <w:sz w:val="21"/>
          <w:szCs w:val="21"/>
        </w:rPr>
        <w:t xml:space="preserve">10 packages, 95 tests, all typecheck clean   </w:t>
      </w:r>
      <w:r>
        <w:rPr>
          <w:b/>
          <w:bCs/>
          <w:sz w:val="21"/>
          <w:szCs w:val="21"/>
        </w:rPr>
        <w:t xml:space="preserve">Track: </w:t>
      </w:r>
      <w:r>
        <w:rPr>
          <w:sz w:val="21"/>
          <w:szCs w:val="21"/>
        </w:rPr>
        <w:t xml:space="preserve">Ship It (Best UI as a second target)</w:t>
      </w:r>
    </w:p>
    <w:p>
      <w:pPr>
        <w:pStyle w:val="Heading1"/>
        <w:spacing w:after="160" w:before="360"/>
      </w:pPr>
      <w:r>
        <w:rPr>
          <w:b/>
          <w:bCs/>
          <w:color w:val="1A3A5C"/>
          <w:sz w:val="30"/>
          <w:szCs w:val="30"/>
        </w:rPr>
        <w:t xml:space="preserve">1. Where the project stands</w:t>
      </w:r>
    </w:p>
    <w:p>
      <w:pPr>
        <w:spacing w:after="120" w:before="0" w:line="276"/>
      </w:pPr>
      <w:r>
        <w:rPr>
          <w:sz w:val="21"/>
          <w:szCs w:val="21"/>
        </w:rPr>
        <w:t xml:space="preserve">Every package the demo needs is built and tested. The reasoning-heavy engineering is finished: AST-based extraction with cross-file type resolution, six deterministic drift rules, a CLI that reads uncommitted work, and both agent hook entrypoints with the real deny contract. Roughly 95% of the demo-critical scope exists in code.</w:t>
      </w:r>
    </w:p>
    <w:p>
      <w:pPr>
        <w:spacing w:after="160" w:before="0" w:line="276"/>
      </w:pPr>
      <w:r>
        <w:rPr>
          <w:sz w:val="21"/>
          <w:szCs w:val="21"/>
        </w:rPr>
        <w:t xml:space="preserve">The risk has moved entirely out of the codebase. Nothing has ever executed on AWS, no demo repository exists, the two-run experiment has never been rehearsed, and the three-minute video has not been recorded. A judge scoring the project today would see a passing test suite and nothing else, because every visible element of the product sits behind a deployment that has not happened and a recording that does not exist.</w:t>
      </w:r>
    </w:p>
    <w:p>
      <w:pPr>
        <w:spacing w:after="200" w:before="0" w:line="276"/>
      </w:pPr>
      <w:r>
        <w:rPr>
          <w:b/>
          <w:bCs/>
          <w:color w:val="B03030"/>
          <w:sz w:val="21"/>
          <w:szCs w:val="21"/>
        </w:rPr>
        <w:t xml:space="preserve">The single most important sentence in this document: </w:t>
      </w:r>
      <w:r>
        <w:rPr>
          <w:color w:val="B03030"/>
          <w:sz w:val="21"/>
          <w:szCs w:val="21"/>
        </w:rPr>
        <w:t xml:space="preserve">adding more features will not raise the score. Finishing the deployment, the rehearsal and the video is the only remaining work that changes the outcome.</w:t>
      </w:r>
    </w:p>
    <w:p>
      <w:pPr>
        <w:pStyle w:val="Heading1"/>
        <w:spacing w:after="160" w:before="360"/>
      </w:pPr>
      <w:r>
        <w:rPr>
          <w:b/>
          <w:bCs/>
          <w:color w:val="1A3A5C"/>
          <w:sz w:val="30"/>
          <w:szCs w:val="30"/>
        </w:rPr>
        <w:t xml:space="preserve">2. What is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2360"/>
        <w:gridCol w:w="1000"/>
      </w:tblGrid>
      <w:tr>
        <w:trPr>
          <w:tblHeader/>
        </w:trPr>
        <w:tc>
          <w:tcPr>
            <w:tcW w:type="dxa" w:w="1900"/>
            <w:shd w:fill="1A3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4100"/>
            <w:shd w:fill="1A3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360"/>
            <w:shd w:fill="1A3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1000"/>
            <w:shd w:fill="1A3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packages/shared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Zod schemas as source of truth, inferred types, shapeHash, functional dependency classes, all API request and response schemas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9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packages/extractor</w:t>
            </w:r>
          </w:p>
        </w:tc>
        <w:tc>
          <w:tcPr>
            <w:tcW w:type="dxa" w:w="41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ts-morph extraction of signatures, shapes, deps, routes and env names; cross-file shape inlining; redactor; fail-to-empty counter</w:t>
            </w:r>
          </w:p>
        </w:tc>
        <w:tc>
          <w:tcPr>
            <w:tcW w:type="dxa" w:w="236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services/resolver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Six deterministic drift rules, version and supersession logic, board assembly, scenarios table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19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services/ingest, context, verdict, board</w:t>
            </w:r>
          </w:p>
        </w:tc>
        <w:tc>
          <w:tcPr>
            <w:tcW w:type="dxa" w:w="41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four Lambda handlers behind one HTTP API</w:t>
            </w:r>
          </w:p>
        </w:tc>
        <w:tc>
          <w:tcPr>
            <w:tcW w:type="dxa" w:w="236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B03030"/>
                <w:sz w:val="19"/>
                <w:szCs w:val="19"/>
              </w:rPr>
              <w:t xml:space="preserve">Written, never deployed</w:t>
            </w:r>
          </w:p>
        </w:tc>
        <w:tc>
          <w:tcPr>
            <w:tcW w:type="dxa" w:w="10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infra/template.yaml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 stack: ap-south-1, Node 20, ARM64, one DynamoDB table plus GSI1, five functions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B03030"/>
                <w:sz w:val="19"/>
                <w:szCs w:val="19"/>
              </w:rPr>
              <w:t xml:space="preserve">Written, never deployed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9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packages/daemon</w:t>
            </w:r>
          </w:p>
        </w:tc>
        <w:tc>
          <w:tcPr>
            <w:tcW w:type="dxa" w:w="41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 publisher: publish, context, check, init; identity, git change detection, context rendering</w:t>
            </w:r>
          </w:p>
        </w:tc>
        <w:tc>
          <w:tcPr>
            <w:tcW w:type="dxa" w:w="236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packages/hooks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Claude Code SessionStart and PreToolUse; warn/block modes; 300 ms budget; fails open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19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board/</w:t>
            </w:r>
          </w:p>
        </w:tc>
        <w:tc>
          <w:tcPr>
            <w:tcW w:type="dxa" w:w="41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Projector-legible UI: branches, contracts, drift feed; 3 s poll; light and dark; demo mode</w:t>
            </w:r>
          </w:p>
        </w:tc>
        <w:tc>
          <w:tcPr>
            <w:tcW w:type="dxa" w:w="236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spacing w:after="120" w:before="0" w:line="276"/>
      </w:pPr>
      <w:r>
        <w:rPr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3A5C"/>
          <w:sz w:val="21"/>
          <w:szCs w:val="21"/>
        </w:rPr>
        <w:t xml:space="preserve">Core requirements satisfied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Working-tree observation including uncommitted and untracked files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Declaration extraction with cross-file shape resolution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Contract registry with versioning and supersession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Context injection into a starting agent session, phrased as factual statements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All six drift rules, deterministic, with linter-style reason strings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Enforcement: a pending write that drifts is denied with a reason the agent can act 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Team board with explicit "not reporting" labelling so absence never reads as evidence</w:t>
      </w:r>
    </w:p>
    <w:p>
      <w:pPr>
        <w:spacing w:after="100" w:before="0" w:line="276"/>
      </w:pPr>
      <w:r>
        <w:rPr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3A5C"/>
          <w:sz w:val="21"/>
          <w:szCs w:val="21"/>
        </w:rPr>
        <w:t xml:space="preserve">Cut on purpose, and staying cut</w:t>
      </w:r>
    </w:p>
    <w:p>
      <w:pPr>
        <w:spacing w:after="80" w:before="0" w:line="276"/>
      </w:pPr>
      <w:r>
        <w:rPr>
          <w:sz w:val="21"/>
          <w:szCs w:val="21"/>
        </w:rPr>
        <w:t xml:space="preserve">Each of the following was dropped for the same reason: it does not appear in a three-minute video. Filesystem watcher (replaced by a CLI), Codex and Antigravity adapters, the Bedrock semantic tier, the coupling graph, session summarisation, Slack and PR ingestion, claim-and-release, override learning, multi-language extractors, the IDE surface, Cognito, EventBridge, the notify Lambda and the offline queue.</w:t>
      </w:r>
    </w:p>
    <w:p>
      <w:pPr>
        <w:spacing w:after="160" w:before="0" w:line="276"/>
      </w:pPr>
      <w:r>
        <w:rPr>
          <w:b/>
          <w:bCs/>
          <w:sz w:val="21"/>
          <w:szCs w:val="21"/>
        </w:rPr>
        <w:t xml:space="preserve">If asked in judging: </w:t>
      </w:r>
      <w:r>
        <w:rPr>
          <w:i/>
          <w:iCs/>
          <w:color w:val="5A5A5A"/>
          <w:sz w:val="21"/>
          <w:szCs w:val="21"/>
        </w:rPr>
        <w:t xml:space="preserve">say these were scoped out deliberately and name the reason. A deliberate cut is engineering judgement; an unexplained gap is an oversight.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3A5C"/>
          <w:sz w:val="30"/>
          <w:szCs w:val="30"/>
        </w:rPr>
        <w:t xml:space="preserve">3. What is left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900"/>
        <w:gridCol w:w="1800"/>
        <w:gridCol w:w="1700"/>
      </w:tblGrid>
      <w:tr>
        <w:trPr>
          <w:tblHeader/>
        </w:trPr>
        <w:tc>
          <w:tcPr>
            <w:tcW w:type="dxa" w:w="500"/>
            <w:shd w:fill="1A3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60"/>
            <w:shd w:fill="1A3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shd w:fill="1A3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Code?</w:t>
            </w:r>
          </w:p>
        </w:tc>
        <w:tc>
          <w:tcPr>
            <w:tcW w:type="dxa" w:w="1800"/>
            <w:shd w:fill="1A3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700"/>
            <w:shd w:fill="1A3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Deploy the SAM stack and pass the smoke test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Aryan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0.5–4 h</w:t>
            </w:r>
          </w:p>
        </w:tc>
      </w:tr>
      <w:tr>
        <w:tc>
          <w:tcPr>
            <w:tcW w:type="dxa" w:w="5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46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Prove the four-hop spine end to end against the real API</w:t>
            </w:r>
          </w:p>
        </w:tc>
        <w:tc>
          <w:tcPr>
            <w:tcW w:type="dxa" w:w="9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Aryan</w:t>
            </w:r>
          </w:p>
        </w:tc>
        <w:tc>
          <w:tcPr>
            <w:tcW w:type="dxa" w:w="17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h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Build the demo repository with two branches and seeded drift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 A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h</w:t>
            </w:r>
          </w:p>
        </w:tc>
      </w:tr>
      <w:tr>
        <w:tc>
          <w:tcPr>
            <w:tcW w:type="dxa" w:w="5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46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Rehearse the two-run experiment until it works twice consecutively</w:t>
            </w:r>
          </w:p>
        </w:tc>
        <w:tc>
          <w:tcPr>
            <w:tcW w:type="dxa" w:w="9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 A</w:t>
            </w:r>
          </w:p>
        </w:tc>
        <w:tc>
          <w:tcPr>
            <w:tcW w:type="dxa" w:w="17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1–2 h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Capture raw screen footage of both runs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 A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h</w:t>
            </w:r>
          </w:p>
        </w:tc>
      </w:tr>
      <w:tr>
        <w:tc>
          <w:tcPr>
            <w:tcW w:type="dxa" w:w="5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46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README and architecture diagram</w:t>
            </w:r>
          </w:p>
        </w:tc>
        <w:tc>
          <w:tcPr>
            <w:tcW w:type="dxa" w:w="9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Part</w:t>
            </w:r>
          </w:p>
        </w:tc>
        <w:tc>
          <w:tcPr>
            <w:tcW w:type="dxa" w:w="18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 A</w:t>
            </w:r>
          </w:p>
        </w:tc>
        <w:tc>
          <w:tcPr>
            <w:tcW w:type="dxa" w:w="17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h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Landing page and Merge Lab rename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 B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3–4 h</w:t>
            </w:r>
          </w:p>
        </w:tc>
      </w:tr>
      <w:tr>
        <w:tc>
          <w:tcPr>
            <w:tcW w:type="dxa" w:w="5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46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 and narrate the three-minute video</w:t>
            </w:r>
          </w:p>
        </w:tc>
        <w:tc>
          <w:tcPr>
            <w:tcW w:type="dxa" w:w="9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 B</w:t>
            </w:r>
          </w:p>
        </w:tc>
        <w:tc>
          <w:tcPr>
            <w:tcW w:type="dxa" w:w="17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Builder Center blog post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 B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h</w:t>
            </w:r>
          </w:p>
        </w:tc>
      </w:tr>
      <w:tr>
        <w:tc>
          <w:tcPr>
            <w:tcW w:type="dxa" w:w="5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46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Submission checklist and verification</w:t>
            </w:r>
          </w:p>
        </w:tc>
        <w:tc>
          <w:tcPr>
            <w:tcW w:type="dxa" w:w="9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 B</w:t>
            </w:r>
          </w:p>
        </w:tc>
        <w:tc>
          <w:tcPr>
            <w:tcW w:type="dxa" w:w="17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0.5 h</w:t>
            </w:r>
          </w:p>
        </w:tc>
      </w:tr>
    </w:tbl>
    <w:p>
      <w:pPr>
        <w:spacing w:after="140" w:before="0" w:line="276"/>
      </w:pPr>
      <w:r>
        <w:rPr>
          <w:sz w:val="21"/>
          <w:szCs w:val="21"/>
        </w:rPr>
        <w:t xml:space="preserve"/>
      </w:r>
    </w:p>
    <w:p>
      <w:pPr>
        <w:spacing w:after="200" w:before="0" w:line="276"/>
      </w:pPr>
      <w:r>
        <w:rPr>
          <w:b/>
          <w:bCs/>
          <w:sz w:val="21"/>
          <w:szCs w:val="21"/>
        </w:rPr>
        <w:t xml:space="preserve">Critical path: </w:t>
      </w:r>
      <w:r>
        <w:rPr>
          <w:sz w:val="21"/>
          <w:szCs w:val="21"/>
        </w:rPr>
        <w:t xml:space="preserve">items 1 and 2 block items 4, 5 and 8. Items 3, 6, 7 and 9 are not blocked by anything and should start immediately, in parallel, regardless of how the deployment is going.</w:t>
      </w:r>
    </w:p>
    <w:p>
      <w:pPr>
        <w:pStyle w:val="Heading1"/>
        <w:spacing w:after="160" w:before="360"/>
      </w:pPr>
      <w:r>
        <w:rPr>
          <w:b/>
          <w:bCs/>
          <w:color w:val="1A3A5C"/>
          <w:sz w:val="30"/>
          <w:szCs w:val="30"/>
        </w:rPr>
        <w:t xml:space="preserve">4. Person A — Demo and Proof</w:t>
      </w:r>
    </w:p>
    <w:p>
      <w:pPr>
        <w:spacing w:after="160" w:before="0" w:line="276"/>
      </w:pPr>
      <w:r>
        <w:rPr>
          <w:sz w:val="21"/>
          <w:szCs w:val="21"/>
        </w:rPr>
        <w:t xml:space="preserve">You own everything that turns working code into visible evidence. Your output is raw footage and a repository a stranger can read. Nothing you build here ships to production, and that is fine — the demo is the product as far as the judges are concerned.</w:t>
      </w:r>
    </w:p>
    <w:p>
      <w:pPr>
        <w:pStyle w:val="Heading3"/>
        <w:spacing w:after="100" w:before="200"/>
      </w:pPr>
      <w:r>
        <w:rPr>
          <w:b/>
          <w:bCs/>
          <w:color w:val="1A3A5C"/>
          <w:sz w:val="21"/>
          <w:szCs w:val="21"/>
        </w:rPr>
        <w:t xml:space="preserve">A1. Demo repository</w:t>
      </w:r>
    </w:p>
    <w:p>
      <w:pPr>
        <w:spacing w:after="100" w:before="0" w:line="276"/>
      </w:pPr>
      <w:r>
        <w:rPr>
          <w:sz w:val="21"/>
          <w:szCs w:val="21"/>
        </w:rPr>
        <w:t xml:space="preserve">Create a scratch repository, separate from the Merge Lab codebase, that stands in for a team’s project. Merge Lab watches it; the two branches represent two developers.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Repository name: demo-orders. Initialise it, commit an empty scaffold, then branch.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Branch feat/user-api, owner "dev-a": express plus axios, a User type with snake_case fields (user_id, full_name, created_at), a getUser function, a POST /api/users route, and a DATABASE_URL environment reference.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Branch feat/profile-ui, owner "dev-b": the consumer of getUser.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Lift the shapes directly from fixtures/repo-a and fixtures/repo-b in the main repository. They are already the exact form the drift rules expect, so do not invent new ones.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Leave the work uncommitted on both branches. This is the entire point of the product and must be visible on camera.</w:t>
      </w:r>
    </w:p>
    <w:p>
      <w:pPr>
        <w:spacing w:after="60" w:before="0" w:line="276"/>
      </w:pPr>
      <w:r>
        <w:rPr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3A5C"/>
          <w:sz w:val="21"/>
          <w:szCs w:val="21"/>
        </w:rPr>
        <w:t xml:space="preserve">A2. Rehearse the two-run experiment</w:t>
      </w:r>
    </w:p>
    <w:p>
      <w:pPr>
        <w:spacing w:after="100" w:before="0" w:line="276"/>
      </w:pPr>
      <w:r>
        <w:rPr>
          <w:sz w:val="21"/>
          <w:szCs w:val="21"/>
        </w:rPr>
        <w:t xml:space="preserve">The demo is not a feature tour. It is the same task run twice with one variable changed.</w:t>
      </w:r>
    </w:p>
    <w:p>
      <w:pPr>
        <w:spacing w:after="60" w:before="0" w:line="276"/>
      </w:pPr>
      <w:r>
        <w:rPr>
          <w:b/>
          <w:bCs/>
          <w:sz w:val="21"/>
          <w:szCs w:val="21"/>
        </w:rPr>
        <w:t xml:space="preserve">Run 1 — Merge Lab off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Dev A’s agent builds the endpoint: installs axios, defines getUser returning user_id and full_name. Nothing is committed or pushed.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Dev B’s agent is given the dependent task with no shared context.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Dev B picks node-fetch and writes userId.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The merge compiles and returns undefined.</w:t>
      </w:r>
    </w:p>
    <w:p>
      <w:pPr>
        <w:spacing w:after="60" w:before="100" w:line="276"/>
      </w:pPr>
      <w:r>
        <w:rPr>
          <w:b/>
          <w:bCs/>
          <w:sz w:val="21"/>
          <w:szCs w:val="21"/>
        </w:rPr>
        <w:t xml:space="preserve">Run 2 — Merge Lab on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sz w:val="21"/>
          <w:szCs w:val="21"/>
        </w:rPr>
        <w:t xml:space="preserve">Dev A works; the board updates live with the new dependency, signature and owner.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sz w:val="21"/>
          <w:szCs w:val="21"/>
        </w:rPr>
        <w:t xml:space="preserve">Dev B starts a fresh session. The injected context block is visible in the transcript on screen.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sz w:val="21"/>
          <w:szCs w:val="21"/>
        </w:rPr>
        <w:t xml:space="preserve">Dev B writes user_id and reuses axios without being told.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sz w:val="21"/>
          <w:szCs w:val="21"/>
        </w:rPr>
        <w:t xml:space="preserve">Dev B’s agent then attempts a fetch call; the pre-write hook denies it with a one-line reason and the agent self-corrects with no human input in frame.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sz w:val="21"/>
          <w:szCs w:val="21"/>
        </w:rPr>
        <w:t xml:space="preserve">The merge is mechanical.</w:t>
      </w:r>
    </w:p>
    <w:p>
      <w:pPr>
        <w:spacing w:after="140" w:before="100" w:line="276"/>
      </w:pPr>
      <w:r>
        <w:rPr>
          <w:b/>
          <w:bCs/>
          <w:sz w:val="21"/>
          <w:szCs w:val="21"/>
        </w:rPr>
        <w:t xml:space="preserve">Acceptance: </w:t>
      </w:r>
      <w:r>
        <w:rPr>
          <w:sz w:val="21"/>
          <w:szCs w:val="21"/>
        </w:rPr>
        <w:t xml:space="preserve">both runs complete twice in a row without improvisation. If it only works once, it will fail on camera.</w:t>
      </w:r>
    </w:p>
    <w:p>
      <w:pPr>
        <w:pStyle w:val="Heading3"/>
        <w:spacing w:after="100" w:before="200"/>
      </w:pPr>
      <w:r>
        <w:rPr>
          <w:b/>
          <w:bCs/>
          <w:color w:val="1A3A5C"/>
          <w:sz w:val="21"/>
          <w:szCs w:val="21"/>
        </w:rPr>
        <w:t xml:space="preserve">A3. Capture the footage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Record at 1080p or higher, terminal font size large enough to read at projector distance.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Two terminals side by side, plus the board visible in a browser.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Capture Run 2 first and in full — it is the primary footage. Then Run 1 as the contrast.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Get a clean, uninterrupted take of the moment the hook denies the write. That is the single most important four seconds of the submission.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Hand the raw files to Person B. Do not edit them yourself.</w:t>
      </w:r>
    </w:p>
    <w:p>
      <w:pPr>
        <w:spacing w:after="60" w:before="0" w:line="276"/>
      </w:pPr>
      <w:r>
        <w:rPr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3A5C"/>
          <w:sz w:val="21"/>
          <w:szCs w:val="21"/>
        </w:rPr>
        <w:t xml:space="preserve">A4. README and architecture diagram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Root README: what the problem is in two sentences, the architecture diagram, a one-command local setup, and how to run the scenarios table.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Architecture diagram: developer machines, the AWS control plane, and the board. Name every service. Keep it line-art and legible when scaled down.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State plainly that authentication is a single static workspace token today. Do not imply otherwise.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Include the "not yet built" list from infra/README.md so the seams are visible and deliberate.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3A5C"/>
          <w:sz w:val="30"/>
          <w:szCs w:val="30"/>
        </w:rPr>
        <w:t xml:space="preserve">5. Person B — Story and Surface</w:t>
      </w:r>
    </w:p>
    <w:p>
      <w:pPr>
        <w:spacing w:after="160" w:before="0" w:line="276"/>
      </w:pPr>
      <w:r>
        <w:rPr>
          <w:sz w:val="21"/>
          <w:szCs w:val="21"/>
        </w:rPr>
        <w:t xml:space="preserve">You own everything a judge actually looks at. The video is the entire judging surface — there is no live demo — so it outweighs every other deliverable in this document, including the landing page. If you run short of time, cut the landing page, not the video.</w:t>
      </w:r>
    </w:p>
    <w:p>
      <w:pPr>
        <w:pStyle w:val="Heading3"/>
        <w:spacing w:after="100" w:before="200"/>
      </w:pPr>
      <w:r>
        <w:rPr>
          <w:b/>
          <w:bCs/>
          <w:color w:val="1A3A5C"/>
          <w:sz w:val="21"/>
          <w:szCs w:val="21"/>
        </w:rPr>
        <w:t xml:space="preserve">B1. The three-minute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1A3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8160"/>
            <w:shd w:fill="1A3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0:00–0:20</w:t>
            </w:r>
          </w:p>
        </w:tc>
        <w:tc>
          <w:tcPr>
            <w:tcW w:type="dxa" w:w="8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problem, first person and specific: forty minutes lost waiting for a teammate to push — not for their code, but for three facts about it. The same thing happened during an LFX mentorship.</w:t>
            </w:r>
          </w:p>
        </w:tc>
      </w:tr>
      <w:tr>
        <w:tc>
          <w:tcPr>
            <w:tcW w:type="dxa" w:w="12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0:20–0:35</w:t>
            </w:r>
          </w:p>
        </w:tc>
        <w:tc>
          <w:tcPr>
            <w:tcW w:type="dxa" w:w="816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What Merge Lab is, in one sentence: a linter for your teammates’ unpushed decisions.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0:35–1:20</w:t>
            </w:r>
          </w:p>
        </w:tc>
        <w:tc>
          <w:tcPr>
            <w:tcW w:type="dxa" w:w="8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 2 on screen: dev A declares, the board updates, dev B’s agent starts already knowing, dev B writes matching code.</w:t>
            </w:r>
          </w:p>
        </w:tc>
      </w:tr>
      <w:tr>
        <w:tc>
          <w:tcPr>
            <w:tcW w:type="dxa" w:w="12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1:20–1:50</w:t>
            </w:r>
          </w:p>
        </w:tc>
        <w:tc>
          <w:tcPr>
            <w:tcW w:type="dxa" w:w="816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block: the agent attempts fetch, is denied with a reason, and self-corrects. No human input in frame.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1:50–2:10</w:t>
            </w:r>
          </w:p>
        </w:tc>
        <w:tc>
          <w:tcPr>
            <w:tcW w:type="dxa" w:w="8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 1 replayed fast: same prompts, no Merge Lab, the undefined at the end.</w:t>
            </w:r>
          </w:p>
        </w:tc>
      </w:tr>
      <w:tr>
        <w:tc>
          <w:tcPr>
            <w:tcW w:type="dxa" w:w="12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2:10–2:45</w:t>
            </w:r>
          </w:p>
        </w:tc>
        <w:tc>
          <w:tcPr>
            <w:tcW w:type="dxa" w:w="816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Architecture: the diagram, services named, one honest sentence on why serverless and why enforcement is deterministic.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2:45–3:00</w:t>
            </w:r>
          </w:p>
        </w:tc>
        <w:tc>
          <w:tcPr>
            <w:tcW w:type="dxa" w:w="8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What we learned, concretely: hook payload differences across agent runtimes, the factual-phrasing constraint on injected context, and cold start as the real latency budget.</w:t>
            </w:r>
          </w:p>
        </w:tc>
      </w:tr>
    </w:tbl>
    <w:p>
      <w:pPr>
        <w:spacing w:after="140" w:before="0" w:line="276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The first ninety seconds carry the score. Proof comes before architecture, never after.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Learning is an explicit judging criterion, so say what fought back, not what went smoothly.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Do not claim anything the repository cannot back up. If a piece is unfinished, say so in one sentence — a working seventy percent presented honestly outscores a broken hundred percent.</w:t>
      </w:r>
    </w:p>
    <w:p>
      <w:pPr>
        <w:spacing w:after="60" w:before="0" w:line="276"/>
      </w:pPr>
      <w:r>
        <w:rPr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3A5C"/>
          <w:sz w:val="21"/>
          <w:szCs w:val="21"/>
        </w:rPr>
        <w:t xml:space="preserve">B2. Landing page and rename</w:t>
      </w:r>
    </w:p>
    <w:p>
      <w:pPr>
        <w:spacing w:after="100" w:before="0" w:line="276"/>
      </w:pPr>
      <w:r>
        <w:rPr>
          <w:sz w:val="21"/>
          <w:szCs w:val="21"/>
        </w:rPr>
        <w:t xml:space="preserve">The product is renamed Merge Lab. Update the name across the UI, README and page titles; do not rename packages or the npm scope, which is churn with no payoff.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Single marketing page at "/", the existing board at "/board". No authentication, no signup, no workspace list — none of that exists in the product and must not be implied anywhere on the page.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Sections: hero, the problem, how it works in three steps, four numbered capabilities, the six rules with their real reason strings, true numbers only, built-on-AWS, and a closing call to action.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Restyle the board to share the landing page’s type scale, palette and borders. Visual pass only — do not touch board logic, the poll, demo mode or data assembly.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Motion: subtle scroll reveals, a lerping custom cursor, and one small WebGL particle field in the hero. All of it disabled under prefers-reduced-motion and on screens under 768 pixels.</w:t>
      </w:r>
    </w:p>
    <w:p>
      <w:pPr>
        <w:spacing w:after="140" w:before="100" w:line="276"/>
      </w:pPr>
      <w:r>
        <w:rPr>
          <w:b/>
          <w:bCs/>
          <w:color w:val="B03030"/>
          <w:sz w:val="21"/>
          <w:szCs w:val="21"/>
        </w:rPr>
        <w:t xml:space="preserve">Hard rule: </w:t>
      </w:r>
      <w:r>
        <w:rPr>
          <w:color w:val="B03030"/>
          <w:sz w:val="21"/>
          <w:szCs w:val="21"/>
        </w:rPr>
        <w:t xml:space="preserve">no fabricated testimonials, customer logos, compliance badges, pricing tiers or statistics. Every number on the page must be true of the repository as it stands. A judge who checks must find it accurate.</w:t>
      </w:r>
    </w:p>
    <w:p>
      <w:pPr>
        <w:pStyle w:val="Heading3"/>
        <w:spacing w:after="100" w:before="200"/>
      </w:pPr>
      <w:r>
        <w:rPr>
          <w:b/>
          <w:bCs/>
          <w:color w:val="1A3A5C"/>
          <w:sz w:val="21"/>
          <w:szCs w:val="21"/>
        </w:rPr>
        <w:t xml:space="preserve">B3. Builder Center blog post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Top five blogs win a prize and almost nobody writes one, so the expected value here is unusually high for an hour of work.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Best subject: hook contracts across Claude Code, Codex and Antigravity, and the constraint that injected context must be phrased as factual statements rather than instructions, because text framed as an out-of-band command trips the model’s prompt-injection defences and is surfaced to the user instead of being used.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Link the post in the submission.</w:t>
      </w:r>
    </w:p>
    <w:p>
      <w:pPr>
        <w:spacing w:after="60" w:before="0" w:line="276"/>
      </w:pPr>
      <w:r>
        <w:rPr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3A5C"/>
          <w:sz w:val="21"/>
          <w:szCs w:val="21"/>
        </w:rPr>
        <w:t xml:space="preserve">B4. Submission verification</w:t>
      </w:r>
    </w:p>
    <w:p>
      <w:pPr>
        <w:spacing w:after="100" w:before="0" w:line="276"/>
      </w:pPr>
      <w:r>
        <w:rPr>
          <w:sz w:val="21"/>
          <w:szCs w:val="21"/>
        </w:rPr>
        <w:t xml:space="preserve">Confirm each of these personally. Do not assume.</w:t>
      </w:r>
    </w:p>
    <w:p>
      <w:pPr>
        <w:spacing w:after="70" w:line="276"/>
      </w:pPr>
      <w:r>
        <w:rPr>
          <w:sz w:val="22"/>
          <w:szCs w:val="22"/>
        </w:rPr>
        <w:t xml:space="preserve">☐   </w:t>
      </w:r>
      <w:r>
        <w:rPr>
          <w:sz w:val="21"/>
          <w:szCs w:val="21"/>
        </w:rPr>
        <w:t xml:space="preserve">University enrollment verified on AWS Builder Center — nothing is scored without this</w:t>
      </w:r>
    </w:p>
    <w:p>
      <w:pPr>
        <w:spacing w:after="70" w:line="276"/>
      </w:pPr>
      <w:r>
        <w:rPr>
          <w:sz w:val="22"/>
          <w:szCs w:val="22"/>
        </w:rPr>
        <w:t xml:space="preserve">☐   </w:t>
      </w:r>
      <w:r>
        <w:rPr>
          <w:sz w:val="21"/>
          <w:szCs w:val="21"/>
        </w:rPr>
        <w:t xml:space="preserve">The $100 team credits form has been claimed</w:t>
      </w:r>
    </w:p>
    <w:p>
      <w:pPr>
        <w:spacing w:after="70" w:line="276"/>
      </w:pPr>
      <w:r>
        <w:rPr>
          <w:sz w:val="22"/>
          <w:szCs w:val="22"/>
        </w:rPr>
        <w:t xml:space="preserve">☐   </w:t>
      </w:r>
      <w:r>
        <w:rPr>
          <w:sz w:val="21"/>
          <w:szCs w:val="21"/>
        </w:rPr>
        <w:t xml:space="preserve">The deployed URL is live and reachable from a machine outside the team</w:t>
      </w:r>
    </w:p>
    <w:p>
      <w:pPr>
        <w:spacing w:after="70" w:line="276"/>
      </w:pPr>
      <w:r>
        <w:rPr>
          <w:sz w:val="22"/>
          <w:szCs w:val="22"/>
        </w:rPr>
        <w:t xml:space="preserve">☐   </w:t>
      </w:r>
      <w:r>
        <w:rPr>
          <w:sz w:val="21"/>
          <w:szCs w:val="21"/>
        </w:rPr>
        <w:t xml:space="preserve">The three-minute video is uploaded and plays from a fresh browser session</w:t>
      </w:r>
    </w:p>
    <w:p>
      <w:pPr>
        <w:spacing w:after="70" w:line="276"/>
      </w:pPr>
      <w:r>
        <w:rPr>
          <w:sz w:val="22"/>
          <w:szCs w:val="22"/>
        </w:rPr>
        <w:t xml:space="preserve">☐   </w:t>
      </w:r>
      <w:r>
        <w:rPr>
          <w:sz w:val="21"/>
          <w:szCs w:val="21"/>
        </w:rPr>
        <w:t xml:space="preserve">The repository is public and the README renders correctly on GitHub</w:t>
      </w:r>
    </w:p>
    <w:p>
      <w:pPr>
        <w:spacing w:after="70" w:line="276"/>
      </w:pPr>
      <w:r>
        <w:rPr>
          <w:sz w:val="22"/>
          <w:szCs w:val="22"/>
        </w:rPr>
        <w:t xml:space="preserve">☐   </w:t>
      </w:r>
      <w:r>
        <w:rPr>
          <w:sz w:val="21"/>
          <w:szCs w:val="21"/>
        </w:rPr>
        <w:t xml:space="preserve">The Builder Center blog post is published and linked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3A5C"/>
          <w:sz w:val="30"/>
          <w:szCs w:val="30"/>
        </w:rPr>
        <w:t xml:space="preserve">6.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00"/>
        <w:gridCol w:w="4060"/>
      </w:tblGrid>
      <w:tr>
        <w:trPr>
          <w:tblHeader/>
        </w:trPr>
        <w:tc>
          <w:tcPr>
            <w:tcW w:type="dxa" w:w="4000"/>
            <w:shd w:fill="1A3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300"/>
            <w:shd w:fill="1A3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060"/>
            <w:shd w:fill="1A3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Nothing has run on AWS. The handler path convention is an unverified guess and credentials were only recently configured.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030"/>
                <w:sz w:val="19"/>
                <w:szCs w:val="19"/>
              </w:rPr>
              <w:t xml:space="preserve">Critical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Aryan deploys first, before anything else. Everyone else works on items that do not depend on it.</w:t>
            </w:r>
          </w:p>
        </w:tc>
      </w:tr>
      <w:tr>
        <w:tc>
          <w:tcPr>
            <w:tcW w:type="dxa" w:w="40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four-hop path (CLI to ingest to context to hook) has never run against real infrastructure.</w:t>
            </w:r>
          </w:p>
        </w:tc>
        <w:tc>
          <w:tcPr>
            <w:tcW w:type="dxa" w:w="13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030"/>
                <w:sz w:val="19"/>
                <w:szCs w:val="19"/>
              </w:rPr>
              <w:t xml:space="preserve">Critical</w:t>
            </w:r>
          </w:p>
        </w:tc>
        <w:tc>
          <w:tcPr>
            <w:tcW w:type="dxa" w:w="406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Prove it with one declaration before the rehearsal starts.</w:t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demo repository, no rehearsal, no video.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030"/>
                <w:sz w:val="19"/>
                <w:szCs w:val="19"/>
              </w:rPr>
              <w:t xml:space="preserve">Critical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 A starts the demo repository now; it is blocked by nothing.</w:t>
            </w:r>
          </w:p>
        </w:tc>
      </w:tr>
      <w:tr>
        <w:tc>
          <w:tcPr>
            <w:tcW w:type="dxa" w:w="40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demo may be read as "another AI memory tool", a crowded category.</w:t>
            </w:r>
          </w:p>
        </w:tc>
        <w:tc>
          <w:tcPr>
            <w:tcW w:type="dxa" w:w="13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06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Lead with the controlled experiment and the word linter. Never say "context layer" on camera.</w:t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false-positive block makes the tool look hostile.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Default mode is warn. Block mode is enabled only for the demo repository.</w:t>
            </w:r>
          </w:p>
        </w:tc>
      </w:tr>
      <w:tr>
        <w:tc>
          <w:tcPr>
            <w:tcW w:type="dxa" w:w="40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Adoption: every teammate must run the CLI for the registry to be complete.</w:t>
            </w:r>
          </w:p>
        </w:tc>
        <w:tc>
          <w:tcPr>
            <w:tcW w:type="dxa" w:w="130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Out of scope this weekend. If asked, answer honestly: coverage degrades gracefully and absence is reported explicitly rather than implied.</w:t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funded company and several open-source projects occupy the adjacent space.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Acknowledge it directly. The defensible ground is pre-push, cross-machine and enforcement-first, which none of them do.</w:t>
            </w:r>
          </w:p>
        </w:tc>
      </w:tr>
    </w:tbl>
    <w:p>
      <w:pPr>
        <w:spacing w:after="200" w:before="0" w:line="276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3A5C"/>
          <w:sz w:val="30"/>
          <w:szCs w:val="30"/>
        </w:rPr>
        <w:t xml:space="preserve">7. How to judge whether today went well</w:t>
      </w:r>
    </w:p>
    <w:p>
      <w:pPr>
        <w:spacing w:after="120" w:before="0" w:line="276"/>
      </w:pPr>
      <w:r>
        <w:rPr>
          <w:sz w:val="21"/>
          <w:szCs w:val="21"/>
        </w:rPr>
        <w:t xml:space="preserve">Not by how much was built. By whether a stranger can watch three minutes of video, understand the problem, see it solved twice under controlled conditions, and open a working URL afterwards.</w:t>
      </w:r>
    </w:p>
    <w:p>
      <w:pPr>
        <w:spacing w:after="120" w:before="0" w:line="276"/>
      </w:pPr>
      <w:r>
        <w:rPr>
          <w:sz w:val="21"/>
          <w:szCs w:val="21"/>
        </w:rPr>
        <w:t xml:space="preserve">If it comes to a choice between one more feature and one more rehearsal pass, take the rehearsal every time. A judge cannot score something they never saw.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Merge Lab — Build Audit and Work Split</dc:title>
  <dc:creator>Merge Lab</dc:creator>
  <dc:description>Audit of what is built, what remains, and the split across two teammates</dc:description>
  <cp:lastModifiedBy>Un-named</cp:lastModifiedBy>
  <cp:revision>1</cp:revision>
  <dcterms:created xsi:type="dcterms:W3CDTF">2026-09-19T19:31:18.383Z</dcterms:created>
  <dcterms:modified xsi:type="dcterms:W3CDTF">2026-09-19T19:31:18.384Z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