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102A43"/>
          <w:sz w:val="52"/>
        </w:rPr>
        <w:t>MarketMind AI</w:t>
      </w:r>
    </w:p>
    <w:p>
      <w:pPr>
        <w:spacing w:after="200"/>
      </w:pPr>
      <w:r>
        <w:rPr>
          <w:rFonts w:ascii="Calibri" w:hAnsi="Calibri"/>
          <w:b/>
          <w:i w:val="0"/>
          <w:color w:val="0B6F71"/>
          <w:sz w:val="40"/>
        </w:rPr>
        <w:t>Agentic AI and RAG — simple technical report</w:t>
      </w:r>
    </w:p>
    <w:p>
      <w:pPr>
        <w:spacing w:after="320"/>
      </w:pPr>
      <w:r>
        <w:rPr>
          <w:rFonts w:ascii="Calibri" w:hAnsi="Calibri"/>
          <w:b w:val="0"/>
          <w:i/>
          <w:color w:val="52606D"/>
          <w:sz w:val="21"/>
        </w:rPr>
        <w:t>Prepared for the ITI capstone review • 7 August 2026</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8F2F2"/>
            <w:tcBorders>
              <w:top w:val="single" w:sz="0" w:space="0" w:color="E8F2F2"/>
              <w:left w:val="single" w:sz="0" w:space="0" w:color="E8F2F2"/>
              <w:bottom w:val="single" w:sz="0" w:space="0" w:color="E8F2F2"/>
              <w:right w:val="single" w:sz="0" w:space="0" w:color="E8F2F2"/>
              <w:insideH w:val="single" w:sz="0" w:space="0" w:color="E8F2F2"/>
              <w:insideV w:val="single" w:sz="0" w:space="0" w:color="E8F2F2"/>
            </w:tcBorders>
          </w:tcPr>
          <w:p>
            <w:pPr>
              <w:spacing w:after="80"/>
            </w:pPr>
            <w:r/>
            <w:r>
              <w:rPr>
                <w:rFonts w:ascii="Calibri" w:hAnsi="Calibri"/>
                <w:b/>
                <w:i w:val="0"/>
                <w:color w:val="0B6F71"/>
                <w:sz w:val="24"/>
              </w:rPr>
              <w:t>The one-line answer</w:t>
            </w:r>
          </w:p>
          <w:p>
            <w:pPr>
              <w:spacing w:after="0" w:line="288" w:lineRule="auto"/>
            </w:pPr>
            <w:r>
              <w:rPr>
                <w:rFonts w:ascii="Calibri" w:hAnsi="Calibri"/>
                <w:b w:val="0"/>
                <w:i w:val="0"/>
                <w:color w:val="102A43"/>
                <w:sz w:val="22"/>
              </w:rPr>
              <w:t>Agentic AI coordinates the existing AI specialists. RAG gives the Strategy Agent approved marketing knowledge with citations. Both are controlled so the system cannot invent facts or publish by itself.</w:t>
            </w:r>
          </w:p>
        </w:tc>
      </w:tr>
    </w:tbl>
    <w:p>
      <w:pPr>
        <w:spacing w:after="0"/>
      </w:pPr>
    </w:p>
    <w:p>
      <w:pPr>
        <w:keepNext/>
        <w:spacing w:before="360" w:after="200"/>
      </w:pPr>
      <w:r>
        <w:rPr>
          <w:rFonts w:ascii="Calibri" w:hAnsi="Calibri"/>
          <w:b/>
          <w:i w:val="0"/>
          <w:color w:val="0B6F71"/>
          <w:sz w:val="32"/>
        </w:rPr>
        <w:t>1. The two ideas in one minute</w:t>
      </w:r>
    </w:p>
    <w:tbl>
      <w:tblPr>
        <w:tblW w:type="dxa" w:w="9360"/>
        <w:tblLayout w:type="fixed"/>
        <w:tblLook w:firstColumn="1" w:firstRow="1" w:lastColumn="0" w:lastRow="0" w:noHBand="0" w:noVBand="1" w:val="04A0"/>
        <w:jc w:val="left"/>
        <w:tblInd w:w="120" w:type="dxa"/>
      </w:tblPr>
      <w:tblGrid>
        <w:gridCol w:w="1800"/>
        <w:gridCol w:w="3300"/>
        <w:gridCol w:w="4260"/>
      </w:tblGrid>
      <w:tr>
        <w:tc>
          <w:tcPr>
            <w:tcW w:type="dxa" w:w="180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Part</w:t>
            </w:r>
          </w:p>
        </w:tc>
        <w:tc>
          <w:tcPr>
            <w:tcW w:type="dxa" w:w="330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Plain meaning</w:t>
            </w:r>
          </w:p>
        </w:tc>
        <w:tc>
          <w:tcPr>
            <w:tcW w:type="dxa" w:w="426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Value for MarketMind</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Agentic AI</w:t>
            </w:r>
          </w:p>
        </w:tc>
        <w:tc>
          <w:tcPr>
            <w:tcW w:type="dxa" w:w="33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A project manager that chooses the next safe AI step.</w:t>
            </w:r>
          </w:p>
        </w:tc>
        <w:tc>
          <w:tcPr>
            <w:tcW w:type="dxa" w:w="42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Research → Strategy → owner approval → Content, with restartable progress.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RAG</w:t>
            </w:r>
          </w:p>
        </w:tc>
        <w:tc>
          <w:tcPr>
            <w:tcW w:type="dxa" w:w="33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A trusted search step before the model writes.</w:t>
            </w:r>
          </w:p>
        </w:tc>
        <w:tc>
          <w:tcPr>
            <w:tcW w:type="dxa" w:w="42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The Strategy uses reviewed marketing playbooks instead of relying only on model memory.</w:t>
            </w:r>
          </w:p>
        </w:tc>
      </w:tr>
    </w:tbl>
    <w:p>
      <w:pPr>
        <w:spacing w:after="0"/>
      </w:pPr>
    </w:p>
    <w:p>
      <w:pPr>
        <w:keepNext/>
        <w:spacing w:before="360" w:after="200"/>
      </w:pPr>
      <w:r>
        <w:rPr>
          <w:rFonts w:ascii="Calibri" w:hAnsi="Calibri"/>
          <w:b/>
          <w:i w:val="0"/>
          <w:color w:val="0B6F71"/>
          <w:sz w:val="32"/>
        </w:rPr>
        <w:t>2. What changed in the product</w:t>
      </w:r>
    </w:p>
    <w:p>
      <w:pPr>
        <w:pStyle w:val="ListBullet"/>
        <w:spacing w:after="80" w:line="300" w:lineRule="auto"/>
        <w:ind w:left="540" w:hanging="271"/>
      </w:pPr>
      <w:r>
        <w:rPr>
          <w:rFonts w:ascii="Calibri" w:hAnsi="Calibri"/>
          <w:b w:val="0"/>
          <w:i w:val="0"/>
          <w:color w:val="102A43"/>
          <w:sz w:val="22"/>
        </w:rPr>
        <w:t>The normal product path is still the rollback path. Agentic orchestration is behind AI_ORCHESTRATION_ENABLED=false.</w:t>
      </w:r>
    </w:p>
    <w:p>
      <w:pPr>
        <w:pStyle w:val="ListBullet"/>
        <w:spacing w:after="80" w:line="300" w:lineRule="auto"/>
        <w:ind w:left="540" w:hanging="271"/>
      </w:pPr>
      <w:r>
        <w:rPr>
          <w:rFonts w:ascii="Calibri" w:hAnsi="Calibri"/>
          <w:b w:val="0"/>
          <w:i w:val="0"/>
          <w:color w:val="102A43"/>
          <w:sz w:val="22"/>
        </w:rPr>
        <w:t>The new agentic graph is narrow: Research, Strategy, exact owner Strategy approval, Week-1 Content, exact owner Content decision, then stop.</w:t>
      </w:r>
    </w:p>
    <w:p>
      <w:pPr>
        <w:pStyle w:val="ListBullet"/>
        <w:spacing w:after="80" w:line="300" w:lineRule="auto"/>
        <w:ind w:left="540" w:hanging="271"/>
      </w:pPr>
      <w:r>
        <w:rPr>
          <w:rFonts w:ascii="Calibri" w:hAnsi="Calibri"/>
          <w:b w:val="0"/>
          <w:i w:val="0"/>
          <w:color w:val="102A43"/>
          <w:sz w:val="22"/>
        </w:rPr>
        <w:t>The graph does not own authentication, billing, database truth, approvals, publication candidates, or publishing.</w:t>
      </w:r>
    </w:p>
    <w:p>
      <w:pPr>
        <w:pStyle w:val="ListBullet"/>
        <w:spacing w:after="80" w:line="300" w:lineRule="auto"/>
        <w:ind w:left="540" w:hanging="271"/>
      </w:pPr>
      <w:r>
        <w:rPr>
          <w:rFonts w:ascii="Calibri" w:hAnsi="Calibri"/>
          <w:b w:val="0"/>
          <w:i w:val="0"/>
          <w:color w:val="102A43"/>
          <w:sz w:val="22"/>
        </w:rPr>
        <w:t>The latest RAG closeout adds MMR: it keeps relevant results while reducing repeated advice. semantic remains the explicit rollback mode.</w:t>
      </w:r>
    </w:p>
    <w:p>
      <w:r>
        <w:br w:type="page"/>
      </w:r>
    </w:p>
    <w:p>
      <w:pPr>
        <w:keepNext/>
        <w:spacing w:before="360" w:after="200"/>
      </w:pPr>
      <w:r>
        <w:rPr>
          <w:rFonts w:ascii="Calibri" w:hAnsi="Calibri"/>
          <w:b/>
          <w:i w:val="0"/>
          <w:color w:val="0B6F71"/>
          <w:sz w:val="32"/>
        </w:rPr>
        <w:t>3. Agentic AI: what we built</w:t>
      </w:r>
    </w:p>
    <w:p>
      <w:pPr>
        <w:spacing w:after="120" w:line="300" w:lineRule="auto"/>
      </w:pPr>
      <w:r>
        <w:rPr>
          <w:rFonts w:ascii="Calibri" w:hAnsi="Calibri"/>
          <w:b w:val="0"/>
          <w:i w:val="0"/>
          <w:color w:val="102A43"/>
          <w:sz w:val="22"/>
        </w:rPr>
        <w:t>Think of the orchestrator as a traffic controller. It does not replace Discovery, Strategy, Content, Qdrant, validators, queues, or publishing. It tells each specialist when to work and what it is allowed to receive.</w:t>
      </w:r>
    </w:p>
    <w:tbl>
      <w:tblPr>
        <w:tblW w:type="dxa" w:w="9360"/>
        <w:tblLayout w:type="fixed"/>
        <w:tblLook w:firstColumn="1" w:firstRow="1" w:lastColumn="0" w:lastRow="0" w:noHBand="0" w:noVBand="1" w:val="04A0"/>
        <w:jc w:val="left"/>
        <w:tblInd w:w="120" w:type="dxa"/>
      </w:tblPr>
      <w:tblGrid>
        <w:gridCol w:w="1500"/>
        <w:gridCol w:w="4800"/>
        <w:gridCol w:w="3060"/>
      </w:tblGrid>
      <w:tr>
        <w:tc>
          <w:tcPr>
            <w:tcW w:type="dxa" w:w="150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Step</w:t>
            </w:r>
          </w:p>
        </w:tc>
        <w:tc>
          <w:tcPr>
            <w:tcW w:type="dxa" w:w="480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What happens</w:t>
            </w:r>
          </w:p>
        </w:tc>
        <w:tc>
          <w:tcPr>
            <w:tcW w:type="dxa" w:w="306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Safety rule</w:t>
            </w:r>
          </w:p>
        </w:tc>
      </w:tr>
      <w:tr>
        <w:tc>
          <w:tcPr>
            <w:tcW w:type="dxa" w:w="15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1. Research</w:t>
            </w:r>
          </w:p>
        </w:tc>
        <w:tc>
          <w:tcPr>
            <w:tcW w:type="dxa" w:w="4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Uses a small allow-list of reviewed tools and returns cited facts, gaps, and a stop reason.</w:t>
            </w:r>
          </w:p>
        </w:tc>
        <w:tc>
          <w:tcPr>
            <w:tcW w:type="dxa" w:w="30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No arbitrary browser, shell, SQL, or invented facts.</w:t>
            </w:r>
          </w:p>
        </w:tc>
      </w:tr>
      <w:tr>
        <w:tc>
          <w:tcPr>
            <w:tcW w:type="dxa" w:w="15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2. Strategy</w:t>
            </w:r>
          </w:p>
        </w:tc>
        <w:tc>
          <w:tcPr>
            <w:tcW w:type="dxa" w:w="4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Reuses the existing Strategy provider, deterministic decisions, and validators.</w:t>
            </w:r>
          </w:p>
        </w:tc>
        <w:tc>
          <w:tcPr>
            <w:tcW w:type="dxa" w:w="30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Only bounded retries; hard validation remains authoritative.</w:t>
            </w:r>
          </w:p>
        </w:tc>
      </w:tr>
      <w:tr>
        <w:tc>
          <w:tcPr>
            <w:tcW w:type="dxa" w:w="15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3. Owner gate</w:t>
            </w:r>
          </w:p>
        </w:tc>
        <w:tc>
          <w:tcPr>
            <w:tcW w:type="dxa" w:w="4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Pauses until the owner decides on the exact Strategy version.</w:t>
            </w:r>
          </w:p>
        </w:tc>
        <w:tc>
          <w:tcPr>
            <w:tcW w:type="dxa" w:w="30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Approval is bound to owner, business, version, and checksum.</w:t>
            </w:r>
          </w:p>
        </w:tc>
      </w:tr>
      <w:tr>
        <w:tc>
          <w:tcPr>
            <w:tcW w:type="dxa" w:w="15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4. Content</w:t>
            </w:r>
          </w:p>
        </w:tc>
        <w:tc>
          <w:tcPr>
            <w:tcW w:type="dxa" w:w="4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Creates the narrow Week-1 pack from the approved Strategy.</w:t>
            </w:r>
          </w:p>
        </w:tc>
        <w:tc>
          <w:tcPr>
            <w:tcW w:type="dxa" w:w="30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Content is validated and replanned only within a fixed limit.</w:t>
            </w:r>
          </w:p>
        </w:tc>
      </w:tr>
      <w:tr>
        <w:tc>
          <w:tcPr>
            <w:tcW w:type="dxa" w:w="15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5. Owner gate</w:t>
            </w:r>
          </w:p>
        </w:tc>
        <w:tc>
          <w:tcPr>
            <w:tcW w:type="dxa" w:w="4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Pauses again for the exact Content item version.</w:t>
            </w:r>
          </w:p>
        </w:tc>
        <w:tc>
          <w:tcPr>
            <w:tcW w:type="dxa" w:w="30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No automatic approval and no publication action.</w:t>
            </w:r>
          </w:p>
        </w:tc>
      </w:tr>
    </w:tbl>
    <w:p>
      <w:pPr>
        <w:spacing w:after="0"/>
      </w:pPr>
    </w:p>
    <w:p>
      <w:pPr>
        <w:keepNext/>
        <w:spacing w:before="280" w:after="140"/>
      </w:pPr>
      <w:r>
        <w:rPr>
          <w:rFonts w:ascii="Calibri" w:hAnsi="Calibri"/>
          <w:b/>
          <w:i w:val="0"/>
          <w:color w:val="0B6F71"/>
          <w:sz w:val="26"/>
        </w:rPr>
        <w:t>The important technical pieces</w:t>
      </w:r>
    </w:p>
    <w:p>
      <w:pPr>
        <w:pStyle w:val="ListBullet"/>
        <w:spacing w:after="80" w:line="300" w:lineRule="auto"/>
        <w:ind w:left="540" w:hanging="271"/>
      </w:pPr>
      <w:r>
        <w:rPr>
          <w:rFonts w:ascii="Calibri" w:hAnsi="Calibri"/>
          <w:b w:val="0"/>
          <w:i w:val="0"/>
          <w:color w:val="102A43"/>
          <w:sz w:val="22"/>
        </w:rPr>
        <w:t>LangGraph graph: visible legal steps instead of a free-form supervisor.</w:t>
      </w:r>
    </w:p>
    <w:p>
      <w:pPr>
        <w:pStyle w:val="ListBullet"/>
        <w:spacing w:after="80" w:line="300" w:lineRule="auto"/>
        <w:ind w:left="540" w:hanging="271"/>
      </w:pPr>
      <w:r>
        <w:rPr>
          <w:rFonts w:ascii="Calibri" w:hAnsi="Calibri"/>
          <w:b w:val="0"/>
          <w:i w:val="0"/>
          <w:color w:val="102A43"/>
          <w:sz w:val="22"/>
        </w:rPr>
        <w:t>PostgreSQL checkpoint: a saved game for the current run; it lets the flow resume after a FastAPI restart.</w:t>
      </w:r>
    </w:p>
    <w:p>
      <w:pPr>
        <w:pStyle w:val="ListBullet"/>
        <w:spacing w:after="80" w:line="300" w:lineRule="auto"/>
        <w:ind w:left="540" w:hanging="271"/>
      </w:pPr>
      <w:r>
        <w:rPr>
          <w:rFonts w:ascii="Calibri" w:hAnsi="Calibri"/>
          <w:b w:val="0"/>
          <w:i w:val="0"/>
          <w:color w:val="102A43"/>
          <w:sz w:val="22"/>
        </w:rPr>
        <w:t>Idempotency: repeating the same request returns the same run instead of creating duplicates.</w:t>
      </w:r>
    </w:p>
    <w:p>
      <w:pPr>
        <w:pStyle w:val="ListBullet"/>
        <w:spacing w:after="80" w:line="300" w:lineRule="auto"/>
        <w:ind w:left="540" w:hanging="271"/>
      </w:pPr>
      <w:r>
        <w:rPr>
          <w:rFonts w:ascii="Calibri" w:hAnsi="Calibri"/>
          <w:b w:val="0"/>
          <w:i w:val="0"/>
          <w:color w:val="102A43"/>
          <w:sz w:val="22"/>
        </w:rPr>
        <w:t>Bounded replan: repair only the failing specialist, with a maximum number of attempts.</w:t>
      </w:r>
    </w:p>
    <w:p>
      <w:pPr>
        <w:pStyle w:val="ListBullet"/>
        <w:spacing w:after="80" w:line="300" w:lineRule="auto"/>
        <w:ind w:left="540" w:hanging="271"/>
      </w:pPr>
      <w:r>
        <w:rPr>
          <w:rFonts w:ascii="Calibri" w:hAnsi="Calibri"/>
          <w:b w:val="0"/>
          <w:i w:val="0"/>
          <w:color w:val="102A43"/>
          <w:sz w:val="22"/>
        </w:rPr>
        <w:t>Sanitized trace: records tools, evidence, validation, latency, tokens, and cost without storing prompts or hidden chain-of-thought.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4E5"/>
            <w:tcBorders>
              <w:top w:val="single" w:sz="0" w:space="0" w:color="FFF4E5"/>
              <w:left w:val="single" w:sz="0" w:space="0" w:color="FFF4E5"/>
              <w:bottom w:val="single" w:sz="0" w:space="0" w:color="FFF4E5"/>
              <w:right w:val="single" w:sz="0" w:space="0" w:color="FFF4E5"/>
              <w:insideH w:val="single" w:sz="0" w:space="0" w:color="FFF4E5"/>
              <w:insideV w:val="single" w:sz="0" w:space="0" w:color="FFF4E5"/>
            </w:tcBorders>
          </w:tcPr>
          <w:p>
            <w:pPr>
              <w:spacing w:after="80"/>
            </w:pPr>
            <w:r/>
            <w:r>
              <w:rPr>
                <w:rFonts w:ascii="Calibri" w:hAnsi="Calibri"/>
                <w:b/>
                <w:i w:val="0"/>
                <w:color w:val="A15C00"/>
                <w:sz w:val="24"/>
              </w:rPr>
              <w:t>Current rollout status</w:t>
            </w:r>
          </w:p>
          <w:p>
            <w:pPr>
              <w:spacing w:after="0" w:line="288" w:lineRule="auto"/>
            </w:pPr>
            <w:r>
              <w:rPr>
                <w:rFonts w:ascii="Calibri" w:hAnsi="Calibri"/>
                <w:b w:val="0"/>
                <w:i w:val="0"/>
                <w:color w:val="102A43"/>
                <w:sz w:val="22"/>
              </w:rPr>
              <w:t>The isolated Phase 0 restart test and mock Research → Strategy → Content rehearsal passed. The production worker/controller wiring is intentionally not switched on yet.</w:t>
            </w:r>
          </w:p>
        </w:tc>
      </w:tr>
    </w:tbl>
    <w:p>
      <w:pPr>
        <w:spacing w:after="0"/>
      </w:pPr>
    </w:p>
    <w:p>
      <w:pPr>
        <w:keepNext/>
        <w:spacing w:before="360" w:after="200"/>
      </w:pPr>
      <w:r>
        <w:rPr>
          <w:rFonts w:ascii="Calibri" w:hAnsi="Calibri"/>
          <w:b/>
          <w:i w:val="0"/>
          <w:color w:val="0B6F71"/>
          <w:sz w:val="32"/>
        </w:rPr>
        <w:t>4. RAG: what it is and what changed</w:t>
      </w:r>
    </w:p>
    <w:p>
      <w:pPr>
        <w:spacing w:after="120" w:line="300" w:lineRule="auto"/>
      </w:pPr>
      <w:r>
        <w:rPr>
          <w:rFonts w:ascii="Calibri" w:hAnsi="Calibri"/>
          <w:b w:val="0"/>
          <w:i w:val="0"/>
          <w:color w:val="102A43"/>
          <w:sz w:val="22"/>
        </w:rPr>
        <w:t>RAG means Retrieval-Augmented Generation. Before Strategy writes, FastAPI searches the reviewed MarketMind marketing handbook, then gives the model only the relevant, approved excerpts and citations.</w:t>
      </w:r>
    </w:p>
    <w:tbl>
      <w:tblPr>
        <w:tblW w:type="dxa" w:w="9360"/>
        <w:tblLayout w:type="fixed"/>
        <w:tblLook w:firstColumn="1" w:firstRow="1" w:lastColumn="0" w:lastRow="0" w:noHBand="0" w:noVBand="1" w:val="04A0"/>
        <w:jc w:val="left"/>
        <w:tblInd w:w="120" w:type="dxa"/>
      </w:tblPr>
      <w:tblGrid>
        <w:gridCol w:w="1900"/>
        <w:gridCol w:w="7460"/>
      </w:tblGrid>
      <w:tr>
        <w:tc>
          <w:tcPr>
            <w:tcW w:type="dxa" w:w="1900"/>
            <w:vAlign w:val="center"/>
            <w:tcMar>
              <w:top w:w="90" w:type="dxa"/>
              <w:start w:w="120" w:type="dxa"/>
              <w:bottom w:w="90" w:type="dxa"/>
              <w:end w:w="120" w:type="dxa"/>
            </w:tcMar>
            <w:shd w:fill="E8F2F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Stage</w:t>
            </w:r>
          </w:p>
        </w:tc>
        <w:tc>
          <w:tcPr>
            <w:tcW w:type="dxa" w:w="7460"/>
            <w:vAlign w:val="center"/>
            <w:tcMar>
              <w:top w:w="90" w:type="dxa"/>
              <w:start w:w="120" w:type="dxa"/>
              <w:bottom w:w="90" w:type="dxa"/>
              <w:end w:w="120" w:type="dxa"/>
            </w:tcMar>
            <w:shd w:fill="E8F2F2"/>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Simple explanation</w:t>
            </w:r>
          </w:p>
        </w:tc>
      </w:tr>
      <w:tr>
        <w:tc>
          <w:tcPr>
            <w:tcW w:type="dxa" w:w="19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Knowledge source</w:t>
            </w:r>
          </w:p>
        </w:tc>
        <w:tc>
          <w:tcPr>
            <w:tcW w:type="dxa" w:w="74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Reviewed Markdown playbooks are stored and approved in PostgreSQL.</w:t>
            </w:r>
          </w:p>
        </w:tc>
      </w:tr>
      <w:tr>
        <w:tc>
          <w:tcPr>
            <w:tcW w:type="dxa" w:w="19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Index</w:t>
            </w:r>
          </w:p>
        </w:tc>
        <w:tc>
          <w:tcPr>
            <w:tcW w:type="dxa" w:w="74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Chunks are embedded and copied to Qdrant, a rebuildable vector search index.</w:t>
            </w:r>
          </w:p>
        </w:tc>
      </w:tr>
      <w:tr>
        <w:tc>
          <w:tcPr>
            <w:tcW w:type="dxa" w:w="19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Query</w:t>
            </w:r>
          </w:p>
        </w:tc>
        <w:tc>
          <w:tcPr>
            <w:tcW w:type="dxa" w:w="74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A privacy-minimized summary of the Strategy Brief and profile creates focused subqueries.</w:t>
            </w:r>
          </w:p>
        </w:tc>
      </w:tr>
      <w:tr>
        <w:tc>
          <w:tcPr>
            <w:tcW w:type="dxa" w:w="19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Filters</w:t>
            </w:r>
          </w:p>
        </w:tc>
        <w:tc>
          <w:tcPr>
            <w:tcW w:type="dxa" w:w="74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Only approved, effective, non-expired, compatible knowledge can be retrieved.</w:t>
            </w:r>
          </w:p>
        </w:tc>
      </w:tr>
      <w:tr>
        <w:tc>
          <w:tcPr>
            <w:tcW w:type="dxa" w:w="19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Hydration</w:t>
            </w:r>
          </w:p>
        </w:tc>
        <w:tc>
          <w:tcPr>
            <w:tcW w:type="dxa" w:w="74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PostgreSQL restores canonical text, source references, quality, and knowledge gaps.</w:t>
            </w:r>
          </w:p>
        </w:tc>
      </w:tr>
      <w:tr>
        <w:tc>
          <w:tcPr>
            <w:tcW w:type="dxa" w:w="19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Output</w:t>
            </w:r>
          </w:p>
        </w:tc>
        <w:tc>
          <w:tcPr>
            <w:tcW w:type="dxa" w:w="74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The Strategy receives a persisted RetrievedKnowledgePack with citations.</w:t>
            </w:r>
          </w:p>
        </w:tc>
      </w:tr>
    </w:tbl>
    <w:p>
      <w:pPr>
        <w:spacing w:after="0"/>
      </w:pPr>
    </w:p>
    <w:p>
      <w:pPr>
        <w:keepNext/>
        <w:spacing w:before="280" w:after="140"/>
      </w:pPr>
      <w:r>
        <w:rPr>
          <w:rFonts w:ascii="Calibri" w:hAnsi="Calibri"/>
          <w:b/>
          <w:i w:val="0"/>
          <w:color w:val="0B6F71"/>
          <w:sz w:val="26"/>
        </w:rPr>
        <w:t>The RAG edit: MMR</w:t>
      </w:r>
    </w:p>
    <w:p>
      <w:pPr>
        <w:spacing w:after="120" w:line="300" w:lineRule="auto"/>
      </w:pPr>
      <w:r>
        <w:rPr>
          <w:rFonts w:ascii="Calibri" w:hAnsi="Calibri"/>
          <w:b w:val="0"/>
          <w:i w:val="0"/>
          <w:color w:val="102A43"/>
          <w:sz w:val="22"/>
        </w:rPr>
        <w:t>MMR (Maximal Marginal Relevance) is a selection improvement. Dense semantic search finds relevant candidates first. MMR keeps the strongest result, then prefers complementary results instead of returning five near-duplicates.</w:t>
      </w:r>
    </w:p>
    <w:p>
      <w:pPr>
        <w:pStyle w:val="ListBullet"/>
        <w:spacing w:after="80" w:line="300" w:lineRule="auto"/>
        <w:ind w:left="540" w:hanging="271"/>
      </w:pPr>
      <w:r>
        <w:rPr>
          <w:rFonts w:ascii="Calibri" w:hAnsi="Calibri"/>
          <w:b w:val="0"/>
          <w:i w:val="0"/>
          <w:color w:val="102A43"/>
          <w:sz w:val="22"/>
        </w:rPr>
        <w:t>It does not bypass approval, expiry, market, locale, industry, or paid-media filters.</w:t>
      </w:r>
    </w:p>
    <w:p>
      <w:pPr>
        <w:pStyle w:val="ListBullet"/>
        <w:spacing w:after="80" w:line="300" w:lineRule="auto"/>
        <w:ind w:left="540" w:hanging="271"/>
      </w:pPr>
      <w:r>
        <w:rPr>
          <w:rFonts w:ascii="Calibri" w:hAnsi="Calibri"/>
          <w:b w:val="0"/>
          <w:i w:val="0"/>
          <w:color w:val="102A43"/>
          <w:sz w:val="22"/>
        </w:rPr>
        <w:t>It does not embed or store the full Business Profile in the shared Qdrant collection.</w:t>
      </w:r>
    </w:p>
    <w:p>
      <w:pPr>
        <w:pStyle w:val="ListBullet"/>
        <w:spacing w:after="80" w:line="300" w:lineRule="auto"/>
        <w:ind w:left="540" w:hanging="271"/>
      </w:pPr>
      <w:r>
        <w:rPr>
          <w:rFonts w:ascii="Calibri" w:hAnsi="Calibri"/>
          <w:b w:val="0"/>
          <w:i w:val="0"/>
          <w:color w:val="102A43"/>
          <w:sz w:val="22"/>
        </w:rPr>
        <w:t>It keeps the existing semantic mode as a rollback option.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1FF"/>
            <w:tcBorders>
              <w:top w:val="single" w:sz="0" w:space="0" w:color="EAF1FF"/>
              <w:left w:val="single" w:sz="0" w:space="0" w:color="EAF1FF"/>
              <w:bottom w:val="single" w:sz="0" w:space="0" w:color="EAF1FF"/>
              <w:right w:val="single" w:sz="0" w:space="0" w:color="EAF1FF"/>
              <w:insideH w:val="single" w:sz="0" w:space="0" w:color="EAF1FF"/>
              <w:insideV w:val="single" w:sz="0" w:space="0" w:color="EAF1FF"/>
            </w:tcBorders>
          </w:tcPr>
          <w:p>
            <w:pPr>
              <w:spacing w:after="80"/>
            </w:pPr>
            <w:r/>
            <w:r>
              <w:rPr>
                <w:rFonts w:ascii="Calibri" w:hAnsi="Calibri"/>
                <w:b/>
                <w:i w:val="0"/>
                <w:color w:val="246BFD"/>
                <w:sz w:val="24"/>
              </w:rPr>
              <w:t>RAG evidence from the latest closeout branch</w:t>
            </w:r>
          </w:p>
          <w:p>
            <w:pPr>
              <w:spacing w:after="0" w:line="288" w:lineRule="auto"/>
            </w:pPr>
            <w:r>
              <w:rPr>
                <w:rFonts w:ascii="Calibri" w:hAnsi="Calibri"/>
                <w:b w:val="0"/>
                <w:i w:val="0"/>
                <w:color w:val="102A43"/>
                <w:sz w:val="22"/>
              </w:rPr>
              <w:t>32 approved entries and 64 chunks were ingested. Arabic and English live retrievals used Gemini gemini-embedding-2 (768 dimensions) with semantic_mmr. Any missing category is shown as a visible KnowledgeGap rather than silently filled from model memory.</w:t>
            </w:r>
          </w:p>
        </w:tc>
      </w:tr>
    </w:tbl>
    <w:p>
      <w:pPr>
        <w:spacing w:after="0"/>
      </w:pPr>
    </w:p>
    <w:p>
      <w:pPr>
        <w:keepNext/>
        <w:spacing w:before="360" w:after="200"/>
      </w:pPr>
      <w:r>
        <w:rPr>
          <w:rFonts w:ascii="Calibri" w:hAnsi="Calibri"/>
          <w:b/>
          <w:i w:val="0"/>
          <w:color w:val="0B6F71"/>
          <w:sz w:val="32"/>
        </w:rPr>
        <w:t>5. Before vs after</w:t>
      </w:r>
    </w:p>
    <w:tbl>
      <w:tblPr>
        <w:tblW w:type="dxa" w:w="9360"/>
        <w:tblLayout w:type="fixed"/>
        <w:tblLook w:firstColumn="1" w:firstRow="1" w:lastColumn="0" w:lastRow="0" w:noHBand="0" w:noVBand="1" w:val="04A0"/>
        <w:jc w:val="left"/>
        <w:tblInd w:w="120" w:type="dxa"/>
      </w:tblPr>
      <w:tblGrid>
        <w:gridCol w:w="1800"/>
        <w:gridCol w:w="3600"/>
        <w:gridCol w:w="3960"/>
      </w:tblGrid>
      <w:tr>
        <w:tc>
          <w:tcPr>
            <w:tcW w:type="dxa" w:w="180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Area</w:t>
            </w:r>
          </w:p>
        </w:tc>
        <w:tc>
          <w:tcPr>
            <w:tcW w:type="dxa" w:w="360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Before</w:t>
            </w:r>
          </w:p>
        </w:tc>
        <w:tc>
          <w:tcPr>
            <w:tcW w:type="dxa" w:w="3960"/>
            <w:vAlign w:val="center"/>
            <w:tcMar>
              <w:top w:w="90" w:type="dxa"/>
              <w:start w:w="120" w:type="dxa"/>
              <w:bottom w:w="90" w:type="dxa"/>
              <w:end w:w="120" w:type="dxa"/>
            </w:tcMar>
            <w:shd w:fill="EAF1FF"/>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spacing w:after="0"/>
            </w:pPr>
            <w:r/>
            <w:r>
              <w:rPr>
                <w:rFonts w:ascii="Calibri" w:hAnsi="Calibri"/>
                <w:b/>
                <w:i w:val="0"/>
                <w:color w:val="102A43"/>
                <w:sz w:val="20"/>
              </w:rPr>
              <w:t>With the new layer enabled</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Coordination</w:t>
            </w:r>
          </w:p>
        </w:tc>
        <w:tc>
          <w:tcPr>
            <w:tcW w:type="dxa" w:w="36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Separate existing processors and services.</w:t>
            </w:r>
          </w:p>
        </w:tc>
        <w:tc>
          <w:tcPr>
            <w:tcW w:type="dxa" w:w="39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One run ID follows a legal Research → Strategy → Content graph.</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Restart</w:t>
            </w:r>
          </w:p>
        </w:tc>
        <w:tc>
          <w:tcPr>
            <w:tcW w:type="dxa" w:w="36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Recovery is handled by each existing service.</w:t>
            </w:r>
          </w:p>
        </w:tc>
        <w:tc>
          <w:tcPr>
            <w:tcW w:type="dxa" w:w="39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The graph resumes from a PostgreSQL checkpoint.</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Tool use</w:t>
            </w:r>
          </w:p>
        </w:tc>
        <w:tc>
          <w:tcPr>
            <w:tcW w:type="dxa" w:w="36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Existing services are called directly.</w:t>
            </w:r>
          </w:p>
        </w:tc>
        <w:tc>
          <w:tcPr>
            <w:tcW w:type="dxa" w:w="39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The agent chooses only typed, time-limited, allow-listed tools.</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Bad output</w:t>
            </w:r>
          </w:p>
        </w:tc>
        <w:tc>
          <w:tcPr>
            <w:tcW w:type="dxa" w:w="36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A broader retry may be needed.</w:t>
            </w:r>
          </w:p>
        </w:tc>
        <w:tc>
          <w:tcPr>
            <w:tcW w:type="dxa" w:w="39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Only the failing specialist is replanned, up to a cap.</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Knowledge</w:t>
            </w:r>
          </w:p>
        </w:tc>
        <w:tc>
          <w:tcPr>
            <w:tcW w:type="dxa" w:w="36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Strategy uses the existing retrieval pack.</w:t>
            </w:r>
          </w:p>
        </w:tc>
        <w:tc>
          <w:tcPr>
            <w:tcW w:type="dxa" w:w="39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The latest RAG selector reduces repetitive retrieved evidence with MMR.</w:t>
            </w:r>
          </w:p>
        </w:tc>
      </w:tr>
      <w:tr>
        <w:tc>
          <w:tcPr>
            <w:tcW w:type="dxa" w:w="18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Normal users</w:t>
            </w:r>
          </w:p>
        </w:tc>
        <w:tc>
          <w:tcPr>
            <w:tcW w:type="dxa" w:w="360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Current behavior.</w:t>
            </w:r>
          </w:p>
        </w:tc>
        <w:tc>
          <w:tcPr>
            <w:tcW w:type="dxa" w:w="3960"/>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vAlign w:val="center"/>
            <w:tcMar>
              <w:top w:w="90" w:type="dxa"/>
              <w:start w:w="120" w:type="dxa"/>
              <w:bottom w:w="90" w:type="dxa"/>
              <w:end w:w="120" w:type="dxa"/>
            </w:tcMar>
          </w:tcPr>
          <w:p>
            <w:pPr>
              <w:spacing w:after="0" w:line="276" w:lineRule="auto"/>
            </w:pPr>
            <w:r/>
            <w:r>
              <w:rPr>
                <w:rFonts w:ascii="Calibri" w:hAnsi="Calibri"/>
                <w:b w:val="0"/>
                <w:i w:val="0"/>
                <w:color w:val="102A43"/>
                <w:sz w:val="19"/>
              </w:rPr>
              <w:t>Still current behavior until the feature flag is deliberately enabled.</w:t>
            </w:r>
          </w:p>
        </w:tc>
      </w:tr>
    </w:tbl>
    <w:p>
      <w:pPr>
        <w:spacing w:after="0"/>
      </w:pPr>
    </w:p>
    <w:p>
      <w:pPr>
        <w:keepNext/>
        <w:spacing w:before="360" w:after="200"/>
      </w:pPr>
      <w:r>
        <w:rPr>
          <w:rFonts w:ascii="Calibri" w:hAnsi="Calibri"/>
          <w:b/>
          <w:i w:val="0"/>
          <w:color w:val="0B6F71"/>
          <w:sz w:val="32"/>
        </w:rPr>
        <w:t>6. What it does not claim</w:t>
      </w:r>
    </w:p>
    <w:p>
      <w:pPr>
        <w:pStyle w:val="ListBullet"/>
        <w:spacing w:after="80" w:line="300" w:lineRule="auto"/>
        <w:ind w:left="540" w:hanging="271"/>
      </w:pPr>
      <w:r>
        <w:rPr>
          <w:rFonts w:ascii="Calibri" w:hAnsi="Calibri"/>
          <w:b w:val="0"/>
          <w:i w:val="0"/>
          <w:color w:val="102A43"/>
          <w:sz w:val="22"/>
        </w:rPr>
        <w:t>It is not long-term conversational memory. The checkpoint remembers the current run only.</w:t>
      </w:r>
    </w:p>
    <w:p>
      <w:pPr>
        <w:pStyle w:val="ListBullet"/>
        <w:spacing w:after="80" w:line="300" w:lineRule="auto"/>
        <w:ind w:left="540" w:hanging="271"/>
      </w:pPr>
      <w:r>
        <w:rPr>
          <w:rFonts w:ascii="Calibri" w:hAnsi="Calibri"/>
          <w:b w:val="0"/>
          <w:i w:val="0"/>
          <w:color w:val="102A43"/>
          <w:sz w:val="22"/>
        </w:rPr>
        <w:t>It is not hidden chain-of-thought. The trace stores short, reviewable summaries only.</w:t>
      </w:r>
    </w:p>
    <w:p>
      <w:pPr>
        <w:pStyle w:val="ListBullet"/>
        <w:spacing w:after="80" w:line="300" w:lineRule="auto"/>
        <w:ind w:left="540" w:hanging="271"/>
      </w:pPr>
      <w:r>
        <w:rPr>
          <w:rFonts w:ascii="Calibri" w:hAnsi="Calibri"/>
          <w:b w:val="0"/>
          <w:i w:val="0"/>
          <w:color w:val="102A43"/>
          <w:sz w:val="22"/>
        </w:rPr>
        <w:t>It is not autonomous publishing, paid execution, spending, or owner approval.</w:t>
      </w:r>
    </w:p>
    <w:p>
      <w:pPr>
        <w:pStyle w:val="ListBullet"/>
        <w:spacing w:after="80" w:line="300" w:lineRule="auto"/>
        <w:ind w:left="540" w:hanging="271"/>
      </w:pPr>
      <w:r>
        <w:rPr>
          <w:rFonts w:ascii="Calibri" w:hAnsi="Calibri"/>
          <w:b w:val="0"/>
          <w:i w:val="0"/>
          <w:color w:val="102A43"/>
          <w:sz w:val="22"/>
        </w:rPr>
        <w:t>The agentic live production route and live current-path shadow are still rollout gates, not claimed as complete.</w:t>
      </w:r>
    </w:p>
    <w:p>
      <w:pPr>
        <w:keepNext/>
        <w:spacing w:before="360" w:after="200"/>
      </w:pPr>
      <w:r>
        <w:rPr>
          <w:rFonts w:ascii="Calibri" w:hAnsi="Calibri"/>
          <w:b/>
          <w:i w:val="0"/>
          <w:color w:val="0B6F71"/>
          <w:sz w:val="32"/>
        </w:rPr>
        <w:t>7. What to add to .env for testing</w:t>
      </w:r>
    </w:p>
    <w:p>
      <w:pPr>
        <w:spacing w:after="120" w:line="300" w:lineRule="auto"/>
      </w:pPr>
      <w:r>
        <w:rPr>
          <w:rFonts w:ascii="Calibri" w:hAnsi="Calibri"/>
          <w:b w:val="0"/>
          <w:i w:val="0"/>
          <w:color w:val="102A43"/>
          <w:sz w:val="22"/>
        </w:rPr>
        <w:t>Do not copy real secrets into Git. Keep .env and .env.test local. Use the first block for safe local/mock checks; use the second block only for a reviewed demo or live RAG replay. The semantic_mmr setting requires the issue #163 RAG closeout branch; on an older branch, keep RAG_SELECTION_MODE=semantic until that change is merged.</w:t>
      </w:r>
    </w:p>
    <w:p>
      <w:pPr>
        <w:keepNext/>
        <w:spacing w:before="280" w:after="140"/>
      </w:pPr>
      <w:r>
        <w:rPr>
          <w:rFonts w:ascii="Calibri" w:hAnsi="Calibri"/>
          <w:b/>
          <w:i w:val="0"/>
          <w:color w:val="0B6F71"/>
          <w:sz w:val="26"/>
        </w:rPr>
        <w:t>Safe local/mock test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line="252" w:lineRule="auto"/>
            </w:pPr>
            <w:r/>
            <w:r>
              <w:rPr>
                <w:rFonts w:ascii="Courier New" w:hAnsi="Courier New"/>
                <w:b w:val="0"/>
                <w:i w:val="0"/>
                <w:color w:val="102A43"/>
                <w:sz w:val="17"/>
              </w:rPr>
              <w:t># apps/api/.env.test — disposable local services</w:t>
            </w:r>
          </w:p>
          <w:p>
            <w:pPr>
              <w:spacing w:after="0" w:line="252" w:lineRule="auto"/>
            </w:pPr>
            <w:r>
              <w:rPr>
                <w:rFonts w:ascii="Courier New" w:hAnsi="Courier New"/>
                <w:b w:val="0"/>
                <w:i w:val="0"/>
                <w:color w:val="102A43"/>
                <w:sz w:val="17"/>
              </w:rPr>
              <w:t>NODE_ENV=test</w:t>
            </w:r>
          </w:p>
          <w:p>
            <w:pPr>
              <w:spacing w:after="0" w:line="252" w:lineRule="auto"/>
            </w:pPr>
            <w:r>
              <w:rPr>
                <w:rFonts w:ascii="Courier New" w:hAnsi="Courier New"/>
                <w:b w:val="0"/>
                <w:i w:val="0"/>
                <w:color w:val="102A43"/>
                <w:sz w:val="17"/>
              </w:rPr>
              <w:t>PORT=3101</w:t>
            </w:r>
          </w:p>
          <w:p>
            <w:pPr>
              <w:spacing w:after="0" w:line="252" w:lineRule="auto"/>
            </w:pPr>
            <w:r>
              <w:rPr>
                <w:rFonts w:ascii="Courier New" w:hAnsi="Courier New"/>
                <w:b w:val="0"/>
                <w:i w:val="0"/>
                <w:color w:val="102A43"/>
                <w:sz w:val="17"/>
              </w:rPr>
              <w:t>DATABASE_URL=postgresql://marketmind:marketmind_dev@localhost:5433/marketmind_e2e_test?schema=public</w:t>
            </w:r>
          </w:p>
          <w:p>
            <w:pPr>
              <w:spacing w:after="0" w:line="252" w:lineRule="auto"/>
            </w:pPr>
            <w:r>
              <w:rPr>
                <w:rFonts w:ascii="Courier New" w:hAnsi="Courier New"/>
                <w:b w:val="0"/>
                <w:i w:val="0"/>
                <w:color w:val="102A43"/>
                <w:sz w:val="17"/>
              </w:rPr>
              <w:t>REDIS_URL=redis://localhost:6379/15</w:t>
            </w:r>
          </w:p>
          <w:p>
            <w:pPr>
              <w:spacing w:after="0" w:line="252" w:lineRule="auto"/>
            </w:pPr>
            <w:r>
              <w:rPr>
                <w:rFonts w:ascii="Courier New" w:hAnsi="Courier New"/>
                <w:b w:val="0"/>
                <w:i w:val="0"/>
                <w:color w:val="102A43"/>
                <w:sz w:val="17"/>
              </w:rPr>
              <w:t>MAIL_PROVIDER=mock</w:t>
            </w:r>
          </w:p>
          <w:p>
            <w:pPr>
              <w:spacing w:after="0" w:line="252" w:lineRule="auto"/>
            </w:pPr>
            <w:r>
              <w:rPr>
                <w:rFonts w:ascii="Courier New" w:hAnsi="Courier New"/>
                <w:b w:val="0"/>
                <w:i w:val="0"/>
                <w:color w:val="102A43"/>
                <w:sz w:val="17"/>
              </w:rPr>
              <w:t>AI_ORCHESTRATION_ENABLED=false</w:t>
            </w:r>
          </w:p>
          <w:p>
            <w:pPr>
              <w:spacing w:after="0" w:line="252" w:lineRule="auto"/>
            </w:pPr>
            <w:r>
              <w:rPr>
                <w:rFonts w:ascii="Courier New" w:hAnsi="Courier New"/>
                <w:b w:val="0"/>
                <w:i w:val="0"/>
                <w:color w:val="102A43"/>
                <w:sz w:val="17"/>
              </w:rPr>
            </w:r>
          </w:p>
          <w:p>
            <w:pPr>
              <w:spacing w:after="0" w:line="252" w:lineRule="auto"/>
            </w:pPr>
            <w:r>
              <w:rPr>
                <w:rFonts w:ascii="Courier New" w:hAnsi="Courier New"/>
                <w:b w:val="0"/>
                <w:i w:val="0"/>
                <w:color w:val="102A43"/>
                <w:sz w:val="17"/>
              </w:rPr>
              <w:t># services/ai/.env — no paid provider calls</w:t>
            </w:r>
          </w:p>
          <w:p>
            <w:pPr>
              <w:spacing w:after="0" w:line="252" w:lineRule="auto"/>
            </w:pPr>
            <w:r>
              <w:rPr>
                <w:rFonts w:ascii="Courier New" w:hAnsi="Courier New"/>
                <w:b w:val="0"/>
                <w:i w:val="0"/>
                <w:color w:val="102A43"/>
                <w:sz w:val="17"/>
              </w:rPr>
              <w:t>AI_PROVIDER_MODE=mock</w:t>
            </w:r>
          </w:p>
          <w:p>
            <w:pPr>
              <w:spacing w:after="0" w:line="252" w:lineRule="auto"/>
            </w:pPr>
            <w:r>
              <w:rPr>
                <w:rFonts w:ascii="Courier New" w:hAnsi="Courier New"/>
                <w:b w:val="0"/>
                <w:i w:val="0"/>
                <w:color w:val="102A43"/>
                <w:sz w:val="17"/>
              </w:rPr>
              <w:t>EMBEDDING_PROVIDER_MODE=fake</w:t>
            </w:r>
          </w:p>
          <w:p>
            <w:pPr>
              <w:spacing w:after="0" w:line="252" w:lineRule="auto"/>
            </w:pPr>
            <w:r>
              <w:rPr>
                <w:rFonts w:ascii="Courier New" w:hAnsi="Courier New"/>
                <w:b w:val="0"/>
                <w:i w:val="0"/>
                <w:color w:val="102A43"/>
                <w:sz w:val="17"/>
              </w:rPr>
              <w:t>RAG_SELECTION_MODE=semantic_mmr</w:t>
            </w:r>
          </w:p>
          <w:p>
            <w:pPr>
              <w:spacing w:after="0" w:line="252" w:lineRule="auto"/>
            </w:pPr>
            <w:r>
              <w:rPr>
                <w:rFonts w:ascii="Courier New" w:hAnsi="Courier New"/>
                <w:b w:val="0"/>
                <w:i w:val="0"/>
                <w:color w:val="102A43"/>
                <w:sz w:val="17"/>
              </w:rPr>
              <w:t>RAG_MMR_LAMBDA=0.5</w:t>
            </w:r>
          </w:p>
          <w:p>
            <w:pPr>
              <w:spacing w:after="0" w:line="252" w:lineRule="auto"/>
            </w:pPr>
            <w:r>
              <w:rPr>
                <w:rFonts w:ascii="Courier New" w:hAnsi="Courier New"/>
                <w:b w:val="0"/>
                <w:i w:val="0"/>
                <w:color w:val="102A43"/>
                <w:sz w:val="17"/>
              </w:rPr>
              <w:t>QDRANT_HOST=localhost</w:t>
            </w:r>
          </w:p>
          <w:p>
            <w:pPr>
              <w:spacing w:after="0" w:line="252" w:lineRule="auto"/>
            </w:pPr>
            <w:r>
              <w:rPr>
                <w:rFonts w:ascii="Courier New" w:hAnsi="Courier New"/>
                <w:b w:val="0"/>
                <w:i w:val="0"/>
                <w:color w:val="102A43"/>
                <w:sz w:val="17"/>
              </w:rPr>
              <w:t>QDRANT_PORT=6333</w:t>
            </w:r>
          </w:p>
          <w:p>
            <w:pPr>
              <w:spacing w:after="0" w:line="252" w:lineRule="auto"/>
            </w:pPr>
            <w:r>
              <w:rPr>
                <w:rFonts w:ascii="Courier New" w:hAnsi="Courier New"/>
                <w:b w:val="0"/>
                <w:i w:val="0"/>
                <w:color w:val="102A43"/>
                <w:sz w:val="17"/>
              </w:rPr>
              <w:t>QDRANT_COLLECTION_NAME=marketing_knowledge_v1</w:t>
            </w:r>
          </w:p>
          <w:p>
            <w:pPr>
              <w:spacing w:after="0" w:line="252" w:lineRule="auto"/>
            </w:pPr>
            <w:r>
              <w:rPr>
                <w:rFonts w:ascii="Courier New" w:hAnsi="Courier New"/>
                <w:b w:val="0"/>
                <w:i w:val="0"/>
                <w:color w:val="102A43"/>
                <w:sz w:val="17"/>
              </w:rPr>
              <w:t>DATABASE_URL=postgresql://marketmind:marketmind_dev@localhost:5433/marketmind_e2e_test?schema=public</w:t>
            </w:r>
          </w:p>
          <w:p>
            <w:pPr>
              <w:spacing w:after="0" w:line="252" w:lineRule="auto"/>
            </w:pPr>
            <w:r>
              <w:rPr>
                <w:rFonts w:ascii="Courier New" w:hAnsi="Courier New"/>
                <w:b w:val="0"/>
                <w:i w:val="0"/>
                <w:color w:val="102A43"/>
                <w:sz w:val="17"/>
              </w:rPr>
              <w:t>AI_ORCHESTRATION_TRACE_ENABLED=false</w:t>
            </w:r>
          </w:p>
          <w:p>
            <w:pPr>
              <w:spacing w:after="0" w:line="252" w:lineRule="auto"/>
            </w:pPr>
            <w:r>
              <w:rPr>
                <w:rFonts w:ascii="Courier New" w:hAnsi="Courier New"/>
                <w:b w:val="0"/>
                <w:i w:val="0"/>
                <w:color w:val="102A43"/>
                <w:sz w:val="17"/>
              </w:rPr>
              <w:t>AI_ORCHESTRATION_TRACE_EXPORTER=none</w:t>
            </w:r>
          </w:p>
        </w:tc>
      </w:tr>
    </w:tbl>
    <w:p>
      <w:pPr>
        <w:spacing w:after="0"/>
      </w:pPr>
    </w:p>
    <w:p>
      <w:pPr>
        <w:keepNext/>
        <w:spacing w:before="280" w:after="140"/>
      </w:pPr>
      <w:r>
        <w:rPr>
          <w:rFonts w:ascii="Calibri" w:hAnsi="Calibri"/>
          <w:b/>
          <w:i w:val="0"/>
          <w:color w:val="0B6F71"/>
          <w:sz w:val="26"/>
        </w:rPr>
        <w:t>Optional live RAG replay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line="252" w:lineRule="auto"/>
            </w:pPr>
            <w:r/>
            <w:r>
              <w:rPr>
                <w:rFonts w:ascii="Courier New" w:hAnsi="Courier New"/>
                <w:b w:val="0"/>
                <w:i w:val="0"/>
                <w:color w:val="102A43"/>
                <w:sz w:val="17"/>
              </w:rPr>
              <w:t># Only when a real Gemini key and the prepared live Qdrant collection exist</w:t>
            </w:r>
          </w:p>
          <w:p>
            <w:pPr>
              <w:spacing w:after="0" w:line="252" w:lineRule="auto"/>
            </w:pPr>
            <w:r>
              <w:rPr>
                <w:rFonts w:ascii="Courier New" w:hAnsi="Courier New"/>
                <w:b w:val="0"/>
                <w:i w:val="0"/>
                <w:color w:val="102A43"/>
                <w:sz w:val="17"/>
              </w:rPr>
              <w:t>AI_PROVIDER_MODE=gemini_dev</w:t>
            </w:r>
          </w:p>
          <w:p>
            <w:pPr>
              <w:spacing w:after="0" w:line="252" w:lineRule="auto"/>
            </w:pPr>
            <w:r>
              <w:rPr>
                <w:rFonts w:ascii="Courier New" w:hAnsi="Courier New"/>
                <w:b w:val="0"/>
                <w:i w:val="0"/>
                <w:color w:val="102A43"/>
                <w:sz w:val="17"/>
              </w:rPr>
              <w:t>GEMINI_API_KEY=&lt;do-not-commit&gt;</w:t>
            </w:r>
          </w:p>
          <w:p>
            <w:pPr>
              <w:spacing w:after="0" w:line="252" w:lineRule="auto"/>
            </w:pPr>
            <w:r>
              <w:rPr>
                <w:rFonts w:ascii="Courier New" w:hAnsi="Courier New"/>
                <w:b w:val="0"/>
                <w:i w:val="0"/>
                <w:color w:val="102A43"/>
                <w:sz w:val="17"/>
              </w:rPr>
              <w:t>GEMINI_MODEL=&lt;reviewed-generation-model&gt;</w:t>
            </w:r>
          </w:p>
          <w:p>
            <w:pPr>
              <w:spacing w:after="0" w:line="252" w:lineRule="auto"/>
            </w:pPr>
            <w:r>
              <w:rPr>
                <w:rFonts w:ascii="Courier New" w:hAnsi="Courier New"/>
                <w:b w:val="0"/>
                <w:i w:val="0"/>
                <w:color w:val="102A43"/>
                <w:sz w:val="17"/>
              </w:rPr>
              <w:t>EMBEDDING_PROVIDER_MODE=gemini</w:t>
            </w:r>
          </w:p>
          <w:p>
            <w:pPr>
              <w:spacing w:after="0" w:line="252" w:lineRule="auto"/>
            </w:pPr>
            <w:r>
              <w:rPr>
                <w:rFonts w:ascii="Courier New" w:hAnsi="Courier New"/>
                <w:b w:val="0"/>
                <w:i w:val="0"/>
                <w:color w:val="102A43"/>
                <w:sz w:val="17"/>
              </w:rPr>
              <w:t>EMBEDDING_MODEL=gemini-embedding-2</w:t>
            </w:r>
          </w:p>
          <w:p>
            <w:pPr>
              <w:spacing w:after="0" w:line="252" w:lineRule="auto"/>
            </w:pPr>
            <w:r>
              <w:rPr>
                <w:rFonts w:ascii="Courier New" w:hAnsi="Courier New"/>
                <w:b w:val="0"/>
                <w:i w:val="0"/>
                <w:color w:val="102A43"/>
                <w:sz w:val="17"/>
              </w:rPr>
              <w:t>EMBEDDING_DIMENSIONS=768</w:t>
            </w:r>
          </w:p>
          <w:p>
            <w:pPr>
              <w:spacing w:after="0" w:line="252" w:lineRule="auto"/>
            </w:pPr>
            <w:r>
              <w:rPr>
                <w:rFonts w:ascii="Courier New" w:hAnsi="Courier New"/>
                <w:b w:val="0"/>
                <w:i w:val="0"/>
                <w:color w:val="102A43"/>
                <w:sz w:val="17"/>
              </w:rPr>
              <w:t>RAG_SELECTION_MODE=semantic_mmr</w:t>
            </w:r>
          </w:p>
          <w:p>
            <w:pPr>
              <w:spacing w:after="0" w:line="252" w:lineRule="auto"/>
            </w:pPr>
            <w:r>
              <w:rPr>
                <w:rFonts w:ascii="Courier New" w:hAnsi="Courier New"/>
                <w:b w:val="0"/>
                <w:i w:val="0"/>
                <w:color w:val="102A43"/>
                <w:sz w:val="17"/>
              </w:rPr>
              <w:t>RAG_MMR_LAMBDA=0.5</w:t>
            </w:r>
          </w:p>
          <w:p>
            <w:pPr>
              <w:spacing w:after="0" w:line="252" w:lineRule="auto"/>
            </w:pPr>
            <w:r>
              <w:rPr>
                <w:rFonts w:ascii="Courier New" w:hAnsi="Courier New"/>
                <w:b w:val="0"/>
                <w:i w:val="0"/>
                <w:color w:val="102A43"/>
                <w:sz w:val="17"/>
              </w:rPr>
              <w:t>QDRANT_COLLECTION_NAME=marketing_knowledge_gemini_2_v1</w:t>
            </w:r>
          </w:p>
        </w:tc>
      </w:tr>
    </w:tbl>
    <w:p>
      <w:pPr>
        <w:spacing w:after="0"/>
      </w:pPr>
    </w:p>
    <w:p>
      <w:pPr>
        <w:spacing w:after="60" w:line="300" w:lineRule="auto"/>
      </w:pPr>
      <w:r>
        <w:rPr>
          <w:rFonts w:ascii="Calibri" w:hAnsi="Calibri"/>
          <w:b/>
          <w:i w:val="0"/>
          <w:color w:val="102A43"/>
          <w:sz w:val="22"/>
        </w:rPr>
        <w:t xml:space="preserve">To run the isolated checks: </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2F4F7"/>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line="252" w:lineRule="auto"/>
            </w:pPr>
            <w:r/>
            <w:r>
              <w:rPr>
                <w:rFonts w:ascii="Courier New" w:hAnsi="Courier New"/>
                <w:b w:val="0"/>
                <w:i w:val="0"/>
                <w:color w:val="102A43"/>
                <w:sz w:val="17"/>
              </w:rPr>
              <w:t>npm run check</w:t>
            </w:r>
          </w:p>
          <w:p>
            <w:pPr>
              <w:spacing w:after="0" w:line="252" w:lineRule="auto"/>
            </w:pPr>
            <w:r>
              <w:rPr>
                <w:rFonts w:ascii="Courier New" w:hAnsi="Courier New"/>
                <w:b w:val="0"/>
                <w:i w:val="0"/>
                <w:color w:val="102A43"/>
                <w:sz w:val="17"/>
              </w:rPr>
              <w:t>npm run demo:rehearse</w:t>
            </w:r>
          </w:p>
          <w:p>
            <w:pPr>
              <w:spacing w:after="0" w:line="252" w:lineRule="auto"/>
            </w:pPr>
            <w:r>
              <w:rPr>
                <w:rFonts w:ascii="Courier New" w:hAnsi="Courier New"/>
                <w:b w:val="0"/>
                <w:i w:val="0"/>
                <w:color w:val="102A43"/>
                <w:sz w:val="17"/>
              </w:rPr>
              <w:t>cd services/ai</w:t>
            </w:r>
          </w:p>
          <w:p>
            <w:pPr>
              <w:spacing w:after="0" w:line="252" w:lineRule="auto"/>
            </w:pPr>
            <w:r>
              <w:rPr>
                <w:rFonts w:ascii="Courier New" w:hAnsi="Courier New"/>
                <w:b w:val="0"/>
                <w:i w:val="0"/>
                <w:color w:val="102A43"/>
                <w:sz w:val="17"/>
              </w:rPr>
              <w:t>uv run pytest tests/orchestration -q</w:t>
            </w:r>
          </w:p>
          <w:p>
            <w:pPr>
              <w:spacing w:after="0" w:line="252" w:lineRule="auto"/>
            </w:pPr>
            <w:r>
              <w:rPr>
                <w:rFonts w:ascii="Courier New" w:hAnsi="Courier New"/>
                <w:b w:val="0"/>
                <w:i w:val="0"/>
                <w:color w:val="102A43"/>
                <w:sz w:val="17"/>
              </w:rPr>
              <w:t>uv run pytest tests/test_rag_*.py -q</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FF4E5"/>
            <w:tcBorders>
              <w:top w:val="single" w:sz="0" w:space="0" w:color="FFF4E5"/>
              <w:left w:val="single" w:sz="0" w:space="0" w:color="FFF4E5"/>
              <w:bottom w:val="single" w:sz="0" w:space="0" w:color="FFF4E5"/>
              <w:right w:val="single" w:sz="0" w:space="0" w:color="FFF4E5"/>
              <w:insideH w:val="single" w:sz="0" w:space="0" w:color="FFF4E5"/>
              <w:insideV w:val="single" w:sz="0" w:space="0" w:color="FFF4E5"/>
            </w:tcBorders>
          </w:tcPr>
          <w:p>
            <w:pPr>
              <w:spacing w:after="80"/>
            </w:pPr>
            <w:r/>
            <w:r>
              <w:rPr>
                <w:rFonts w:ascii="Calibri" w:hAnsi="Calibri"/>
                <w:b/>
                <w:i w:val="0"/>
                <w:color w:val="A15C00"/>
                <w:sz w:val="24"/>
              </w:rPr>
              <w:t>Important flag note</w:t>
            </w:r>
          </w:p>
          <w:p>
            <w:pPr>
              <w:spacing w:after="0" w:line="288" w:lineRule="auto"/>
            </w:pPr>
            <w:r>
              <w:rPr>
                <w:rFonts w:ascii="Calibri" w:hAnsi="Calibri"/>
                <w:b w:val="0"/>
                <w:i w:val="0"/>
                <w:color w:val="102A43"/>
                <w:sz w:val="22"/>
              </w:rPr>
              <w:t>AI_ORCHESTRATION_ENABLED=true is only an explicit opt-in for an isolated reviewed demo/cohort. Setting it does not make the orchestrator the global default, and it must not be used as a replacement for the current path before live shadow and review gates pass.</w:t>
            </w:r>
          </w:p>
        </w:tc>
      </w:tr>
    </w:tbl>
    <w:p>
      <w:pPr>
        <w:spacing w:after="0"/>
      </w:pPr>
    </w:p>
    <w:p>
      <w:pPr>
        <w:keepNext/>
        <w:spacing w:before="360" w:after="200"/>
      </w:pPr>
      <w:r>
        <w:rPr>
          <w:rFonts w:ascii="Calibri" w:hAnsi="Calibri"/>
          <w:b/>
          <w:i w:val="0"/>
          <w:color w:val="0B6F71"/>
          <w:sz w:val="32"/>
        </w:rPr>
        <w:t>8. One-minute presentation conclusion</w:t>
      </w:r>
    </w:p>
    <w:p>
      <w:pPr>
        <w:spacing w:after="120" w:line="300" w:lineRule="auto"/>
      </w:pPr>
      <w:r>
        <w:rPr>
          <w:rFonts w:ascii="Calibri" w:hAnsi="Calibri"/>
          <w:b w:val="0"/>
          <w:i w:val="0"/>
          <w:color w:val="102A43"/>
          <w:sz w:val="22"/>
        </w:rPr>
        <w:t>MarketMind already had strong AI specialists and a curated knowledge system. Agentic orchestration adds a safe coordinator: it remembers the current run, chooses bounded tools, pauses for the owner, and resumes without duplicate work. RAG grounds Strategy in approved, cited marketing guidance. The result is more explainable and recoverable, while the current behavior remains the rollback until live evidence and human gates are complete.</w:t>
      </w:r>
    </w:p>
    <w:p>
      <w:pPr>
        <w:keepNext/>
        <w:spacing w:before="280" w:after="140"/>
      </w:pPr>
      <w:r>
        <w:rPr>
          <w:rFonts w:ascii="Calibri" w:hAnsi="Calibri"/>
          <w:b/>
          <w:i w:val="0"/>
          <w:color w:val="0B6F71"/>
          <w:sz w:val="26"/>
        </w:rPr>
        <w:t>Source documents</w:t>
      </w:r>
    </w:p>
    <w:p>
      <w:pPr>
        <w:pStyle w:val="ListBullet"/>
        <w:spacing w:after="80" w:line="300" w:lineRule="auto"/>
        <w:ind w:left="540" w:hanging="271"/>
      </w:pPr>
      <w:r>
        <w:rPr>
          <w:rFonts w:ascii="Calibri" w:hAnsi="Calibri"/>
          <w:b w:val="0"/>
          <w:i w:val="0"/>
          <w:color w:val="102A43"/>
          <w:sz w:val="22"/>
        </w:rPr>
        <w:t>Docs/planning/08_AGENTIC_ORCHESTRATION_IMPLEMENTATION_PLAN.md</w:t>
      </w:r>
    </w:p>
    <w:p>
      <w:pPr>
        <w:pStyle w:val="ListBullet"/>
        <w:spacing w:after="80" w:line="300" w:lineRule="auto"/>
        <w:ind w:left="540" w:hanging="271"/>
      </w:pPr>
      <w:r>
        <w:rPr>
          <w:rFonts w:ascii="Calibri" w:hAnsi="Calibri"/>
          <w:b w:val="0"/>
          <w:i w:val="0"/>
          <w:color w:val="102A43"/>
          <w:sz w:val="22"/>
        </w:rPr>
        <w:t>Docs/planning/AGENTIC_ORCHESTRATION_DEMO_EVIDENCE.md and AGENTIC_ORCHESTRATION_PHASE5_RUNBOOK.md (issue #161 work branch)</w:t>
      </w:r>
    </w:p>
    <w:p>
      <w:pPr>
        <w:pStyle w:val="ListBullet"/>
        <w:spacing w:after="80" w:line="300" w:lineRule="auto"/>
        <w:ind w:left="540" w:hanging="271"/>
      </w:pPr>
      <w:r>
        <w:rPr>
          <w:rFonts w:ascii="Calibri" w:hAnsi="Calibri"/>
          <w:b w:val="0"/>
          <w:i w:val="0"/>
          <w:color w:val="102A43"/>
          <w:sz w:val="22"/>
        </w:rPr>
        <w:t>Docs/planning/sprint-4/STRATEGY_AGENT_AND_CURATED_RAG_ARCHITECTURE.md</w:t>
      </w:r>
    </w:p>
    <w:p>
      <w:pPr>
        <w:pStyle w:val="ListBullet"/>
        <w:spacing w:after="80" w:line="300" w:lineRule="auto"/>
        <w:ind w:left="540" w:hanging="271"/>
      </w:pPr>
      <w:r>
        <w:rPr>
          <w:rFonts w:ascii="Calibri" w:hAnsi="Calibri"/>
          <w:b w:val="0"/>
          <w:i w:val="0"/>
          <w:color w:val="102A43"/>
          <w:sz w:val="22"/>
        </w:rPr>
        <w:t>Docs/planning/09_RAG_CHECKLIST_CLOSEOUT_IMPLEMENTATION_PLAN.md and LIVE_READINESS.md (issue #163 closeout branch)</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2606D"/>
        <w:sz w:val="17"/>
      </w:rPr>
      <w:t xml:space="preserve">Agentic AI + RAG brief  •  </w:t>
    </w:r>
    <w:r>
      <w:rPr>
        <w:rFonts w:ascii="Calibri" w:hAnsi="Calibri"/>
        <w:b w:val="0"/>
        <w:i w:val="0"/>
        <w:color w:val="52606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2606D"/>
        <w:sz w:val="17"/>
      </w:rPr>
      <w:t>MARKETMIND AI  •  ITI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02A4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02A4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