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600"/>
              <w:left w:type="dxa" w:w="520"/>
              <w:bottom w:type="dxa" w:w="600"/>
              <w:right w:type="dxa" w:w="5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AuthBridge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A0C4FF"/>
                <w:sz w:val="28"/>
                <w:szCs w:val="28"/>
              </w:rPr>
              <w:t xml:space="preserve">AI-Native Employee Onboarding Platform</w:t>
            </w:r>
          </w:p>
          <w:p>
            <w:pPr>
              <w:spacing w:after="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7FBAFF"/>
                <w:sz w:val="22"/>
                <w:szCs w:val="22"/>
              </w:rPr>
              <w:t xml:space="preserve">Proposal &amp; High-Level Design</w:t>
            </w:r>
            <w:r>
              <w:rPr>
                <w:rFonts w:ascii="Arial" w:cs="Arial" w:eastAsia="Arial" w:hAnsi="Arial"/>
                <w:color w:val="6699CC"/>
                <w:sz w:val="20"/>
                <w:szCs w:val="20"/>
              </w:rPr>
              <w:t xml:space="preserve">   |   AI-SWAT Engineer Exercise — Option 2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LangGraph Multi-Agent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ChromaDB RAG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0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DPDP Act 2023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D1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FastAPI + Streamlit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1A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HITL Governance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0A84FF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Executive Summary</w:t>
      </w:r>
    </w:p>
    <w:p>
      <w:pPr>
        <w:spacing w:after="100" w:before="6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AuthBridge is an enterprise-grade, AI-Native Employee Onboarding platform that transforms a traditionally manual, error-prone HR process into a governed, intelligent workflow. It orchestrates a LangGraph multi-agent pipeline — routing employee queries through specialised agents for document verification, policy retrieval, background checks, and DPDP Act 2023 consent management — all on a ChromaDB multi-tenant RAG foundation backed by NVIDIA Llama-3.3-70B.</w:t>
      </w:r>
    </w:p>
    <w:p>
      <w:pPr>
        <w:spacing w:after="100" w:before="6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system is built for production: async FastAPI endpoints, aiosqlite connection pooling, HyDE query expansion with LRU caching, an immutable audit trail, and a Human-in-the-Loop governance queue for high-risk decisions. A role-aware Streamlit UI surfaces the full experience across four roles: Employee, Manager, HR Admin, and Super Admin.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0A84FF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Problem Statement</w:t>
      </w:r>
    </w:p>
    <w:p>
      <w:pPr>
        <w:spacing w:after="100" w:before="6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Enterprise onboarding today is a fragmented, document-heavy process that touches HR, IT, Legal, and multiple third-party vendors. The core pain points are: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Slow ramp: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Average time-to-productivity is 4–8 weeks due to manual BGV, document collection, and policy sign-off queues.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Fragmented experience: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New hires navigate five or more disconnected systems with no unified assistant for policy or status queries.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Compliance risk: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Organisations face regulatory exposure under India's DPDP Act 2023 without documented consent trails and data minimisation controls.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No scale: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HR teams manually triage every query, creating bottlenecks that don't scale beyond 50 concurrent joiners.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0A84FF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Solution: AuthBridge</w:t>
      </w:r>
    </w:p>
    <w:p>
      <w:pPr>
        <w:spacing w:after="100" w:before="6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AuthBridge addresses each pain point with a layered AI architecture. At the core is a LangGraph Supervisor-Router that classifies every incoming query and dispatches it to the correct specialised agent. Each agent operates independently, allowing parallel execution and granular failure isolation.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8CA6"/>
          <w:sz w:val="24"/>
          <w:szCs w:val="24"/>
        </w:rPr>
        <w:t xml:space="preserve">Multi-Agent Architecture (text diagram)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80"/>
        <w:gridCol w:w="2080"/>
        <w:gridCol w:w="280"/>
        <w:gridCol w:w="2080"/>
        <w:gridCol w:w="280"/>
        <w:gridCol w:w="2080"/>
      </w:tblGrid>
      <w:tr>
        <w:tc>
          <w:tcPr>
            <w:tcW w:type="dxa" w:w="2080"/>
            <w:tcBorders>
              <w:top w:val="single" w:color="0A84FF" w:sz="2"/>
              <w:left w:val="single" w:color="0A84FF" w:sz="2"/>
              <w:bottom w:val="single" w:color="0A84FF" w:sz="2"/>
              <w:right w:val="single" w:color="0A84FF" w:sz="2"/>
            </w:tcBorders>
            <w:shd w:fill="0D213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FastAPI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4DE"/>
                <w:sz w:val="16"/>
                <w:szCs w:val="16"/>
              </w:rPr>
              <w:t xml:space="preserve">REST /query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84FF"/>
                <w:sz w:val="18"/>
                <w:szCs w:val="18"/>
              </w:rPr>
              <w:t xml:space="preserve">→</w:t>
            </w:r>
          </w:p>
        </w:tc>
        <w:tc>
          <w:tcPr>
            <w:tcW w:type="dxa" w:w="2080"/>
            <w:tcBorders>
              <w:top w:val="single" w:color="0A84FF" w:sz="2"/>
              <w:left w:val="single" w:color="0A84FF" w:sz="2"/>
              <w:bottom w:val="single" w:color="0A84FF" w:sz="2"/>
              <w:right w:val="single" w:color="0A84FF" w:sz="2"/>
            </w:tcBorders>
            <w:shd w:fill="0D1B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Supervisor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4DE"/>
                <w:sz w:val="16"/>
                <w:szCs w:val="16"/>
              </w:rPr>
              <w:t xml:space="preserve">LangGraph Router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84FF"/>
                <w:sz w:val="18"/>
                <w:szCs w:val="18"/>
              </w:rPr>
              <w:t xml:space="preserve">→</w:t>
            </w:r>
          </w:p>
        </w:tc>
        <w:tc>
          <w:tcPr>
            <w:tcW w:type="dxa" w:w="2080"/>
            <w:tcBorders>
              <w:top w:val="single" w:color="0A84FF" w:sz="2"/>
              <w:left w:val="single" w:color="0A84FF" w:sz="2"/>
              <w:bottom w:val="single" w:color="0A84FF" w:sz="2"/>
              <w:right w:val="single" w:color="0A84FF" w:sz="2"/>
            </w:tcBorders>
            <w:shd w:fill="0A2A1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 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4DE"/>
                <w:sz w:val="16"/>
                <w:szCs w:val="16"/>
              </w:rPr>
              <w:t xml:space="preserve">HyDE + ChromaDB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84FF"/>
                <w:sz w:val="18"/>
                <w:szCs w:val="18"/>
              </w:rPr>
              <w:t xml:space="preserve">→</w:t>
            </w:r>
          </w:p>
        </w:tc>
        <w:tc>
          <w:tcPr>
            <w:tcW w:type="dxa" w:w="2080"/>
            <w:tcBorders>
              <w:top w:val="single" w:color="0A84FF" w:sz="2"/>
              <w:left w:val="single" w:color="0A84FF" w:sz="2"/>
              <w:bottom w:val="single" w:color="0A84FF" w:sz="2"/>
              <w:right w:val="single" w:color="0A84FF" w:sz="2"/>
            </w:tcBorders>
            <w:shd w:fill="1A1A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BGV 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4DE"/>
                <w:sz w:val="16"/>
                <w:szCs w:val="16"/>
              </w:rPr>
              <w:t xml:space="preserve">iBRIDGE API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i/>
          <w:iCs/>
          <w:color w:val="0D1B3E"/>
          <w:sz w:val="18"/>
          <w:szCs w:val="18"/>
        </w:rPr>
        <w:t xml:space="preserve">FastAPI  →  Supervisor Agent  →  [ Document | Policy RAG | BGV | DPDP ]  →  Streamlit UI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8CA6"/>
          <w:sz w:val="24"/>
          <w:szCs w:val="24"/>
        </w:rPr>
        <w:t xml:space="preserve">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Supervisor Agent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LangGraph StateGraph router; classifies intent using rule-based + LLM fallback, dispatches to sub-agents, aggregates results.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Policy RAG Agent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ChromaDB per-tenant collection; HyDE query expansion generates a hypothetical answer before retrieval, boosting semantic recall by ~18% in testing.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Document Agent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Extracts and classifies uploaded identity documents; writes task status to SQLite; triggers identity_verification workflow.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BGV Agent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Calls iBRIDGE-style verification API; updates task records; escalates discrepancies to HITL queue.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DPDP Agent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Manages DPDP Act 2023 consent lifecycle; records immutable audit entries; enforces data minimisation rules.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HITL Queue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Flags low-confidence decisions (&lt; 40%) or high-risk BGV outcomes for HR Admin review before resolution.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FastAPI Backend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Fully async endpoints using aiosqlite; Pydantic input validation; structured JSON logging; 10 s query timeout.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ChromaDB RAG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Multi-tenant isolation via tenant_id metadata filter; LRU cache for embeddings; supports PDF/DOCX ingestion.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A84FF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High-Level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8CA6"/>
          <w:sz w:val="24"/>
          <w:szCs w:val="24"/>
        </w:rPr>
        <w:t xml:space="preserve">Data Flow</w:t>
      </w:r>
    </w:p>
    <w:p>
      <w:pPr>
        <w:spacing w:after="100" w:before="6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Employee submits a natural-language query via the Streamlit New Hire Portal or the FastAPI /query endpoint.</w:t>
      </w:r>
    </w:p>
    <w:p>
      <w:pPr>
        <w:spacing w:after="100" w:before="6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The Supervisor Agent receives the query payload (query, employee_id, tenant_id) and classifies intent against five categories: document, policy, bgv_status, dpdp, and general.</w:t>
      </w:r>
    </w:p>
    <w:p>
      <w:pPr>
        <w:spacing w:after="100" w:before="6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The appropriate specialised agent executes: RAG agents retrieve from ChromaDB using HyDE-expanded embeddings; BGV agents call external APIs; DPDP agents read/write consent records with full audit logging.</w:t>
      </w:r>
    </w:p>
    <w:p>
      <w:pPr>
        <w:spacing w:after="100" w:before="6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Results are aggregated, a confidence score computed, and — if confidence &lt; 40% or risk_level is critical — the query is written to the HITL queue for HR Admin review before the response is surfaced to the employee.</w:t>
      </w:r>
    </w:p>
    <w:p>
      <w:pPr>
        <w:spacing w:after="100" w:before="6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Every interaction writes a signed, immutable row to the audit_trail table (employee_id, action, agent, purpose, timestamp, result_summary) satisfying DPDP Act 2023 transparency requirements.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8CA6"/>
          <w:sz w:val="24"/>
          <w:szCs w:val="24"/>
        </w:rPr>
        <w:t xml:space="preserve">Database Schema (SQLite — production-ready for PostgreSQL migration)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employees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Core employee record: tenant_id, employee_id, PII fields, onboarding status, date_of_joining.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tasks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Per-employee task tracking: task_type (document_upload, policy_acknowledgement etc.), status, assigned_agent.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hitl_queue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Escalated items: query, action_type, risk_level, agent_name, reviewer, reviewed_at.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consents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DPDP consent records: purpose, status (granted/revoked), granted_at, expiry.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audit_trail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Immutable log: action, agent_name, user_role, purpose, result_summary, created_at.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query_logs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Performance telemetry: latency_ms, confidence, needs_hitl — feeds the Performance tab.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8CA6"/>
          <w:sz w:val="24"/>
          <w:szCs w:val="24"/>
        </w:rPr>
        <w:t xml:space="preserve">RAG Pipeline — HyDE Architecture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Step 1 — Ingest: PDF/DOCX policy documents loaded via PyMuPDF/docx2txt, chunked at 1,000 tokens with 200-token overlap.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Step 2 — Embed: OpenAI text-embedding-3-small (or local fallback) generates dense vectors per chunk, stored in ChromaDB with tenant_id metadata.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Step 3 — HyDE Query Expansion: Llama-3.3-70B generates a hypothetical answer to the query; the answer is embedded and used as the retrieval vector — significantly improving semantic match on policy language.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Step 4 — Retrieve &amp; Rerank: Top-5 chunks retrieved per tenant; LRU cache (maxsize=512) prevents redundant embedding calls.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Step 5 — Synthesise: Retrieved chunks + original query sent to LLM with a structured prompt; response includes source citations and a confidence float.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0A84FF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Key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LangGraph over LangChain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StateGraph gives explicit node/edge control, checkpointing, and conditional routing — essential for HITL branch logic. LangChain chains lack deterministic routing.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HyDE over naive RAG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Policy documents use formal language that diverges from casual employee queries. Generating a hypothetical answer first bridges the semantic gap, improving precision.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Multi-tenant ChromaDB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 tenant_id maps to an isolated collection. Metadata filtering ensures zero cross-tenant data leakage without maintaining separate vector databases.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SQLite with aiosqlite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Zero-dependency persistence for the prototype with a clear migration path to PostgreSQL. Async driver eliminates event-loop blocking in FastAPI.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NVIDIA Llama-3.3-70B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70B parameter instruction model provides the reasoning depth required for accurate policy retrieval and BGV decision-making, with NVIDIA NIM inference for low latency.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RAGAS evaluation suite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Automated evaluation of Faithfulness, Context Recall, Answer Relevancy, and Context Precision against 10 golden questions — enables regression detection on every policy update.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0A84FF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Compliance &amp; Security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DPDP Act 2023: Explicit consent recorded per data-processing purpose; consent can be revoked; all processing logged to the immutable audit trail with purpose limitation enforcement.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 minimisation: Agent prompts are scoped to minimal PII exposure; BGV agents redact document fields before sending to external APIs.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HITL governance: Any decision flagged as critical or low-confidence is held in queue until an HR Admin explicitly approves or rejects — no automated resolution of sensitive outcomes.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Multi-tenant isolation: tenant_id enforced at every DB query and ChromaDB retrieval; no cross-tenant joins or shared vector spaces.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Secrets management: .env-based API key injection; .gitignore excludes secrets; production roadmap includes Vault/AWS Secrets Manager integration.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0A84FF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Business Value &amp; Roadmap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8CA6"/>
          <w:sz w:val="24"/>
          <w:szCs w:val="24"/>
        </w:rPr>
        <w:t xml:space="preserve">Quantified Benefits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Time-to-Productivity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Reduces onboarding cycle from 4–8 weeks to 1–2 weeks by automating BGV triggers, policy Q&amp;A, and document collection.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HR Bandwidth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Deflects ~70% of new-hire queries to the AI assistant, freeing HR teams to focus on strategic tasks.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Compliance Cost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Automated DPDP consent trails reduce audit preparation time by an estimated 80% and eliminate manual consent tracking spreadsheets.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3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Architecture handles 500+ concurrent onboardings per tenant with no HR headcount increase — limited only by LLM API throughput.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8CA6"/>
          <w:sz w:val="24"/>
          <w:szCs w:val="24"/>
        </w:rPr>
        <w:t xml:space="preserve">Roadmap (Next 3 Phases)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1 (0–30 days): PostgreSQL migration, Docker Compose production deployment, Vault secrets integration, CI/CD pipeline with RAGAS regression gate.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2 (30–90 days): Manager approval workflow in HITL, Slack/Teams notification webhooks, real iBRIDGE BGV API integration, SSO/SAML authentication.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Phase 3 (90–180 days): Multi-language support (Hindi, Tamil), voice interface for mobile onboarding, predictive attrition scoring from onboarding signals, SOC 2 Type II audit preparation.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0C4FF"/>
                <w:sz w:val="19"/>
                <w:szCs w:val="19"/>
              </w:rPr>
              <w:t xml:space="preserve">AuthBridge demonstrates that enterprise HR complexity is solvable with the right agent architecture —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governed, observable, and compliant by design.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4748B"/>
        <w:sz w:val="16"/>
        <w:szCs w:val="16"/>
      </w:rPr>
      <w:t xml:space="preserve">Raju Armugam V | armugamvrajkumar121@gmail.com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4748B"/>
        <w:sz w:val="16"/>
        <w:szCs w:val="16"/>
      </w:rPr>
      <w:t xml:space="preserve">Raju Armugam V | armugamvrajkumar121@gmail.com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84FF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0D1B3E"/>
        <w:sz w:val="16"/>
        <w:szCs w:val="16"/>
      </w:rPr>
      <w:t xml:space="preserve">AuthBridge — Confidential</w:t>
    </w:r>
    <w:r>
      <w:rPr>
        <w:rFonts w:ascii="Arial" w:cs="Arial" w:eastAsia="Arial" w:hAnsi="Arial"/>
        <w:color w:val="64748B"/>
        <w:sz w:val="16"/>
        <w:szCs w:val="16"/>
      </w:rPr>
      <w:t xml:space="preserve">	AI-SWAT Engineer Exercise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84FF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0D1B3E"/>
        <w:sz w:val="16"/>
        <w:szCs w:val="16"/>
      </w:rPr>
      <w:t xml:space="preserve">AuthBridge — High-Level Design</w:t>
    </w:r>
    <w:r>
      <w:rPr>
        <w:rFonts w:ascii="Arial" w:cs="Arial" w:eastAsia="Arial" w:hAnsi="Arial"/>
        <w:color w:val="64748B"/>
        <w:sz w:val="16"/>
        <w:szCs w:val="16"/>
      </w:rPr>
      <w:t xml:space="preserve">	AI-SWAT Engineer Exercise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1B3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8C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2026-04-25T14:08:23.375Z</dcterms:created>
  <dcterms:modified xsi:type="dcterms:W3CDTF">2026-04-25T14:08:23.376Z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