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40"/>
        <w:jc w:val="center"/>
      </w:pPr>
      <w:r>
        <w:t>Manual de uso de la aplicación VEP</w:t>
      </w:r>
    </w:p>
    <w:p>
      <w:pPr>
        <w:spacing w:before="160"/>
        <w:jc w:val="center"/>
      </w:pPr>
      <w:r>
        <w:rPr>
          <w:b/>
          <w:color w:val="2F75B5"/>
          <w:sz w:val="30"/>
        </w:rPr>
        <w:t>Valoración para efectos procesales</w:t>
      </w:r>
    </w:p>
    <w:p>
      <w:pPr>
        <w:spacing w:before="480"/>
        <w:jc w:val="center"/>
      </w:pPr>
      <w:r>
        <w:rPr>
          <w:color w:val="666666"/>
          <w:sz w:val="22"/>
        </w:rPr>
        <w:t>Guía básica para usar la herramienta mientras el expediente sigue abierto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</w:tblGrid>
      <w:tr>
        <w:trPr>
          <w:tblHeader w:val="true"/>
          <w:cantSplit/>
        </w:trPr>
        <w:tc>
          <w:tcPr>
            <w:tcW w:type="dxa" w:w="10200"/>
            <w:shd w:fill="D9EAF7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Objetivo: registrar el caso con orden, aplicar los cálculos y entender el resultado sin trabajar directamente con las fórmulas.</w:t>
            </w:r>
          </w:p>
        </w:tc>
      </w:tr>
    </w:tbl>
    <w:p>
      <w:pPr>
        <w:spacing w:before="720"/>
        <w:jc w:val="center"/>
      </w:pPr>
      <w:r>
        <w:rPr>
          <w:color w:val="666666"/>
          <w:sz w:val="18"/>
        </w:rPr>
        <w:t>Versión de septiembre de 2026</w:t>
      </w:r>
    </w:p>
    <w:p>
      <w:r>
        <w:br w:type="page"/>
      </w:r>
    </w:p>
    <w:p>
      <w:pPr>
        <w:pStyle w:val="Heading1"/>
      </w:pPr>
      <w:r>
        <w:t>1. Qué es la VEP</w:t>
      </w:r>
    </w:p>
    <w:p>
      <w:r>
        <w:t>La VEP es una valoración preparada durante la investigación, el rescate, la rehabilitación, el juicio o la restauración. Permite trabajar con datos ya comprobados y con estimaciones claramente identificadas.</w:t>
      </w:r>
    </w:p>
    <w:p>
      <w:pPr>
        <w:pStyle w:val="Heading2"/>
        <w:spacing w:before="60" w:after="20"/>
      </w:pPr>
      <w:r>
        <w:rPr>
          <w:sz w:val="24"/>
        </w:rPr>
        <w:t>Prueba rápida con el caso de pericos</w:t>
      </w:r>
    </w:p>
    <w:p>
      <w:pPr>
        <w:spacing w:after="0" w:line="240" w:lineRule="auto"/>
      </w:pPr>
      <w:r>
        <w:rPr>
          <w:sz w:val="19"/>
        </w:rPr>
        <w:t>Pulse Cargar caso demostrativo de pericos. La aplicación cargará dos pericos vivos, 8 animal-días observados, 2 exámenes clínicos y una estancia estimada con 42 casos comparables. Revise las pestañas en orden y pulse Limpiar caso antes de ingresar un expediente real.</w:t>
      </w:r>
    </w:p>
    <w:p>
      <w:pPr>
        <w:spacing w:after="0" w:line="240" w:lineRule="auto"/>
      </w:pPr>
      <w:r>
        <w:rPr>
          <w:sz w:val="19"/>
        </w:rPr>
        <w:t>Resultado esperado: daños de USD 370 / 530 / 780. La Cuenta B queda vacía porque el ejemplo no demuestra una pérdida monetizable de servicios; liberación y monitoreo aparecen aparte en R.</w:t>
      </w:r>
    </w:p>
    <w:p>
      <w:pPr>
        <w:spacing w:after="0" w:line="240" w:lineRule="auto"/>
      </w:pPr>
      <w:r>
        <w:rPr>
          <w:b/>
          <w:sz w:val="19"/>
        </w:rPr>
        <w:t xml:space="preserve">Importante: </w:t>
      </w:r>
      <w:r>
        <w:rPr>
          <w:sz w:val="19"/>
        </w:rPr>
        <w:t>los precios y la conversión monetaria del ejercicio son ficticios. El caso sirve para aprender el flujo, no como tarifa oficial.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  <w:cantSplit/>
        </w:trPr>
        <w:tc>
          <w:tcPr>
            <w:tcW w:type="dxa" w:w="10200"/>
            <w:shd w:fill="D9EA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7365D"/>
              </w:rPr>
              <w:t xml:space="preserve">Use esta herramienta cuando: </w:t>
            </w:r>
            <w:r>
              <w:t>todavía faltan facturas finales, resultados biológicos, tiempo total de cuidado o resultados de restauración.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  <w:cantSplit/>
        </w:trPr>
        <w:tc>
          <w:tcPr>
            <w:tcW w:type="dxa" w:w="10200"/>
            <w:shd w:fill="FFF2C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C00000"/>
              </w:rPr>
              <w:t xml:space="preserve">No necesita subir el documento metodológico a GitHub. </w:t>
            </w:r>
            <w:r>
              <w:t>La aplicación funciona con sus archivos Python y con la base Excel incluida en la carpeta data.</w:t>
            </w:r>
          </w:p>
        </w:tc>
      </w:tr>
    </w:tbl>
    <w:p>
      <w:pPr>
        <w:spacing w:after="0"/>
      </w:pPr>
    </w:p>
    <w:p>
      <w:pPr>
        <w:pStyle w:val="Heading1"/>
      </w:pPr>
      <w:r>
        <w:t>2. Qué produce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Un rango monetario bajo, central y alto.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Resultados separados por tipo de daño o costo.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Separación entre datos observados y valores estimados.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Advertencias sobre evidencia insuficiente o posible doble conteo.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Un registro de efectos importantes que todavía no pueden monetizarse.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Archivos Excel y JSON descargables para conservar el caso.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  <w:cantSplit/>
        </w:trPr>
        <w:tc>
          <w:tcPr>
            <w:tcW w:type="dxa" w:w="10200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7365D"/>
              </w:rPr>
              <w:t xml:space="preserve">Importante: </w:t>
            </w:r>
            <w:r>
              <w:t>la VEP apoya una decisión durante el proceso. No reemplaza la revisión biológica, económica o jurídica.</w:t>
            </w:r>
          </w:p>
        </w:tc>
      </w:tr>
    </w:tbl>
    <w:p>
      <w:pPr>
        <w:spacing w:after="0"/>
      </w:pPr>
    </w:p>
    <w:p>
      <w:pPr>
        <w:pStyle w:val="Heading1"/>
      </w:pPr>
      <w:r>
        <w:t>3. Preparación rápida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80"/>
            <w:shd w:fill="2F75B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Tenga a mano</w:t>
            </w:r>
          </w:p>
        </w:tc>
        <w:tc>
          <w:tcPr>
            <w:tcW w:type="dxa" w:w="6480"/>
            <w:shd w:fill="2F75B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Ejemplos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Datos del caso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Expediente, autoridad, fecha, lugar y conducta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Descripción del daño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Qué ocurrió, qué fue afectado y cuál fue la consecuencia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Pruebas disponibles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Actas, fotografías, peritajes, facturas y registros clínicos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Referencias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Estudios, costos históricos o valores comparables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Decisiones económicas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Moneda, año base, tasa de descuento y horizonte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Recorrido por la aplicación</w:t>
      </w:r>
    </w:p>
    <w:p>
      <w:r>
        <w:t>Complete las pestañas en el orden mostrado. Puede regresar y corregir información antes de descargar el resultado.</w:t>
      </w:r>
    </w:p>
    <w:p>
      <w:pPr>
        <w:pStyle w:val="Heading2"/>
      </w:pPr>
      <w:r>
        <w:t>Pestaña 1. Expediente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088"/>
            <w:shd w:fill="2F75B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960"/>
            <w:shd w:fill="2F75B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Qué escribir</w:t>
            </w:r>
          </w:p>
        </w:tc>
        <w:tc>
          <w:tcPr>
            <w:tcW w:type="dxa" w:w="3456"/>
            <w:shd w:fill="2F75B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Para qué sirve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Caso y autoridad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Identificación oficial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Permite localizar la valoración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Conducta y lugar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Extracción, transporte, tenencia, comercio u otro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Define el hecho analizado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Versión y responsable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Código y persona o equipo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Conserva el historial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Moneda y año base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Unidad común para todos los montos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Evita mezclar monedas o años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Autorizar subtotal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Sí únicamente después de revisar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Permite mostrar el total compatible</w:t>
            </w:r>
          </w:p>
        </w:tc>
      </w:tr>
    </w:tbl>
    <w:p>
      <w:pPr>
        <w:spacing w:after="0"/>
      </w:pPr>
    </w:p>
    <w:p>
      <w:pPr>
        <w:pStyle w:val="Heading2"/>
      </w:pPr>
      <w:r>
        <w:t>Pestaña 2. Hecho y receptor</w:t>
      </w:r>
    </w:p>
    <w:p>
      <w:pPr>
        <w:spacing w:after="60"/>
        <w:ind w:left="369" w:hanging="255"/>
      </w:pPr>
      <w:r>
        <w:rPr>
          <w:b/>
        </w:rPr>
        <w:t xml:space="preserve">1.  </w:t>
      </w:r>
      <w:r>
        <w:t>Escriba qué ocurrió y qué parte está probada.</w:t>
      </w:r>
    </w:p>
    <w:p>
      <w:pPr>
        <w:spacing w:after="60"/>
        <w:ind w:left="369" w:hanging="255"/>
      </w:pPr>
      <w:r>
        <w:rPr>
          <w:b/>
        </w:rPr>
        <w:t xml:space="preserve">2.  </w:t>
      </w:r>
      <w:r>
        <w:t>Identifique el receptor: individuo, lote, población, hábitat, servicio, persona o institución.</w:t>
      </w:r>
    </w:p>
    <w:p>
      <w:pPr>
        <w:spacing w:after="60"/>
        <w:ind w:left="369" w:hanging="255"/>
      </w:pPr>
      <w:r>
        <w:rPr>
          <w:b/>
        </w:rPr>
        <w:t xml:space="preserve">3.  </w:t>
      </w:r>
      <w:r>
        <w:t>Describa la línea base: qué habría ocurrido sin el hecho.</w:t>
      </w:r>
    </w:p>
    <w:p>
      <w:pPr>
        <w:spacing w:after="60"/>
        <w:ind w:left="369" w:hanging="255"/>
      </w:pPr>
      <w:r>
        <w:rPr>
          <w:b/>
        </w:rPr>
        <w:t xml:space="preserve">4.  </w:t>
      </w:r>
      <w:r>
        <w:t>Explique el cambio causado y su consecuencia.</w:t>
      </w:r>
    </w:p>
    <w:p>
      <w:pPr>
        <w:spacing w:after="60"/>
        <w:ind w:left="369" w:hanging="255"/>
      </w:pPr>
      <w:r>
        <w:rPr>
          <w:b/>
        </w:rPr>
        <w:t xml:space="preserve">5.  </w:t>
      </w:r>
      <w:r>
        <w:t>Añada las especies o grupos afectados y revise si corresponden a A1 o A2.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  <w:cantSplit/>
        </w:trPr>
        <w:tc>
          <w:tcPr>
            <w:tcW w:type="dxa" w:w="10200"/>
            <w:shd w:fill="D9EA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7365D"/>
              </w:rPr>
              <w:t xml:space="preserve">Cadena mínima: </w:t>
            </w:r>
            <w:r>
              <w:t>hecho -&gt; receptor -&gt; cambio -&gt; consecuencia -&gt; cuenta y método.</w:t>
            </w:r>
          </w:p>
        </w:tc>
      </w:tr>
    </w:tbl>
    <w:p>
      <w:pPr>
        <w:spacing w:after="0"/>
      </w:pPr>
    </w:p>
    <w:p>
      <w:pPr>
        <w:pStyle w:val="Heading2"/>
      </w:pPr>
      <w:r>
        <w:t>Cuentas usadas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936"/>
            <w:shd w:fill="2F75B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960"/>
            <w:shd w:fill="2F75B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Qué registra</w:t>
            </w:r>
          </w:p>
        </w:tc>
        <w:tc>
          <w:tcPr>
            <w:tcW w:type="dxa" w:w="4680"/>
            <w:shd w:fill="2F75B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Ejemplo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A1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Pérdida biofísica o poblacional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Individuos o reproducción perdidos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A2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Pérdida irreversible del individuo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Equivalencia de conservación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Servicios ecosistémicos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Servicio perdido durante un periodo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C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Respuesta pública adicional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Operativo, investigación o peritaje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Rescate y rehabilitación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Clínica, dieta, cuarentena o cuidado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E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Efectos conexos demostrados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Pérdida turística probada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Restauración o equivalencia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Hábitat, reintroducción o monitoreo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G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Gravedad ética y jurídica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Sufrimiento, intención o irreversibilidad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Servicios, costos y reparación</w:t>
      </w:r>
    </w:p>
    <w:p>
      <w:pPr>
        <w:pStyle w:val="Heading2"/>
      </w:pPr>
      <w:r>
        <w:t>Pestaña 3. Servicios</w:t>
      </w:r>
    </w:p>
    <w:p>
      <w:r>
        <w:t>Use esta pestaña únicamente cuando pueda explicar toda la relación entre el daño y el beneficio perdido.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80"/>
            <w:shd w:fill="2F75B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6480"/>
            <w:shd w:fill="2F75B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Qué debe quedar claro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¿Qué fue afectado?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Recurso, especie, población o hábitat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¿Qué función cambió?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Por ejemplo, dispersión de semillas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¿Qué servicio disminuyó?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Beneficio final que recibe la sociedad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¿Quién perdió el beneficio?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Personas, comunidades o instituciones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¿Cuánto y por cuánto tiempo?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Cantidad afectada, pérdida y recuperación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¿De dónde sale el valor?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Estudio local o referencia comparable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  <w:cantSplit/>
        </w:trPr>
        <w:tc>
          <w:tcPr>
            <w:tcW w:type="dxa" w:w="10200"/>
            <w:shd w:fill="FFF2C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C00000"/>
              </w:rPr>
              <w:t xml:space="preserve">Si falta una parte de la cadena: </w:t>
            </w:r>
            <w:r>
              <w:t>registre el efecto como no monetario. No fuerce una cifra.</w:t>
            </w:r>
          </w:p>
        </w:tc>
      </w:tr>
    </w:tbl>
    <w:p>
      <w:pPr>
        <w:spacing w:after="0"/>
      </w:pPr>
    </w:p>
    <w:p>
      <w:pPr>
        <w:pStyle w:val="Heading2"/>
      </w:pPr>
      <w:r>
        <w:t>Pestaña 4. Costos y reparación</w:t>
      </w:r>
    </w:p>
    <w:p>
      <w:r>
        <w:t>Agregue una fila por costo, efecto o medida. Seleccione A1, A2, C, D, E o 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736"/>
            <w:shd w:fill="2F75B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624"/>
            <w:shd w:fill="2F75B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Cómo llenarlo</w:t>
            </w:r>
          </w:p>
        </w:tc>
      </w:tr>
      <w:tr>
        <w:trPr>
          <w:cantSplit/>
        </w:trPr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Estado del dato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Observado si existe un registro; Estimado si usa una proyección</w:t>
            </w:r>
          </w:p>
        </w:tc>
      </w:tr>
      <w:tr>
        <w:trPr>
          <w:cantSplit/>
        </w:trPr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Cantidad y valor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Ingrese valores bajo, central y alto</w:t>
            </w:r>
          </w:p>
        </w:tc>
      </w:tr>
      <w:tr>
        <w:trPr>
          <w:cantSplit/>
        </w:trPr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Evidencia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A, B o C puede ser principal; D/E es exploratoria; X se excluye</w:t>
            </w:r>
          </w:p>
        </w:tc>
      </w:tr>
      <w:tr>
        <w:trPr>
          <w:cantSplit/>
        </w:trPr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Fuente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Factura, expediente, estudio, URL, DOI o referencia completa</w:t>
            </w:r>
          </w:p>
        </w:tc>
      </w:tr>
      <w:tr>
        <w:trPr>
          <w:cantSplit/>
        </w:trPr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Grupo de doble conteo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Use el mismo código si dos filas podrían medir la misma pérdida</w:t>
            </w:r>
          </w:p>
        </w:tc>
      </w:tr>
    </w:tbl>
    <w:p>
      <w:pPr>
        <w:spacing w:after="0"/>
      </w:pPr>
    </w:p>
    <w:p>
      <w:pPr>
        <w:pStyle w:val="Heading2"/>
      </w:pPr>
      <w:r>
        <w:t>Pestaña 5. Gravedad y revisión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Marque los factores G presentes y explique la prueba.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No convierta G en porcentaje o multiplicador monetario.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Confirme la cadena causal y la incertidumbre.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Revise especialmente posibles solapamientos entre A2, B y R.</w:t>
      </w:r>
    </w:p>
    <w:p>
      <w:r>
        <w:br w:type="page"/>
      </w:r>
    </w:p>
    <w:p>
      <w:pPr>
        <w:pStyle w:val="Heading1"/>
      </w:pPr>
      <w:r>
        <w:t>6. Leer y guardar el resultado</w:t>
      </w:r>
    </w:p>
    <w:p>
      <w:pPr>
        <w:pStyle w:val="Heading2"/>
      </w:pPr>
      <w:r>
        <w:t>Pestaña 6. Resultado VEP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520"/>
            <w:shd w:fill="2F75B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6840"/>
            <w:shd w:fill="2F75B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Bajo, central y alto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Rango que conserva la incertidumbre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Principal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Cuenta con nexo y evidencia suficientes para el cálculo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Exploratorio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Necesita más evidencia o mejor comparabilidad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Observado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Costo o hecho específico ya registrado en el caso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Estimado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Referencia, transferencia o proyección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R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Reparación mostrada separadamente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 y no monetizado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Información importante que no se suma al dinero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  <w:cantSplit/>
        </w:trPr>
        <w:tc>
          <w:tcPr>
            <w:tcW w:type="dxa" w:w="10200"/>
            <w:shd w:fill="FFF2C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C00000"/>
              </w:rPr>
              <w:t xml:space="preserve">Antes de aceptar el subtotal: </w:t>
            </w:r>
            <w:r>
              <w:t>lea todas las advertencias y confirme que ninguna pérdida aparece dos veces.</w:t>
            </w:r>
          </w:p>
        </w:tc>
      </w:tr>
    </w:tbl>
    <w:p>
      <w:pPr>
        <w:spacing w:after="0"/>
      </w:pPr>
    </w:p>
    <w:p>
      <w:pPr>
        <w:pStyle w:val="Heading2"/>
      </w:pPr>
      <w:r>
        <w:t>Guardar el caso</w:t>
      </w:r>
    </w:p>
    <w:p>
      <w:pPr>
        <w:spacing w:after="60"/>
        <w:ind w:left="369" w:hanging="255"/>
      </w:pPr>
      <w:r>
        <w:rPr>
          <w:b/>
        </w:rPr>
        <w:t xml:space="preserve">1.  </w:t>
      </w:r>
      <w:r>
        <w:t>Descargue el informe Excel.</w:t>
      </w:r>
    </w:p>
    <w:p>
      <w:pPr>
        <w:spacing w:after="60"/>
        <w:ind w:left="369" w:hanging="255"/>
      </w:pPr>
      <w:r>
        <w:rPr>
          <w:b/>
        </w:rPr>
        <w:t xml:space="preserve">2.  </w:t>
      </w:r>
      <w:r>
        <w:t>Descargue el archivo JSON.</w:t>
      </w:r>
    </w:p>
    <w:p>
      <w:pPr>
        <w:spacing w:after="60"/>
        <w:ind w:left="369" w:hanging="255"/>
      </w:pPr>
      <w:r>
        <w:rPr>
          <w:b/>
        </w:rPr>
        <w:t xml:space="preserve">3.  </w:t>
      </w:r>
      <w:r>
        <w:t>Guarde ambos archivos con el número de expediente y la fecha.</w:t>
      </w:r>
    </w:p>
    <w:p>
      <w:pPr>
        <w:spacing w:after="60"/>
        <w:ind w:left="369" w:hanging="255"/>
      </w:pPr>
      <w:r>
        <w:rPr>
          <w:b/>
        </w:rPr>
        <w:t xml:space="preserve">4.  </w:t>
      </w:r>
      <w:r>
        <w:t>Hágalo antes de cerrar, actualizar o reiniciar la aplicación.</w:t>
      </w:r>
    </w:p>
    <w:p>
      <w:pPr>
        <w:pStyle w:val="Heading1"/>
      </w:pPr>
      <w:r>
        <w:t>7. Revisión final</w:t>
      </w:r>
    </w:p>
    <w:p>
      <w:pPr>
        <w:spacing w:after="60"/>
        <w:ind w:left="142"/>
      </w:pPr>
      <w:r>
        <w:rPr>
          <w:b/>
          <w:color w:val="2F75B5"/>
        </w:rPr>
        <w:t xml:space="preserve">☐ </w:t>
      </w:r>
      <w:r>
        <w:t>El hecho, receptor, línea base, cambio y consecuencia están escritos.</w:t>
      </w:r>
    </w:p>
    <w:p>
      <w:pPr>
        <w:spacing w:after="60"/>
        <w:ind w:left="142"/>
      </w:pPr>
      <w:r>
        <w:rPr>
          <w:b/>
          <w:color w:val="2F75B5"/>
        </w:rPr>
        <w:t xml:space="preserve">☐ </w:t>
      </w:r>
      <w:r>
        <w:t>Cada monto indica si es observado o estimado.</w:t>
      </w:r>
    </w:p>
    <w:p>
      <w:pPr>
        <w:spacing w:after="60"/>
        <w:ind w:left="142"/>
      </w:pPr>
      <w:r>
        <w:rPr>
          <w:b/>
          <w:color w:val="2F75B5"/>
        </w:rPr>
        <w:t xml:space="preserve">☐ </w:t>
      </w:r>
      <w:r>
        <w:t>Cada valor tiene unidad, fuente, evidencia, periodo y año de precios.</w:t>
      </w:r>
    </w:p>
    <w:p>
      <w:pPr>
        <w:spacing w:after="60"/>
        <w:ind w:left="142"/>
      </w:pPr>
      <w:r>
        <w:rPr>
          <w:b/>
          <w:color w:val="2F75B5"/>
        </w:rPr>
        <w:t xml:space="preserve">☐ </w:t>
      </w:r>
      <w:r>
        <w:t>Los valores bajo, central y alto están en orden.</w:t>
      </w:r>
    </w:p>
    <w:p>
      <w:pPr>
        <w:spacing w:after="60"/>
        <w:ind w:left="142"/>
      </w:pPr>
      <w:r>
        <w:rPr>
          <w:b/>
          <w:color w:val="2F75B5"/>
        </w:rPr>
        <w:t xml:space="preserve">☐ </w:t>
      </w:r>
      <w:r>
        <w:t>Los grupos de doble conteo fueron revisados.</w:t>
      </w:r>
    </w:p>
    <w:p>
      <w:pPr>
        <w:spacing w:after="60"/>
        <w:ind w:left="142"/>
      </w:pPr>
      <w:r>
        <w:rPr>
          <w:b/>
          <w:color w:val="2F75B5"/>
        </w:rPr>
        <w:t xml:space="preserve">☐ </w:t>
      </w:r>
      <w:r>
        <w:t>R y G permanecen separados del subtotal monetario.</w:t>
      </w:r>
    </w:p>
    <w:p>
      <w:pPr>
        <w:spacing w:after="60"/>
        <w:ind w:left="142"/>
      </w:pPr>
      <w:r>
        <w:rPr>
          <w:b/>
          <w:color w:val="2F75B5"/>
        </w:rPr>
        <w:t xml:space="preserve">☐ </w:t>
      </w:r>
      <w:r>
        <w:t>Los efectos no monetizados siguen visibles.</w:t>
      </w:r>
    </w:p>
    <w:p>
      <w:pPr>
        <w:spacing w:after="60"/>
        <w:ind w:left="142"/>
      </w:pPr>
      <w:r>
        <w:rPr>
          <w:b/>
          <w:color w:val="2F75B5"/>
        </w:rPr>
        <w:t xml:space="preserve">☐ </w:t>
      </w:r>
      <w:r>
        <w:t>La versión, fecha y personas responsables están registradas.</w:t>
      </w:r>
    </w:p>
    <w:p>
      <w:r>
        <w:br w:type="page"/>
      </w:r>
    </w:p>
    <w:p>
      <w:pPr>
        <w:pStyle w:val="Heading1"/>
      </w:pPr>
      <w:r>
        <w:t>8. Problemas frecuentes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3312"/>
            <w:shd w:fill="2F75B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6048"/>
            <w:shd w:fill="2F75B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Qué revisar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El resultado es cero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Cantidad, valor unitario, pérdida, años, nexo y evidencia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La línea es exploratoria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Evidencia D/E o comparabilidad baja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 línea está excluida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Nexo causal No o evidencia X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El subtotal no aparece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Autorización y controles de revisión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Hay una advertencia de pedigrí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Número de casos, estadístico, periodo y fuente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Hay posible doble conteo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Filas con el mismo grupo, especialmente A2, B y R</w:t>
            </w:r>
          </w:p>
        </w:tc>
      </w:tr>
    </w:tbl>
    <w:p>
      <w:pPr>
        <w:spacing w:after="0"/>
      </w:pPr>
    </w:p>
    <w:p>
      <w:pPr>
        <w:pStyle w:val="Heading1"/>
      </w:pPr>
      <w:r>
        <w:t>9. Reglas que nunca deben omitirse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No use el precio del mercado ilegal como valor ambiental.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No convierta UICN o CITES en multiplicadores monetarios.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No use el valor total de un ecosistema como precio de cada especie.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No sume A2 y R cuando sustituyen la misma unidad biológica.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No sume B y R por el mismo servicio restaurado.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No monetice riesgos que no se materializaron o no son atribuibles.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No oculte la incertidumbre: use rangos y explique los supuestos.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  <w:cantSplit/>
        </w:trPr>
        <w:tc>
          <w:tcPr>
            <w:tcW w:type="dxa" w:w="10200"/>
            <w:shd w:fill="D9EA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7365D"/>
              </w:rPr>
              <w:t xml:space="preserve">Datos DEMO: </w:t>
            </w:r>
            <w:r>
              <w:t>son ficticios y sirven únicamente para probar el funcionamiento de la aplicación.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