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40"/>
        <w:jc w:val="center"/>
      </w:pPr>
      <w:r>
        <w:t>Manual de uso de la plantilla VTC</w:t>
      </w:r>
    </w:p>
    <w:p>
      <w:pPr>
        <w:spacing w:before="160"/>
        <w:jc w:val="center"/>
      </w:pPr>
      <w:r>
        <w:rPr>
          <w:b/>
          <w:color w:val="548235"/>
          <w:sz w:val="30"/>
        </w:rPr>
        <w:t>Valoración técnicamente completa</w:t>
      </w:r>
    </w:p>
    <w:p>
      <w:pPr>
        <w:spacing w:before="480"/>
        <w:jc w:val="center"/>
      </w:pPr>
      <w:r>
        <w:rPr>
          <w:color w:val="666666"/>
          <w:sz w:val="22"/>
        </w:rPr>
        <w:t>Guía básica para completar el Excel después del hecho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</w:tblGrid>
      <w:tr>
        <w:trPr>
          <w:tblHeader w:val="true"/>
          <w:cantSplit/>
        </w:trPr>
        <w:tc>
          <w:tcPr>
            <w:tcW w:type="dxa" w:w="10200"/>
            <w:shd w:fill="E2F0D9"/>
            <w:tcMar>
              <w:top w:w="220" w:type="dxa"/>
              <w:start w:w="220" w:type="dxa"/>
              <w:bottom w:w="220" w:type="dxa"/>
              <w:end w:w="22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Objetivo: registrar el caso con orden, aplicar los cálculos y entender el resultado sin trabajar directamente con las fórmulas.</w:t>
            </w:r>
          </w:p>
        </w:tc>
      </w:tr>
    </w:tbl>
    <w:p>
      <w:pPr>
        <w:spacing w:before="720"/>
        <w:jc w:val="center"/>
      </w:pPr>
      <w:r>
        <w:rPr>
          <w:color w:val="666666"/>
          <w:sz w:val="18"/>
        </w:rPr>
        <w:t>Versión de septiembre de 2026</w:t>
      </w:r>
    </w:p>
    <w:p>
      <w:r>
        <w:br w:type="page"/>
      </w:r>
    </w:p>
    <w:p>
      <w:pPr>
        <w:pStyle w:val="Heading1"/>
      </w:pPr>
      <w:r>
        <w:t>1. Qué es la VTC</w:t>
      </w:r>
    </w:p>
    <w:p>
      <w:r>
        <w:t>La VTC es la reconstrucción técnica del daño después del hecho. Se prepara cuando ya existen datos finales o suficientemente completos sobre costos, duración del cuidado, resultados biológicos, restauración y seguimiento.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548235"/>
              </w:rPr>
              <w:t xml:space="preserve">Use esta plantilla cuando: </w:t>
            </w:r>
            <w:r>
              <w:t>pueda sustituir estimaciones preliminares por facturas, registros finales, resultados de liberación y datos de monitoreo.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C00000"/>
              </w:rPr>
              <w:t xml:space="preserve">La VTC no reemplaza la VEP anterior. </w:t>
            </w:r>
            <w:r>
              <w:t>Conserve la VEP como registro de la decisión tomada durante el proceso y guarde la VTC como una nueva versión.</w:t>
            </w:r>
          </w:p>
        </w:tc>
      </w:tr>
    </w:tbl>
    <w:p>
      <w:pPr>
        <w:spacing w:after="0"/>
      </w:pPr>
    </w:p>
    <w:p>
      <w:pPr>
        <w:pStyle w:val="Heading1"/>
      </w:pPr>
      <w:r>
        <w:t>2. Cómo reconocer las celdas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1728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Color</w:t>
            </w:r>
          </w:p>
        </w:tc>
        <w:tc>
          <w:tcPr>
            <w:tcW w:type="dxa" w:w="3312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4320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Qué hacer</w:t>
            </w:r>
          </w:p>
        </w:tc>
      </w:tr>
      <w:tr>
        <w:trPr>
          <w:cantSplit/>
        </w:trPr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Amarillo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Entrada del usuario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Escriba o seleccione un valor</w:t>
            </w:r>
          </w:p>
        </w:tc>
      </w:tr>
      <w:tr>
        <w:trPr>
          <w:cantSplit/>
        </w:trPr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Verde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Fórmula automática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No escriba sobre esta celda</w:t>
            </w:r>
          </w:p>
        </w:tc>
      </w:tr>
      <w:tr>
        <w:trPr>
          <w:cantSplit/>
        </w:trPr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Gris o azul</w:t>
            </w:r>
          </w:p>
        </w:tc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Título, guía o referencia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Úselo para orientarse</w:t>
            </w:r>
          </w:p>
        </w:tc>
      </w:tr>
    </w:tbl>
    <w:p>
      <w:pPr>
        <w:spacing w:after="0"/>
      </w:pPr>
    </w:p>
    <w:p>
      <w:pPr>
        <w:pStyle w:val="Heading1"/>
        <w:keepNext w:val="0"/>
      </w:pPr>
      <w:r>
        <w:t>3. Orden recomendado</w:t>
      </w:r>
    </w:p>
    <w:p>
      <w:pPr>
        <w:spacing w:after="60"/>
        <w:ind w:left="369" w:hanging="255"/>
      </w:pPr>
      <w:r>
        <w:rPr>
          <w:b/>
        </w:rPr>
        <w:t xml:space="preserve">1.  </w:t>
      </w:r>
      <w:r>
        <w:t>Lea la hoja INICIO.</w:t>
      </w:r>
    </w:p>
    <w:p>
      <w:pPr>
        <w:spacing w:after="60"/>
        <w:ind w:left="369" w:hanging="255"/>
      </w:pPr>
      <w:r>
        <w:rPr>
          <w:b/>
        </w:rPr>
        <w:t xml:space="preserve">2.  </w:t>
      </w:r>
      <w:r>
        <w:t>Complete la hoja CASO.</w:t>
      </w:r>
    </w:p>
    <w:p>
      <w:pPr>
        <w:spacing w:after="60"/>
        <w:ind w:left="369" w:hanging="255"/>
      </w:pPr>
      <w:r>
        <w:rPr>
          <w:b/>
        </w:rPr>
        <w:t xml:space="preserve">3.  </w:t>
      </w:r>
      <w:r>
        <w:t>Registre daños y costos en COMPONENTES.</w:t>
      </w:r>
    </w:p>
    <w:p>
      <w:pPr>
        <w:spacing w:after="60"/>
        <w:ind w:left="369" w:hanging="255"/>
      </w:pPr>
      <w:r>
        <w:rPr>
          <w:b/>
        </w:rPr>
        <w:t xml:space="preserve">4.  </w:t>
      </w:r>
      <w:r>
        <w:t>Registre servicios ecosistémicos en SERVICIOS_B.</w:t>
      </w:r>
    </w:p>
    <w:p>
      <w:pPr>
        <w:spacing w:after="60"/>
        <w:ind w:left="369" w:hanging="255"/>
      </w:pPr>
      <w:r>
        <w:rPr>
          <w:b/>
        </w:rPr>
        <w:t xml:space="preserve">5.  </w:t>
      </w:r>
      <w:r>
        <w:t>Complete GRAVEDAD y los efectos no monetizados.</w:t>
      </w:r>
    </w:p>
    <w:p>
      <w:pPr>
        <w:spacing w:after="60"/>
        <w:ind w:left="369" w:hanging="255"/>
      </w:pPr>
      <w:r>
        <w:rPr>
          <w:b/>
        </w:rPr>
        <w:t xml:space="preserve">6.  </w:t>
      </w:r>
      <w:r>
        <w:t>Termine los controles en REVISION.</w:t>
      </w:r>
    </w:p>
    <w:p>
      <w:pPr>
        <w:spacing w:after="60"/>
        <w:ind w:left="369" w:hanging="255"/>
      </w:pPr>
      <w:r>
        <w:rPr>
          <w:b/>
        </w:rPr>
        <w:t xml:space="preserve">7.  </w:t>
      </w:r>
      <w:r>
        <w:t>Lea y guarde el resultado en RESUMEN.</w:t>
      </w:r>
    </w:p>
    <w:p>
      <w:r>
        <w:br w:type="page"/>
      </w:r>
    </w:p>
    <w:p>
      <w:pPr>
        <w:pStyle w:val="Heading1"/>
      </w:pPr>
      <w:r>
        <w:t>4. Hoja CASO</w:t>
      </w:r>
    </w:p>
    <w:p>
      <w:r>
        <w:t>Esta hoja identifica la valoración y fija los supuestos comunes.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2088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20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Qué escribir</w:t>
            </w:r>
          </w:p>
        </w:tc>
        <w:tc>
          <w:tcPr>
            <w:tcW w:type="dxa" w:w="2952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Ejemplo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Expediente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Número o código oficial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EXP-2026-001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Autoridad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Institución responsable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Autoridad ambiental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Hecho y lugar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Descripción corta y ubicación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Extracción en bosque húmedo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Cadena causal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Hecho, receptor, cambio y consecuencia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Remoción -&gt; pérdida funcional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Moneda y año base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Unidad común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USD, precios de 2026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Tasa y horizonte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Supuestos aceptados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5 % y 10 años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Autorizar subtotal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Sí después de la revisión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 mientras esté incompleto</w:t>
            </w:r>
          </w:p>
        </w:tc>
      </w:tr>
    </w:tbl>
    <w:p>
      <w:pPr>
        <w:spacing w:after="0"/>
      </w:pPr>
    </w:p>
    <w:p>
      <w:pPr>
        <w:pStyle w:val="Heading1"/>
      </w:pPr>
      <w:r>
        <w:t>5. Hoja COMPONENTES</w:t>
      </w:r>
    </w:p>
    <w:p>
      <w:r>
        <w:t>Use una fila por componente A1, A2, C, D, E o R. Los servicios B se registran en su propia hoja.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1008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8352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rPr>
          <w:cantSplit/>
        </w:trPr>
        <w:tc>
          <w:tcPr>
            <w:tcW w:type="dxa" w:w="10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83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Asigne un ID y seleccione la cuenta.</w:t>
            </w:r>
          </w:p>
        </w:tc>
      </w:tr>
      <w:tr>
        <w:trPr>
          <w:cantSplit/>
        </w:trPr>
        <w:tc>
          <w:tcPr>
            <w:tcW w:type="dxa" w:w="10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83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Escriba el concepto, la unidad y el estado del dato.</w:t>
            </w:r>
          </w:p>
        </w:tc>
      </w:tr>
      <w:tr>
        <w:trPr>
          <w:cantSplit/>
        </w:trPr>
        <w:tc>
          <w:tcPr>
            <w:tcW w:type="dxa" w:w="10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83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Ingrese cantidades y valores unitarios bajo, central y alto.</w:t>
            </w:r>
          </w:p>
        </w:tc>
      </w:tr>
      <w:tr>
        <w:trPr>
          <w:cantSplit/>
        </w:trPr>
        <w:tc>
          <w:tcPr>
            <w:tcW w:type="dxa" w:w="10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83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Registre año, nexo, evidencia, fuente y grupo de doble conteo.</w:t>
            </w:r>
          </w:p>
        </w:tc>
      </w:tr>
      <w:tr>
        <w:trPr>
          <w:cantSplit/>
        </w:trPr>
        <w:tc>
          <w:tcPr>
            <w:tcW w:type="dxa" w:w="10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83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Revise la clasificación y el resultado calculado.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548235"/>
              </w:rPr>
              <w:t xml:space="preserve">Cálculo básico: </w:t>
            </w:r>
            <w:r>
              <w:t>cantidad x valor unitario, ajustado por el año desde el evento y la tasa indicada.</w:t>
            </w:r>
          </w:p>
        </w:tc>
      </w:tr>
    </w:tbl>
    <w:p>
      <w:pPr>
        <w:spacing w:after="0"/>
      </w:pPr>
    </w:p>
    <w:p>
      <w:pPr>
        <w:pStyle w:val="Heading2"/>
      </w:pPr>
      <w:r>
        <w:t>Clasificación de las filas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2592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Clasificación</w:t>
            </w:r>
          </w:p>
        </w:tc>
        <w:tc>
          <w:tcPr>
            <w:tcW w:type="dxa" w:w="6768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Principal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Tiene nexo causal y evidencia suficiente</w:t>
            </w:r>
          </w:p>
        </w:tc>
      </w:tr>
      <w:tr>
        <w:trPr>
          <w:cantSplit/>
        </w:trP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Exploratoria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Necesita más evidencia o una referencia mejor</w:t>
            </w:r>
          </w:p>
        </w:tc>
      </w:tr>
      <w:tr>
        <w:trPr>
          <w:cantSplit/>
        </w:trPr>
        <w:tc>
          <w:tcPr>
            <w:tcW w:type="dxa" w:w="25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Excluida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 tiene nexo o se marcó evidencia 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Hoja SERVICIOS_B</w:t>
      </w:r>
    </w:p>
    <w:p>
      <w:r>
        <w:t>Use una fila por servicio ecosistémico. La unidad afectada y la unidad del valor monetario deben ser compatibles.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2880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6480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Pregunta sencilla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Recurso o hábitat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¿Qué fue afectado?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Función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¿Qué función ecológica cambió?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Servicio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¿Qué beneficio final disminuyó?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Beneficiarios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¿Quién perdió ese beneficio?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Cantidad y pérdida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¿Cuánto se afectó?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Recuperación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¿Durante cuánto tiempo se pierde el servicio?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Valor unitario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¿Qué estudio o referencia aporta el valor?</w:t>
            </w:r>
          </w:p>
        </w:tc>
      </w:tr>
    </w:tbl>
    <w:p>
      <w:pPr>
        <w:spacing w:after="0"/>
      </w:pPr>
    </w:p>
    <w:p>
      <w:pPr>
        <w:pStyle w:val="Heading2"/>
      </w:pPr>
      <w:r>
        <w:t>Curvas de recuperación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2304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Opción</w:t>
            </w:r>
          </w:p>
        </w:tc>
        <w:tc>
          <w:tcPr>
            <w:tcW w:type="dxa" w:w="7056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Qué significa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Lineal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 pérdida disminuye gradualmente hasta la recuperación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Constante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La pérdida se mantiene durante el periodo indicado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Inmediata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 queda pérdida residual después de la medida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C00000"/>
              </w:rPr>
              <w:t xml:space="preserve">No fuerce un valor: </w:t>
            </w:r>
            <w:r>
              <w:t>si no puede demostrar la cadena del servicio, mantenga el efecto como no monetizado.</w:t>
            </w:r>
          </w:p>
        </w:tc>
      </w:tr>
    </w:tbl>
    <w:p>
      <w:pPr>
        <w:spacing w:after="0"/>
      </w:pPr>
    </w:p>
    <w:p>
      <w:pPr>
        <w:pStyle w:val="Heading1"/>
      </w:pPr>
      <w:r>
        <w:t>7. Hoja GRAVEDAD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Marque los factores G presentes.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Escriba la evidencia que respalda cada factor.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Registre debajo los efectos importantes que no pueden monetizarse.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convierta G en porcentaje o multiplicador monetario.</w:t>
      </w:r>
    </w:p>
    <w:p>
      <w:r>
        <w:t>Un efecto no desaparece porque no tenga precio. Registre su magnitud, unidad, fuente y razón para no monetizarlo.</w:t>
      </w:r>
    </w:p>
    <w:p>
      <w:r>
        <w:br w:type="page"/>
      </w:r>
    </w:p>
    <w:p>
      <w:pPr>
        <w:pStyle w:val="Heading1"/>
      </w:pPr>
      <w:r>
        <w:t>8. Hoja REVISION</w:t>
      </w:r>
    </w:p>
    <w:p>
      <w:r>
        <w:t>Marque Sí únicamente cuando el control esté realmente completo. Una celda vacía o un No seguirá apareciendo como pendiente.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2304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7056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Qué confirma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Biológica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Daño, línea base, población, recuperación y resultado final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Económica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Unidades, precios, moneda, año base, tasas y transferencias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Jurídica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Atribución, compatibilidad de cuentas y uso del resultado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Doble conteo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Que la misma pérdida no aparezca en varias filas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Aprobación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Nombre, decisión, fecha y observación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C00000"/>
              </w:rPr>
              <w:t xml:space="preserve">Revise con especial cuidado: </w:t>
            </w:r>
            <w:r>
              <w:t>A2, B y R pueden solaparse si representan la misma pérdida o el mismo beneficio restaurado.</w:t>
            </w:r>
          </w:p>
        </w:tc>
      </w:tr>
    </w:tbl>
    <w:p>
      <w:pPr>
        <w:spacing w:after="0"/>
      </w:pPr>
    </w:p>
    <w:p>
      <w:pPr>
        <w:pStyle w:val="Heading1"/>
      </w:pPr>
      <w:r>
        <w:t>9. Hoja RESUMEN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2520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Salida</w:t>
            </w:r>
          </w:p>
        </w:tc>
        <w:tc>
          <w:tcPr>
            <w:tcW w:type="dxa" w:w="6840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Cómo leerla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A1 a E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Resultados principales por cuenta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Restauración o equivalencia separada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Subtotal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Solo aparece si CASO autoriza la agregación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Exploratorio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Requiere más evidencia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Observado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Hechos y costos específicos del caso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Estimado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Referencias, transferencias o proyecciones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 y no monetizado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 consultan en la hoja GRAVEDAD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Estado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Muestra cuántos controles siguen pendientes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Revisión final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El caso y la cadena causal están completos.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Cada fila tiene cuenta, concepto y unidad.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Cada monto indica si es observado o estimado.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Cada valor tiene fuente, evidencia, periodo y año de precios.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Las cantidades y unidades monetarias son compatibles.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Los valores bajo, central y alto están en orden.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Los grupos de doble conteo fueron revisados.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R y G permanecen separados del subtotal monetario.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Las tres revisiones y las aprobaciones están registradas.</w:t>
      </w:r>
    </w:p>
    <w:p>
      <w:pPr>
        <w:spacing w:after="60"/>
        <w:ind w:left="142"/>
      </w:pPr>
      <w:r>
        <w:rPr>
          <w:b/>
          <w:color w:val="2F75B5"/>
        </w:rPr>
        <w:t xml:space="preserve">☐ </w:t>
      </w:r>
      <w:r>
        <w:t>El archivo se guardó como una nueva versión VTC.</w:t>
      </w:r>
    </w:p>
    <w:p>
      <w:pPr>
        <w:pStyle w:val="Heading1"/>
      </w:pPr>
      <w:r>
        <w:t>11. Problemas frecuentes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3312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6048"/>
            <w:shd w:fill="54823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Qué revisar</w:t>
            </w:r>
          </w:p>
        </w:tc>
      </w:tr>
      <w:tr>
        <w:trPr>
          <w:cantSplit/>
        </w:trPr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El resultado es cero</w:t>
            </w:r>
          </w:p>
        </w:tc>
        <w:tc>
          <w:tcPr>
            <w:tcW w:type="dxa" w:w="60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Cantidad, valor, año, nexo y evidencia</w:t>
            </w:r>
          </w:p>
        </w:tc>
      </w:tr>
      <w:tr>
        <w:trPr>
          <w:cantSplit/>
        </w:trPr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La fila es exploratoria</w:t>
            </w:r>
          </w:p>
        </w:tc>
        <w:tc>
          <w:tcPr>
            <w:tcW w:type="dxa" w:w="60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Evidencia D/E o comparabilidad baja</w:t>
            </w:r>
          </w:p>
        </w:tc>
      </w:tr>
      <w:tr>
        <w:trPr>
          <w:cantSplit/>
        </w:trPr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 fila está excluida</w:t>
            </w:r>
          </w:p>
        </w:tc>
        <w:tc>
          <w:tcPr>
            <w:tcW w:type="dxa" w:w="60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Nexo causal No o evidencia X</w:t>
            </w:r>
          </w:p>
        </w:tc>
      </w:tr>
      <w:tr>
        <w:trPr>
          <w:cantSplit/>
        </w:trPr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El subtotal no aparece</w:t>
            </w:r>
          </w:p>
        </w:tc>
        <w:tc>
          <w:tcPr>
            <w:tcW w:type="dxa" w:w="60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Autorización y controles de REVISION</w:t>
            </w:r>
          </w:p>
        </w:tc>
      </w:tr>
      <w:tr>
        <w:trPr>
          <w:cantSplit/>
        </w:trPr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Hay doble conteo</w:t>
            </w:r>
          </w:p>
        </w:tc>
        <w:tc>
          <w:tcPr>
            <w:tcW w:type="dxa" w:w="60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Grupos repetidos, especialmente A2, B y R</w:t>
            </w:r>
          </w:p>
        </w:tc>
      </w:tr>
      <w:tr>
        <w:trPr>
          <w:cantSplit/>
        </w:trPr>
        <w:tc>
          <w:tcPr>
            <w:tcW w:type="dxa" w:w="33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La fórmula cambió</w:t>
            </w:r>
          </w:p>
        </w:tc>
        <w:tc>
          <w:tcPr>
            <w:tcW w:type="dxa" w:w="60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sz w:val="17"/>
              </w:rPr>
              <w:t>Restaure la plantilla y escriba solo en amarillo</w:t>
            </w:r>
          </w:p>
        </w:tc>
      </w:tr>
    </w:tbl>
    <w:p>
      <w:pPr>
        <w:spacing w:after="0"/>
      </w:pPr>
    </w:p>
    <w:p>
      <w:pPr>
        <w:pStyle w:val="Heading1"/>
      </w:pPr>
      <w:r>
        <w:t>12. Reglas esenciales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use el precio del mercado ilegal como valor ambiental.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convierta UICN o CITES en multiplicadores monetarios.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cuente la misma pérdida en dos cuentas.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sume B y R por el mismo servicio restaurado.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borre efectos importantes solo porque no pueden monetizarse.</w:t>
      </w:r>
    </w:p>
    <w:p>
      <w:pPr>
        <w:spacing w:after="60"/>
        <w:ind w:left="369" w:hanging="255"/>
      </w:pPr>
      <w:r>
        <w:rPr>
          <w:b w:val="0"/>
        </w:rPr>
        <w:t xml:space="preserve">•  </w:t>
      </w:r>
      <w:r>
        <w:t>No escriba sobre las celdas verdes de fórmula.</w:t>
      </w:r>
    </w:p>
    <w:sectPr w:rsidR="00FC693F" w:rsidRPr="0006063C" w:rsidSect="00034616">
      <w:footerReference w:type="default" r:id="rId9"/>
      <w:pgSz w:w="12240" w:h="15840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4823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