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40"/>
        <w:jc w:val="center"/>
      </w:pPr>
      <w:r>
        <w:t>Manual de uso de la plantilla VDTC</w:t>
      </w:r>
    </w:p>
    <w:p>
      <w:pPr>
        <w:spacing w:before="160"/>
        <w:jc w:val="center"/>
      </w:pPr>
      <w:r>
        <w:rPr>
          <w:b/>
          <w:color w:val="548235"/>
          <w:sz w:val="30"/>
        </w:rPr>
        <w:t>Valoración técnicamente completa</w:t>
      </w:r>
    </w:p>
    <w:p>
      <w:pPr>
        <w:spacing w:before="480"/>
        <w:jc w:val="center"/>
      </w:pPr>
      <w:r>
        <w:rPr>
          <w:color w:val="666666"/>
          <w:sz w:val="22"/>
        </w:rPr>
        <w:t>Guía básica para completar el Excel después del hecho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</w:tblGrid>
      <w:tr>
        <w:trPr>
          <w:tblHeader w:val="true"/>
          <w:cantSplit/>
        </w:trPr>
        <w:tc>
          <w:tcPr>
            <w:tcW w:type="dxa" w:w="10200"/>
            <w:shd w:fill="E2F0D9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Objetivo: registrar el caso con orden, aplicar los cálculos y entender el resultado sin trabajar directamente con las fórmulas.</w:t>
            </w:r>
          </w:p>
        </w:tc>
      </w:tr>
    </w:tbl>
    <w:p>
      <w:pPr>
        <w:spacing w:before="720"/>
        <w:jc w:val="center"/>
      </w:pPr>
      <w:r>
        <w:rPr>
          <w:color w:val="666666"/>
          <w:sz w:val="18"/>
        </w:rPr>
        <w:t>Versión de septiembre de 2026</w:t>
      </w:r>
    </w:p>
    <w:p>
      <w:r>
        <w:br w:type="page"/>
      </w:r>
    </w:p>
    <w:p>
      <w:pPr>
        <w:pStyle w:val="Heading1"/>
      </w:pPr>
      <w:r>
        <w:t>1. Qué es la VDTC</w:t>
      </w:r>
    </w:p>
    <w:p>
      <w:r>
        <w:t>La VDTC es la reconstrucción técnica del daño después del hecho. Se prepara cuando ya existen datos finales o suficientemente completos sobre costos, duración del cuidado, resultados biológicos, restauración y seguimiento.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  <w:cantSplit/>
        </w:trPr>
        <w:tc>
          <w:tcPr>
            <w:tcW w:type="dxa" w:w="10200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548235"/>
              </w:rPr>
              <w:t xml:space="preserve">Use esta plantilla cuando: </w:t>
            </w:r>
            <w:r>
              <w:t>pueda sustituir estimaciones preliminares por facturas, registros finales, resultados de liberación y datos de monitoreo.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  <w:cantSplit/>
        </w:trPr>
        <w:tc>
          <w:tcPr>
            <w:tcW w:type="dxa" w:w="10200"/>
            <w:shd w:fill="FFF2C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C00000"/>
              </w:rPr>
              <w:t xml:space="preserve">La VDTC no reemplaza la VDEP anterior. </w:t>
            </w:r>
            <w:r>
              <w:t>Conserve la VDEP como registro de la decisión tomada durante el proceso y guarde la VDTC como una nueva versión.</w:t>
            </w:r>
          </w:p>
        </w:tc>
      </w:tr>
    </w:tbl>
    <w:p>
      <w:pPr>
        <w:spacing w:after="0"/>
      </w:pPr>
    </w:p>
    <w:p>
      <w:pPr>
        <w:pStyle w:val="Heading1"/>
      </w:pPr>
      <w:r>
        <w:t>2. Cómo reconocer las celdas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28"/>
            <w:shd w:fill="5482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Color</w:t>
            </w:r>
          </w:p>
        </w:tc>
        <w:tc>
          <w:tcPr>
            <w:tcW w:type="dxa" w:w="3312"/>
            <w:shd w:fill="5482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4320"/>
            <w:shd w:fill="5482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Qué hacer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Amarillo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Entrada del usuario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Escriba o seleccione un valor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Verde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Fórmula automática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No escriba sobre esta celda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Gris o azul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Título, guía o referencia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Úselo para orientarse</w:t>
            </w:r>
          </w:p>
        </w:tc>
      </w:tr>
    </w:tbl>
    <w:p>
      <w:pPr>
        <w:spacing w:after="0"/>
      </w:pPr>
    </w:p>
    <w:p>
      <w:pPr>
        <w:pStyle w:val="Heading1"/>
        <w:keepNext w:val="0"/>
      </w:pPr>
      <w:r>
        <w:t>3. Orden recomendado</w:t>
      </w:r>
    </w:p>
    <w:p>
      <w:pPr>
        <w:spacing w:after="60"/>
        <w:ind w:left="369" w:hanging="255"/>
      </w:pPr>
      <w:r>
        <w:rPr>
          <w:b/>
        </w:rPr>
        <w:t xml:space="preserve">1.  </w:t>
      </w:r>
      <w:r>
        <w:t>Lea la hoja INICIO.</w:t>
      </w:r>
    </w:p>
    <w:p>
      <w:pPr>
        <w:spacing w:after="60"/>
        <w:ind w:left="369" w:hanging="255"/>
      </w:pPr>
      <w:r>
        <w:rPr>
          <w:b/>
        </w:rPr>
        <w:t xml:space="preserve">2.  </w:t>
      </w:r>
      <w:r>
        <w:t>Complete la hoja CASO.</w:t>
      </w:r>
    </w:p>
    <w:p>
      <w:pPr>
        <w:spacing w:after="60"/>
        <w:ind w:left="369" w:hanging="255"/>
      </w:pPr>
      <w:r>
        <w:rPr>
          <w:b/>
        </w:rPr>
        <w:t xml:space="preserve">3.  </w:t>
      </w:r>
      <w:r>
        <w:t>Registre daños y costos en COMPONENTES.</w:t>
      </w:r>
    </w:p>
    <w:p>
      <w:pPr>
        <w:spacing w:after="60"/>
        <w:ind w:left="369" w:hanging="255"/>
      </w:pPr>
      <w:r>
        <w:rPr>
          <w:b/>
        </w:rPr>
        <w:t xml:space="preserve">4.  </w:t>
      </w:r>
      <w:r>
        <w:t>Registre servicios ecosistémicos en SERVICIOS_B.</w:t>
      </w:r>
    </w:p>
    <w:p>
      <w:pPr>
        <w:spacing w:after="60"/>
        <w:ind w:left="369" w:hanging="255"/>
      </w:pPr>
      <w:r>
        <w:rPr>
          <w:b/>
        </w:rPr>
        <w:t xml:space="preserve">5.  </w:t>
      </w:r>
      <w:r>
        <w:t>Complete GRAVEDAD y los efectos no monetizados.</w:t>
      </w:r>
    </w:p>
    <w:p>
      <w:pPr>
        <w:spacing w:after="60"/>
        <w:ind w:left="369" w:hanging="255"/>
      </w:pPr>
      <w:r>
        <w:rPr>
          <w:b/>
        </w:rPr>
        <w:t xml:space="preserve">6.  </w:t>
      </w:r>
      <w:r>
        <w:t>Marque las multas aplicables en MULTAS_7317.</w:t>
      </w:r>
    </w:p>
    <w:p>
      <w:pPr>
        <w:spacing w:after="60"/>
        <w:ind w:left="369" w:hanging="255"/>
      </w:pPr>
      <w:r>
        <w:rPr>
          <w:b/>
        </w:rPr>
        <w:t xml:space="preserve">7.  </w:t>
      </w:r>
      <w:r>
        <w:t>Termine los controles en REVISION.</w:t>
      </w:r>
    </w:p>
    <w:p>
      <w:pPr>
        <w:spacing w:after="60"/>
        <w:ind w:left="369" w:hanging="255"/>
      </w:pPr>
      <w:r>
        <w:rPr>
          <w:b/>
        </w:rPr>
        <w:t xml:space="preserve">8.  </w:t>
      </w:r>
      <w:r>
        <w:t>Lea y guarde el resultado en RESUMEN.</w:t>
      </w:r>
    </w:p>
    <w:p>
      <w:r>
        <w:br w:type="page"/>
      </w:r>
    </w:p>
    <w:p>
      <w:pPr>
        <w:pStyle w:val="Heading1"/>
      </w:pPr>
      <w:r>
        <w:t>4. Hoja CASO</w:t>
      </w:r>
    </w:p>
    <w:p>
      <w:r>
        <w:t>Esta hoja identifica la valoración y fija los supuestos comunes.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088"/>
            <w:shd w:fill="5482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320"/>
            <w:shd w:fill="5482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Qué escribir</w:t>
            </w:r>
          </w:p>
        </w:tc>
        <w:tc>
          <w:tcPr>
            <w:tcW w:type="dxa" w:w="2952"/>
            <w:shd w:fill="5482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Ejemplo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Expediente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Número o código oficial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EXP-2026-001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Autoridad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Institución responsable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Autoridad ambiental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Hecho y lugar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Descripción corta y ubicación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Extracción en bosque húmedo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Cadena causal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Hecho, receptor, cambio y consecuencia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Remoción -&gt; pérdida funcional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Moneda y año base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Unidad común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CRC, precios de 2026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Tasa y horizonte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Supuestos aceptados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5 % y 10 años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Autorizar subtotal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Sí después de la revisión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mientras esté incompleto</w:t>
            </w:r>
          </w:p>
        </w:tc>
      </w:tr>
    </w:tbl>
    <w:p>
      <w:pPr>
        <w:spacing w:after="0"/>
      </w:pPr>
    </w:p>
    <w:p>
      <w:pPr>
        <w:pStyle w:val="Heading1"/>
      </w:pPr>
      <w:r>
        <w:t>5. Hoja COMPONENTES</w:t>
      </w:r>
    </w:p>
    <w:p>
      <w:r>
        <w:t>Use una fila por componente A1, A2, C, D, E o R. Los servicios B se registran en su propia hoja.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008"/>
            <w:shd w:fill="5482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8352"/>
            <w:shd w:fill="5482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Acción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Asigne un ID y seleccione la cuenta.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Escriba el concepto, la unidad y el estado del dato.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Ingrese cantidades y valores unitarios bajo, central y alto.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Registre año, nexo, evidencia, fuente y grupo de doble conteo.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Revise la clasificación y el resultado calculado.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  <w:cantSplit/>
        </w:trPr>
        <w:tc>
          <w:tcPr>
            <w:tcW w:type="dxa" w:w="10200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548235"/>
              </w:rPr>
              <w:t xml:space="preserve">Cálculo básico: </w:t>
            </w:r>
            <w:r>
              <w:t>cantidad x valor unitario, ajustado por el año desde el evento y la tasa indicada.</w:t>
            </w:r>
          </w:p>
        </w:tc>
      </w:tr>
    </w:tbl>
    <w:p>
      <w:pPr>
        <w:spacing w:after="0"/>
      </w:pPr>
    </w:p>
    <w:p>
      <w:pPr>
        <w:pStyle w:val="Heading2"/>
      </w:pPr>
      <w:r>
        <w:t>Clasificación de las filas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592"/>
            <w:shd w:fill="5482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Clasificación</w:t>
            </w:r>
          </w:p>
        </w:tc>
        <w:tc>
          <w:tcPr>
            <w:tcW w:type="dxa" w:w="6768"/>
            <w:shd w:fill="5482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Principal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Tiene nexo causal y evidencia suficiente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Exploratoria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Necesita más evidencia o una referencia mejor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Excluida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tiene nexo o se marcó evidencia X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Hoja SERVICIOS_B</w:t>
      </w:r>
    </w:p>
    <w:p>
      <w:r>
        <w:t>Use una fila por servicio ecosistémico. La unidad afectada y la unidad del valor monetario deben ser compatibles.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80"/>
            <w:shd w:fill="5482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6480"/>
            <w:shd w:fill="5482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Pregunta sencilla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Recurso o hábitat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¿Qué fue afectado?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Función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¿Qué función ecológica cambió?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Servicio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¿Qué beneficio final disminuyó?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Beneficiarios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¿Quién perdió ese beneficio?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Cantidad y pérdida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¿Cuánto se afectó?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Recuperación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¿Durante cuánto tiempo se pierde el servicio?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Valor unitario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¿Qué estudio o referencia aporta el valor?</w:t>
            </w:r>
          </w:p>
        </w:tc>
      </w:tr>
    </w:tbl>
    <w:p>
      <w:pPr>
        <w:spacing w:after="0"/>
      </w:pPr>
    </w:p>
    <w:p>
      <w:pPr>
        <w:pStyle w:val="Heading2"/>
      </w:pPr>
      <w:r>
        <w:t>Curvas de recuperación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04"/>
            <w:shd w:fill="5482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Opción</w:t>
            </w:r>
          </w:p>
        </w:tc>
        <w:tc>
          <w:tcPr>
            <w:tcW w:type="dxa" w:w="7056"/>
            <w:shd w:fill="5482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Qué significa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Lineal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 pérdida disminuye gradualmente hasta la recuperación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Constante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La pérdida se mantiene durante el periodo indicado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Inmediata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queda pérdida residual después de la medida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  <w:cantSplit/>
        </w:trPr>
        <w:tc>
          <w:tcPr>
            <w:tcW w:type="dxa" w:w="10200"/>
            <w:shd w:fill="FFF2C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C00000"/>
              </w:rPr>
              <w:t xml:space="preserve">No fuerce un valor: </w:t>
            </w:r>
            <w:r>
              <w:t>si no puede demostrar la cadena del servicio, mantenga el efecto como no monetizado.</w:t>
            </w:r>
          </w:p>
        </w:tc>
      </w:tr>
    </w:tbl>
    <w:p>
      <w:pPr>
        <w:spacing w:after="0"/>
      </w:pPr>
    </w:p>
    <w:p>
      <w:pPr>
        <w:pStyle w:val="Heading1"/>
      </w:pPr>
      <w:r>
        <w:t>7. Hoja GRAVEDAD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Marque los factores G presentes.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Escriba la evidencia que respalda cada factor.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Registre debajo los efectos importantes que no pueden monetizarse.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No convierta G en porcentaje o multiplicador monetario.</w:t>
      </w:r>
    </w:p>
    <w:p>
      <w:r>
        <w:t>Un efecto no desaparece porque no tenga precio. Registre su magnitud, unidad, fuente y razón para no monetizarlo.</w:t>
      </w:r>
    </w:p>
    <w:p>
      <w:r>
        <w:br w:type="page"/>
      </w:r>
    </w:p>
    <w:p>
      <w:pPr>
        <w:pStyle w:val="Heading1"/>
      </w:pPr>
      <w:r>
        <w:t>8. Hoja MULTAS_7317</w:t>
      </w:r>
    </w:p>
    <w:p>
      <w:r>
        <w:t>Esta hoja registra las penas de multa de la Ley N.° 7317. No las use como multiplicador del daño ambiental. El libro las calcula por separado y las incorpora únicamente al total final.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008"/>
            <w:shd w:fill="5482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8352"/>
            <w:shd w:fill="5482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Qué hacer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Confirme el salario base y el año en la parte superior.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En SELECCIONAR, cambie ☐ No por ☑ Sí solo en la conducta confirmada por la revisión jurídica.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Revise el mínimo y máximo de salarios base.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Ajuste SB APLICADOS para el escenario central.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Si ya existe una sentencia o monto firme, escríbalo en MONTO FIRME CRC.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Escriba observaciones del caso y revise otras consecuencias como comiso o pérdida de equipo.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  <w:cantSplit/>
        </w:trPr>
        <w:tc>
          <w:tcPr>
            <w:tcW w:type="dxa" w:w="10200"/>
            <w:shd w:fill="FFF2C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C00000"/>
              </w:rPr>
              <w:t xml:space="preserve">Si la moneda del caso no es CRC: </w:t>
            </w:r>
            <w:r>
              <w:t>escriba cuántos colones equivalen a una unidad de esa moneda. Sin una conversión válida, no debe combinar las multas con el resto del resultado.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  <w:cantSplit/>
        </w:trPr>
        <w:tc>
          <w:tcPr>
            <w:tcW w:type="dxa" w:w="10200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548235"/>
              </w:rPr>
              <w:t xml:space="preserve">Si marca varias multas: </w:t>
            </w:r>
            <w:r>
              <w:t>el Excel las suma aritméticamente. La revisión jurídica debe confirmar si son acumulables, alternativas a prisión o desplazadas por una infracción más grave.</w:t>
            </w:r>
          </w:p>
        </w:tc>
      </w:tr>
    </w:tbl>
    <w:p>
      <w:pPr>
        <w:spacing w:after="0"/>
      </w:pPr>
    </w:p>
    <w:p>
      <w:pPr>
        <w:pStyle w:val="Heading1"/>
      </w:pPr>
      <w:r>
        <w:t>9. Hoja REVISION</w:t>
      </w:r>
    </w:p>
    <w:p>
      <w:r>
        <w:t>Marque Sí únicamente cuando el control esté realmente completo. Una celda vacía o un No seguirá apareciendo como pendiente.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04"/>
            <w:shd w:fill="5482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Revisión</w:t>
            </w:r>
          </w:p>
        </w:tc>
        <w:tc>
          <w:tcPr>
            <w:tcW w:type="dxa" w:w="7056"/>
            <w:shd w:fill="5482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Qué confirma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Biológica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Daño, línea base, población, recuperación y resultado final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Económica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Unidades, precios, moneda, año base, tasas y transferencias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Jurídica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Atribución, compatibilidad de cuentas y uso del resultado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Doble conteo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Que la misma pérdida no aparezca en varias filas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Aprobación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Nombre, decisión, fecha y observación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  <w:cantSplit/>
        </w:trPr>
        <w:tc>
          <w:tcPr>
            <w:tcW w:type="dxa" w:w="10200"/>
            <w:shd w:fill="FFF2C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C00000"/>
              </w:rPr>
              <w:t xml:space="preserve">Revise con especial cuidado: </w:t>
            </w:r>
            <w:r>
              <w:t>A2, B y R pueden solaparse si representan la misma pérdida o el mismo beneficio restaurado.</w:t>
            </w:r>
          </w:p>
        </w:tc>
      </w:tr>
    </w:tbl>
    <w:p>
      <w:pPr>
        <w:spacing w:after="0"/>
      </w:pPr>
    </w:p>
    <w:p>
      <w:pPr>
        <w:pStyle w:val="Heading1"/>
      </w:pPr>
      <w:r>
        <w:t>10. Hoja RESUMEN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520"/>
            <w:shd w:fill="5482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Salida</w:t>
            </w:r>
          </w:p>
        </w:tc>
        <w:tc>
          <w:tcPr>
            <w:tcW w:type="dxa" w:w="6840"/>
            <w:shd w:fill="5482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Cómo leerla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A1 a E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Resultados principales por cuenta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R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Restauración o equivalencia separada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Subtotal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Solo aparece si CASO autoriza la agregación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Exploratorio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Requiere más evidencia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Observado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Hechos y costos específicos del caso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Estimado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Referencias, transferencias o proyecciones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 y no monetizado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 consultan en la hoja GRAVEDAD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Multas Ley 7317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Se muestran separadas del daño y la restauración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Total final con multas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Total compatible VDTC más las multas seleccionadas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Estado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Muestra cuántos controles siguen pendientes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Revisión final</w:t>
      </w:r>
    </w:p>
    <w:p>
      <w:pPr>
        <w:spacing w:after="60"/>
        <w:ind w:left="142"/>
      </w:pPr>
      <w:r>
        <w:rPr>
          <w:b/>
          <w:color w:val="2F75B5"/>
        </w:rPr>
        <w:t xml:space="preserve">☐ </w:t>
      </w:r>
      <w:r>
        <w:t>El caso y la cadena causal están completos.</w:t>
      </w:r>
    </w:p>
    <w:p>
      <w:pPr>
        <w:spacing w:after="60"/>
        <w:ind w:left="142"/>
      </w:pPr>
      <w:r>
        <w:rPr>
          <w:b/>
          <w:color w:val="2F75B5"/>
        </w:rPr>
        <w:t xml:space="preserve">☐ </w:t>
      </w:r>
      <w:r>
        <w:t>Cada fila tiene cuenta, concepto y unidad.</w:t>
      </w:r>
    </w:p>
    <w:p>
      <w:pPr>
        <w:spacing w:after="60"/>
        <w:ind w:left="142"/>
      </w:pPr>
      <w:r>
        <w:rPr>
          <w:b/>
          <w:color w:val="2F75B5"/>
        </w:rPr>
        <w:t xml:space="preserve">☐ </w:t>
      </w:r>
      <w:r>
        <w:t>Cada monto indica si es observado o estimado.</w:t>
      </w:r>
    </w:p>
    <w:p>
      <w:pPr>
        <w:spacing w:after="60"/>
        <w:ind w:left="142"/>
      </w:pPr>
      <w:r>
        <w:rPr>
          <w:b/>
          <w:color w:val="2F75B5"/>
        </w:rPr>
        <w:t xml:space="preserve">☐ </w:t>
      </w:r>
      <w:r>
        <w:t>Cada valor tiene fuente, evidencia, periodo y año de precios.</w:t>
      </w:r>
    </w:p>
    <w:p>
      <w:pPr>
        <w:spacing w:after="60"/>
        <w:ind w:left="142"/>
      </w:pPr>
      <w:r>
        <w:rPr>
          <w:b/>
          <w:color w:val="2F75B5"/>
        </w:rPr>
        <w:t xml:space="preserve">☐ </w:t>
      </w:r>
      <w:r>
        <w:t>Las cantidades y unidades monetarias son compatibles.</w:t>
      </w:r>
    </w:p>
    <w:p>
      <w:pPr>
        <w:spacing w:after="60"/>
        <w:ind w:left="142"/>
      </w:pPr>
      <w:r>
        <w:rPr>
          <w:b/>
          <w:color w:val="2F75B5"/>
        </w:rPr>
        <w:t xml:space="preserve">☐ </w:t>
      </w:r>
      <w:r>
        <w:t>Los valores bajo, central y alto están en orden.</w:t>
      </w:r>
    </w:p>
    <w:p>
      <w:pPr>
        <w:spacing w:after="60"/>
        <w:ind w:left="142"/>
      </w:pPr>
      <w:r>
        <w:rPr>
          <w:b/>
          <w:color w:val="2F75B5"/>
        </w:rPr>
        <w:t xml:space="preserve">☐ </w:t>
      </w:r>
      <w:r>
        <w:t>Los grupos de doble conteo fueron revisados.</w:t>
      </w:r>
    </w:p>
    <w:p>
      <w:pPr>
        <w:spacing w:after="60"/>
        <w:ind w:left="142"/>
      </w:pPr>
      <w:r>
        <w:rPr>
          <w:b/>
          <w:color w:val="2F75B5"/>
        </w:rPr>
        <w:t xml:space="preserve">☐ </w:t>
      </w:r>
      <w:r>
        <w:t>R y G permanecen separados del subtotal monetario.</w:t>
      </w:r>
    </w:p>
    <w:p>
      <w:pPr>
        <w:spacing w:after="60"/>
        <w:ind w:left="142"/>
      </w:pPr>
      <w:r>
        <w:rPr>
          <w:b/>
          <w:color w:val="2F75B5"/>
        </w:rPr>
        <w:t xml:space="preserve">☐ </w:t>
      </w:r>
      <w:r>
        <w:t>Las multas seleccionadas fueron confirmadas jurídicamente y usan el salario base correcto.</w:t>
      </w:r>
    </w:p>
    <w:p>
      <w:pPr>
        <w:spacing w:after="60"/>
        <w:ind w:left="142"/>
      </w:pPr>
      <w:r>
        <w:rPr>
          <w:b/>
          <w:color w:val="2F75B5"/>
        </w:rPr>
        <w:t xml:space="preserve">☐ </w:t>
      </w:r>
      <w:r>
        <w:t>El tipo de cambio está completo cuando la moneda del caso no es CRC.</w:t>
      </w:r>
    </w:p>
    <w:p>
      <w:pPr>
        <w:spacing w:after="60"/>
        <w:ind w:left="142"/>
      </w:pPr>
      <w:r>
        <w:rPr>
          <w:b/>
          <w:color w:val="2F75B5"/>
        </w:rPr>
        <w:t xml:space="preserve">☐ </w:t>
      </w:r>
      <w:r>
        <w:t>Las tres revisiones y las aprobaciones están registradas.</w:t>
      </w:r>
    </w:p>
    <w:p>
      <w:pPr>
        <w:spacing w:after="60"/>
        <w:ind w:left="142"/>
      </w:pPr>
      <w:r>
        <w:rPr>
          <w:b/>
          <w:color w:val="2F75B5"/>
        </w:rPr>
        <w:t xml:space="preserve">☐ </w:t>
      </w:r>
      <w:r>
        <w:t>El archivo se guardó como una nueva versión VDTC.</w:t>
      </w:r>
    </w:p>
    <w:p>
      <w:pPr>
        <w:pStyle w:val="Heading1"/>
      </w:pPr>
      <w:r>
        <w:t>12. Problemas frecuentes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3312"/>
            <w:shd w:fill="5482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6048"/>
            <w:shd w:fill="5482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Qué revisar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El resultado es cero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Cantidad, valor, año, nexo y evidencia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La fila es exploratoria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Evidencia D/E o comparabilidad baja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 fila está excluida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Nexo causal No o evidencia X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El subtotal no aparece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Autorización y controles de REVISION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 multa no se suma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Selección, salario base, moneda y tipo de cambio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La multa central es incorrecta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SB APLICADOS o MONTO FIRME CRC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Hay doble conteo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Grupos repetidos, especialmente A2, B y R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La fórmula cambió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Restaure la plantilla y escriba solo en amarillo</w:t>
            </w:r>
          </w:p>
        </w:tc>
      </w:tr>
    </w:tbl>
    <w:p>
      <w:pPr>
        <w:spacing w:after="0"/>
      </w:pPr>
    </w:p>
    <w:p>
      <w:pPr>
        <w:pStyle w:val="Heading1"/>
      </w:pPr>
      <w:r>
        <w:t>13. Reglas esenciales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No use el precio del mercado ilegal como valor ambiental.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No convierta UICN o CITES en multiplicadores monetarios.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No cuente la misma pérdida en dos cuentas.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No sume B y R por el mismo servicio restaurado.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No use la multa como precio de la especie ni como multiplicador del daño.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No seleccione una multa sin revisión jurídica del artículo aplicable.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No asuma que varias multas son acumulables solo porque el Excel las sumó.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No borre efectos importantes solo porque no pueden monetizarse.</w:t>
      </w:r>
    </w:p>
    <w:p>
      <w:pPr>
        <w:spacing w:after="60"/>
        <w:ind w:left="369" w:hanging="255"/>
      </w:pPr>
      <w:r>
        <w:rPr>
          <w:b w:val="0"/>
        </w:rPr>
        <w:t xml:space="preserve">•  </w:t>
      </w:r>
      <w:r>
        <w:t>No escriba sobre las celdas verdes de fórmula.</w:t>
      </w:r>
    </w:p>
    <w:sectPr w:rsidR="00FC693F" w:rsidRPr="0006063C" w:rsidSect="00034616">
      <w:footerReference w:type="default" r:id="rId9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4823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