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t>Manual de uso de la calculadora VDEP</w:t>
      </w:r>
    </w:p>
    <w:p>
      <w:pPr>
        <w:spacing w:before="200"/>
        <w:jc w:val="center"/>
      </w:pPr>
      <w:r>
        <w:rPr>
          <w:b/>
          <w:color w:val="147D80"/>
          <w:sz w:val="30"/>
        </w:rPr>
        <w:t>Guía básica para usar la aplicación durante un expediente abierto</w:t>
      </w:r>
    </w:p>
    <w:p>
      <w:pPr>
        <w:spacing w:before="560"/>
        <w:jc w:val="center"/>
      </w:pPr>
      <w:r>
        <w:rPr>
          <w:sz w:val="22"/>
        </w:rPr>
        <w:t>Para personal técnico, administrativo y jurídico</w:t>
      </w:r>
    </w:p>
    <w:p>
      <w:pPr>
        <w:spacing w:before="880"/>
        <w:jc w:val="center"/>
      </w:pPr>
      <w:r>
        <w:rPr>
          <w:b/>
          <w:sz w:val="24"/>
        </w:rPr>
        <w:t>La aplicación permite registrar información monetaria y no monetaria, calcular un rango bajo, central y alto, y conservar las fuentes y advertencias del caso.</w:t>
      </w:r>
    </w:p>
    <w:p>
      <w:pPr>
        <w:spacing w:before="840"/>
        <w:jc w:val="center"/>
      </w:pPr>
      <w:r>
        <w:rPr>
          <w:sz w:val="18"/>
        </w:rPr>
        <w:t>Versión con los nueve ejemplos del Producto 2.1.2 · septiembre de 2026</w:t>
      </w:r>
    </w:p>
    <w:p>
      <w:r>
        <w:br w:type="page"/>
      </w:r>
    </w:p>
    <w:p>
      <w:pPr>
        <w:pStyle w:val="Heading1"/>
      </w:pPr>
      <w:r>
        <w:t>1 Qué hace la calculadora</w:t>
      </w:r>
    </w:p>
    <w:p>
      <w:r>
        <w:t>La VDEP es una valoración preparada mientras el expediente sigue abierto. Puede combinar datos observados con referencias o estimaciones claramente identificadas. La aplicación conserva los hechos, los datos físicos, las notas y los componentes que sí pueden expresarse en dinero.</w:t>
      </w:r>
    </w:p>
    <w:p>
      <w:r>
        <w:rPr>
          <w:b/>
        </w:rPr>
        <w:t xml:space="preserve">Advertencia sobre los ejemplos. </w:t>
      </w:r>
      <w:r>
        <w:t>El Producto 2.1.2 indica que todos los hechos, montos, tamaños de muestra y parámetros numéricos de sus nueve ejemplos son ficticios. Sirven para aprender y probar la herramienta. No son tarifas oficiales.</w:t>
      </w:r>
    </w:p>
    <w:p>
      <w:pPr>
        <w:pStyle w:val="Heading1"/>
      </w:pPr>
      <w:r>
        <w:t>2 Prueba rápida</w:t>
      </w:r>
    </w:p>
    <w:p>
      <w:pPr>
        <w:spacing w:after="40"/>
        <w:ind w:left="369" w:hanging="255"/>
      </w:pPr>
      <w:r>
        <w:rPr>
          <w:b/>
        </w:rPr>
        <w:t xml:space="preserve">1.  </w:t>
      </w:r>
      <w:r>
        <w:t>En la barra lateral, abra Caso del Producto 2.1.2.</w:t>
      </w:r>
    </w:p>
    <w:p>
      <w:pPr>
        <w:spacing w:after="40"/>
        <w:ind w:left="369" w:hanging="255"/>
      </w:pPr>
      <w:r>
        <w:rPr>
          <w:b/>
        </w:rPr>
        <w:t xml:space="preserve">2.  </w:t>
      </w:r>
      <w:r>
        <w:t>Seleccione cualquiera de los nueve ejemplos.</w:t>
      </w:r>
    </w:p>
    <w:p>
      <w:pPr>
        <w:spacing w:after="40"/>
        <w:ind w:left="369" w:hanging="255"/>
      </w:pPr>
      <w:r>
        <w:rPr>
          <w:b/>
        </w:rPr>
        <w:t xml:space="preserve">3.  </w:t>
      </w:r>
      <w:r>
        <w:t>Pulse Cargar ejemplo aplicado.</w:t>
      </w:r>
    </w:p>
    <w:p>
      <w:pPr>
        <w:spacing w:after="40"/>
        <w:ind w:left="369" w:hanging="255"/>
      </w:pPr>
      <w:r>
        <w:rPr>
          <w:b/>
        </w:rPr>
        <w:t xml:space="preserve">4.  </w:t>
      </w:r>
      <w:r>
        <w:t>Revise las pestañas de la 1 a la 6.</w:t>
      </w:r>
    </w:p>
    <w:p>
      <w:pPr>
        <w:spacing w:after="40"/>
        <w:ind w:left="369" w:hanging="255"/>
      </w:pPr>
      <w:r>
        <w:rPr>
          <w:b/>
        </w:rPr>
        <w:t xml:space="preserve">5.  </w:t>
      </w:r>
      <w:r>
        <w:t>En Resultado VDEP, compruebe que el cálculo coincide con el rango publicado.</w:t>
      </w:r>
    </w:p>
    <w:p>
      <w:pPr>
        <w:spacing w:after="40"/>
        <w:ind w:left="369" w:hanging="255"/>
      </w:pPr>
      <w:r>
        <w:rPr>
          <w:b/>
        </w:rPr>
        <w:t xml:space="preserve">6.  </w:t>
      </w:r>
      <w:r>
        <w:t>Pulse Limpiar caso antes de iniciar otro ejercicio.</w:t>
      </w:r>
    </w:p>
    <w:p>
      <w:r>
        <w:rPr>
          <w:b/>
        </w:rPr>
        <w:t xml:space="preserve">No necesita escribir los valores del ejemplo. </w:t>
      </w:r>
      <w:r>
        <w:t>El Excel los carga automáticamente. Puede cambiar cualquier dato para observar cómo cambia el resultado.</w:t>
      </w:r>
    </w:p>
    <w:p>
      <w:pPr>
        <w:pStyle w:val="Heading1"/>
      </w:pPr>
      <w:r>
        <w:t>3 Casos disponibles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Ejemplo</w:t>
            </w:r>
          </w:p>
        </w:tc>
        <w:tc>
          <w:tcPr>
            <w:tcW w:type="dxa" w:w="5328"/>
            <w:vAlign w:val="center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3024"/>
            <w:vAlign w:val="center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Rango VDEP en CRC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3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Dos pericos vivos en rehabilitación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₡400.000 – ₡580.000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3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Primate no liberable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₡31.040.000 – ₡41.758.000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3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Lapa reproductora muerta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₡9.520.000 – ₡15.845.000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53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400 huevos de tortuga marina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₡5.200.000 – ₡9.200.000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53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150 m² de coral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₡8.970.000 – ₡12.750.000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53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50 orquídeas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₡2.950.000 – ₡4.050.000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53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Árbol nido y dos polluelos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₡6.075.000 – ₡11.025.000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53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Paquete con fauna pequeña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₡3.750.000 – ₡5.350.000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53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Ocho aves y 0,6 ha de manglar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₡12.580.000 – ₡18.470.000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 Cómo completar las pestañas</w:t>
      </w:r>
    </w:p>
    <w:p>
      <w:pPr>
        <w:pStyle w:val="Heading2"/>
      </w:pPr>
      <w:r>
        <w:t>Pestaña 1 Expediente</w:t>
      </w:r>
    </w:p>
    <w:p>
      <w:pPr>
        <w:pStyle w:val="ListBullet"/>
        <w:spacing w:after="40"/>
      </w:pPr>
      <w:r>
        <w:t>Revise el código del caso, la autoridad, la ubicación y la conducta.</w:t>
      </w:r>
    </w:p>
    <w:p>
      <w:pPr>
        <w:pStyle w:val="ListBullet"/>
        <w:spacing w:after="40"/>
      </w:pPr>
      <w:r>
        <w:t>Confirme la moneda. Los nueve ejemplos están en CRC.</w:t>
      </w:r>
    </w:p>
    <w:p>
      <w:pPr>
        <w:pStyle w:val="ListBullet"/>
        <w:spacing w:after="40"/>
      </w:pPr>
      <w:r>
        <w:t>Escriba la versión y la persona o equipo responsable.</w:t>
      </w:r>
    </w:p>
    <w:p>
      <w:pPr>
        <w:pStyle w:val="ListBullet"/>
        <w:spacing w:after="40"/>
      </w:pPr>
      <w:r>
        <w:t>Autorice el total únicamente después de revisar causalidad, incertidumbre y doble conteo.</w:t>
      </w:r>
    </w:p>
    <w:p>
      <w:pPr>
        <w:pStyle w:val="Heading2"/>
      </w:pPr>
      <w:r>
        <w:t>Pestaña 2 Hecho y receptor</w:t>
      </w:r>
    </w:p>
    <w:p>
      <w:r>
        <w:t>Lea la cadena causal: qué ocurrió, qué fue afectado, cuál era la situación sin el hecho, qué cambio se produjo y qué consecuencia debe valorarse. Debajo aparece el inventario de vida silvestre y la tabla de variables biofísicas y no monetarias del ejemplo.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552"/>
            <w:vAlign w:val="center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Qué significa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Hecho probado</w:t>
            </w:r>
          </w:p>
        </w:tc>
        <w:tc>
          <w:tcPr>
            <w:tcW w:type="dxa" w:w="65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Lo que el expediente permite afirmar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  <w:jc w:val="center"/>
            </w:pPr>
            <w:r>
              <w:rPr>
                <w:sz w:val="17"/>
              </w:rPr>
              <w:t>Receptor</w:t>
            </w:r>
          </w:p>
        </w:tc>
        <w:tc>
          <w:tcPr>
            <w:tcW w:type="dxa" w:w="65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Individuo, lote, población o hábitat afectado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Línea base</w:t>
            </w:r>
          </w:p>
        </w:tc>
        <w:tc>
          <w:tcPr>
            <w:tcW w:type="dxa" w:w="65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Lo que habría ocurrido sin el hecho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  <w:jc w:val="center"/>
            </w:pPr>
            <w:r>
              <w:rPr>
                <w:sz w:val="17"/>
              </w:rPr>
              <w:t>Cambio</w:t>
            </w:r>
          </w:p>
        </w:tc>
        <w:tc>
          <w:tcPr>
            <w:tcW w:type="dxa" w:w="65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Muerte, lesión, ausencia, pérdida reproductiva o daño de hábitat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Consecuencia</w:t>
            </w:r>
          </w:p>
        </w:tc>
        <w:tc>
          <w:tcPr>
            <w:tcW w:type="dxa" w:w="65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Costo, pérdida ecológica, rescate o restauración necesaria</w:t>
            </w:r>
          </w:p>
        </w:tc>
      </w:tr>
    </w:tbl>
    <w:p>
      <w:pPr>
        <w:spacing w:after="20"/>
      </w:pPr>
    </w:p>
    <w:p>
      <w:pPr>
        <w:pStyle w:val="Heading2"/>
      </w:pPr>
      <w:r>
        <w:t>Pestaña 3 Servicios</w:t>
      </w:r>
    </w:p>
    <w:p>
      <w:r>
        <w:t>Use esta pestaña cuando pueda demostrar el vínculo entre el recurso afectado, la función ecológica, el servicio, los beneficiarios y el periodo de pérdida. Si ese vínculo no existe, conserve el efecto como información no monetaria.</w:t>
      </w:r>
    </w:p>
    <w:p>
      <w:r>
        <w:rPr>
          <w:b/>
        </w:rPr>
        <w:t xml:space="preserve">En los ejemplos cargados, </w:t>
      </w:r>
      <w:r>
        <w:t>los componentes B exactos se encuentran en la pestaña de costos para reproducir el rango del anexo sin recalcularlo dos veces.</w:t>
      </w:r>
    </w:p>
    <w:p>
      <w:r>
        <w:br w:type="page"/>
      </w:r>
    </w:p>
    <w:p>
      <w:pPr>
        <w:pStyle w:val="Heading2"/>
      </w:pPr>
      <w:r>
        <w:t>Pestaña 4 Costos y reparación</w:t>
      </w:r>
    </w:p>
    <w:p>
      <w:r>
        <w:t>Cada fila es un componente monetario. Puede editar cantidades, valores y fuentes.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552"/>
            <w:vAlign w:val="center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Cuenta</w:t>
            </w:r>
          </w:p>
        </w:tc>
        <w:tc>
          <w:tcPr>
            <w:tcW w:type="dxa" w:w="65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Identifica B, C, D, E o R y otras cuentas disponibles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  <w:jc w:val="center"/>
            </w:pPr>
            <w:r>
              <w:rPr>
                <w:sz w:val="17"/>
              </w:rPr>
              <w:t>Base de cálculo</w:t>
            </w:r>
          </w:p>
        </w:tc>
        <w:tc>
          <w:tcPr>
            <w:tcW w:type="dxa" w:w="65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Explica la ecuación o el fundamento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Bajo central alto</w:t>
            </w:r>
          </w:p>
        </w:tc>
        <w:tc>
          <w:tcPr>
            <w:tcW w:type="dxa" w:w="65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Hace visible la incertidumbre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  <w:jc w:val="center"/>
            </w:pPr>
            <w:r>
              <w:rPr>
                <w:sz w:val="17"/>
              </w:rPr>
              <w:t>Estado</w:t>
            </w:r>
          </w:p>
        </w:tc>
        <w:tc>
          <w:tcPr>
            <w:tcW w:type="dxa" w:w="65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Distingue lo observado de lo estimado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Fuente</w:t>
            </w:r>
          </w:p>
        </w:tc>
        <w:tc>
          <w:tcPr>
            <w:tcW w:type="dxa" w:w="65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Permite ubicar el ejemplo o la prueba del expediente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  <w:jc w:val="center"/>
            </w:pPr>
            <w:r>
              <w:rPr>
                <w:sz w:val="17"/>
              </w:rPr>
              <w:t>Notas</w:t>
            </w:r>
          </w:p>
        </w:tc>
        <w:tc>
          <w:tcPr>
            <w:tcW w:type="dxa" w:w="65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Conserva exclusiones y condiciones</w:t>
            </w:r>
          </w:p>
        </w:tc>
      </w:tr>
    </w:tbl>
    <w:p>
      <w:pPr>
        <w:spacing w:after="20"/>
      </w:pPr>
    </w:p>
    <w:p>
      <w:pPr>
        <w:pStyle w:val="Heading1"/>
      </w:pPr>
      <w:r>
        <w:t>5 Revisión y resultado</w:t>
      </w:r>
    </w:p>
    <w:p>
      <w:pPr>
        <w:pStyle w:val="Heading2"/>
      </w:pPr>
      <w:r>
        <w:t>Pestaña 5 Gravedad y revisión</w:t>
      </w:r>
    </w:p>
    <w:p>
      <w:pPr>
        <w:pStyle w:val="ListBullet"/>
        <w:spacing w:after="40"/>
      </w:pPr>
      <w:r>
        <w:t>Registre factores de gravedad solo cuando exista evidencia.</w:t>
      </w:r>
    </w:p>
    <w:p>
      <w:pPr>
        <w:pStyle w:val="ListBullet"/>
        <w:spacing w:after="40"/>
      </w:pPr>
      <w:r>
        <w:t>No convierta la gravedad en porcentaje o multiplicador.</w:t>
      </w:r>
    </w:p>
    <w:p>
      <w:pPr>
        <w:pStyle w:val="ListBullet"/>
        <w:spacing w:after="40"/>
      </w:pPr>
      <w:r>
        <w:t>Confirme que revisó la cadena causal.</w:t>
      </w:r>
    </w:p>
    <w:p>
      <w:pPr>
        <w:pStyle w:val="ListBullet"/>
        <w:spacing w:after="40"/>
      </w:pPr>
      <w:r>
        <w:t>Confirme que los rangos y las estimaciones están visibles.</w:t>
      </w:r>
    </w:p>
    <w:p>
      <w:pPr>
        <w:pStyle w:val="ListBullet"/>
        <w:spacing w:after="40"/>
      </w:pPr>
      <w:r>
        <w:t>Confirme que no se contó dos veces la misma pérdida.</w:t>
      </w:r>
    </w:p>
    <w:p>
      <w:pPr>
        <w:pStyle w:val="Heading2"/>
      </w:pPr>
      <w:r>
        <w:t>Pestaña 6 Resultado VDEP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3096"/>
            <w:vAlign w:val="center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Salida</w:t>
            </w:r>
          </w:p>
        </w:tc>
        <w:tc>
          <w:tcPr>
            <w:tcW w:type="dxa" w:w="6336"/>
            <w:vAlign w:val="center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Cómo leerla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Subtotal de daños</w:t>
            </w:r>
          </w:p>
        </w:tc>
        <w:tc>
          <w:tcPr>
            <w:tcW w:type="dxa" w:w="63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Suma A1+A2+B+C+D+E, sin 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type="dxa" w:w="63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Reparación, restauración o equivalencia mostrada por separado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Total compatible VDEP</w:t>
            </w:r>
          </w:p>
        </w:tc>
        <w:tc>
          <w:tcPr>
            <w:tcW w:type="dxa" w:w="63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Subtotal más R después de revisar compatibilidad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  <w:jc w:val="center"/>
            </w:pPr>
            <w:r>
              <w:rPr>
                <w:sz w:val="17"/>
              </w:rPr>
              <w:t>Bajo central alto</w:t>
            </w:r>
          </w:p>
        </w:tc>
        <w:tc>
          <w:tcPr>
            <w:tcW w:type="dxa" w:w="63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Rango monetario; no escoger solo una cifra sin explicar el rango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Observado</w:t>
            </w:r>
          </w:p>
        </w:tc>
        <w:tc>
          <w:tcPr>
            <w:tcW w:type="dxa" w:w="63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Componentes sustentados directamente por el expediente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  <w:jc w:val="center"/>
            </w:pPr>
            <w:r>
              <w:rPr>
                <w:sz w:val="17"/>
              </w:rPr>
              <w:t>Estimado</w:t>
            </w:r>
          </w:p>
        </w:tc>
        <w:tc>
          <w:tcPr>
            <w:tcW w:type="dxa" w:w="63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Base histórica, transferencia, programa comparable o supuesto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Exploratorio</w:t>
            </w:r>
          </w:p>
        </w:tc>
        <w:tc>
          <w:tcPr>
            <w:tcW w:type="dxa" w:w="63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Dato que necesita mejor evidencia y no entra al resultado principal</w:t>
            </w:r>
          </w:p>
        </w:tc>
      </w:tr>
    </w:tbl>
    <w:p>
      <w:pPr>
        <w:spacing w:after="20"/>
      </w:pPr>
    </w:p>
    <w:p>
      <w:r>
        <w:rPr>
          <w:b/>
        </w:rPr>
        <w:t xml:space="preserve">Comprobación del ejemplo. </w:t>
      </w:r>
      <w:r>
        <w:t>Si no modificó los datos, la aplicación mostrará que el cálculo reproduce exactamente el rango publicado. Si edita una fila, mostrará que el caso ya no coincide con el anexo.</w:t>
      </w:r>
    </w:p>
    <w:p>
      <w:pPr>
        <w:pStyle w:val="Heading1"/>
      </w:pPr>
      <w:r>
        <w:t>6 Guardar el trabajo</w:t>
      </w:r>
    </w:p>
    <w:p>
      <w:pPr>
        <w:spacing w:after="40"/>
        <w:ind w:left="369" w:hanging="255"/>
      </w:pPr>
      <w:r>
        <w:rPr>
          <w:b/>
        </w:rPr>
        <w:t xml:space="preserve">1.  </w:t>
      </w:r>
      <w:r>
        <w:t>Descargue el informe Excel.</w:t>
      </w:r>
    </w:p>
    <w:p>
      <w:pPr>
        <w:spacing w:after="40"/>
        <w:ind w:left="369" w:hanging="255"/>
      </w:pPr>
      <w:r>
        <w:rPr>
          <w:b/>
        </w:rPr>
        <w:t xml:space="preserve">2.  </w:t>
      </w:r>
      <w:r>
        <w:t>Descargue el archivo JSON.</w:t>
      </w:r>
    </w:p>
    <w:p>
      <w:pPr>
        <w:spacing w:after="40"/>
        <w:ind w:left="369" w:hanging="255"/>
      </w:pPr>
      <w:r>
        <w:rPr>
          <w:b/>
        </w:rPr>
        <w:t xml:space="preserve">3.  </w:t>
      </w:r>
      <w:r>
        <w:t>Guarde los dos archivos con el número de expediente y la fecha.</w:t>
      </w:r>
    </w:p>
    <w:p>
      <w:pPr>
        <w:spacing w:after="40"/>
        <w:ind w:left="369" w:hanging="255"/>
      </w:pPr>
      <w:r>
        <w:rPr>
          <w:b/>
        </w:rPr>
        <w:t xml:space="preserve">4.  </w:t>
      </w:r>
      <w:r>
        <w:t>Descargue antes de cerrar o actualizar la página; la app no guarda el caso automáticamente en GitHub.</w:t>
      </w:r>
    </w:p>
    <w:p>
      <w:pPr>
        <w:pStyle w:val="Heading1"/>
      </w:pPr>
      <w:r>
        <w:t>7 Cómo pasar de un ejemplo a un caso nuevo</w:t>
      </w:r>
    </w:p>
    <w:p>
      <w:pPr>
        <w:spacing w:after="40"/>
        <w:ind w:left="369" w:hanging="255"/>
      </w:pPr>
      <w:r>
        <w:rPr>
          <w:b/>
        </w:rPr>
        <w:t xml:space="preserve">1.  </w:t>
      </w:r>
      <w:r>
        <w:t>Pulse Limpiar caso.</w:t>
      </w:r>
    </w:p>
    <w:p>
      <w:pPr>
        <w:spacing w:after="40"/>
        <w:ind w:left="369" w:hanging="255"/>
      </w:pPr>
      <w:r>
        <w:rPr>
          <w:b/>
        </w:rPr>
        <w:t xml:space="preserve">2.  </w:t>
      </w:r>
      <w:r>
        <w:t>Complete el expediente y la cadena causal.</w:t>
      </w:r>
    </w:p>
    <w:p>
      <w:pPr>
        <w:spacing w:after="40"/>
        <w:ind w:left="369" w:hanging="255"/>
      </w:pPr>
      <w:r>
        <w:rPr>
          <w:b/>
        </w:rPr>
        <w:t xml:space="preserve">3.  </w:t>
      </w:r>
      <w:r>
        <w:t>Añada receptores, servicios y costos desde los selectores o escriba filas manuales.</w:t>
      </w:r>
    </w:p>
    <w:p>
      <w:pPr>
        <w:spacing w:after="40"/>
        <w:ind w:left="369" w:hanging="255"/>
      </w:pPr>
      <w:r>
        <w:rPr>
          <w:b/>
        </w:rPr>
        <w:t xml:space="preserve">4.  </w:t>
      </w:r>
      <w:r>
        <w:t>Sustituya cada dato didáctico por información del expediente o una fuente validada.</w:t>
      </w:r>
    </w:p>
    <w:p>
      <w:pPr>
        <w:spacing w:after="40"/>
        <w:ind w:left="369" w:hanging="255"/>
      </w:pPr>
      <w:r>
        <w:rPr>
          <w:b/>
        </w:rPr>
        <w:t xml:space="preserve">5.  </w:t>
      </w:r>
      <w:r>
        <w:t>Revise las tres confirmaciones y autorice el total solo si las cuentas son compatibles.</w:t>
      </w:r>
    </w:p>
    <w:p>
      <w:pPr>
        <w:spacing w:after="40"/>
        <w:ind w:left="369" w:hanging="255"/>
      </w:pPr>
      <w:r>
        <w:rPr>
          <w:b/>
        </w:rPr>
        <w:t xml:space="preserve">6.  </w:t>
      </w:r>
      <w:r>
        <w:t>Descargue el resultado y conserve la versión utilizada.</w:t>
      </w:r>
    </w:p>
    <w:p>
      <w:r>
        <w:rPr>
          <w:b/>
        </w:rPr>
        <w:t xml:space="preserve">Usuario normal. </w:t>
      </w:r>
      <w:r>
        <w:t>No necesita editar el Excel para trabajar un expediente.</w:t>
      </w:r>
    </w:p>
    <w:p>
      <w:r>
        <w:rPr>
          <w:b/>
        </w:rPr>
        <w:t xml:space="preserve">Persona administradora. </w:t>
      </w:r>
      <w:r>
        <w:t>Puede actualizar los catálogos o ejemplos sustituyendo el Excel de la carpeta data, siempre que mantenga el mismo nombre, las mismas hojas y los mismos encabezados.</w:t>
      </w:r>
    </w:p>
    <w:p>
      <w:pPr>
        <w:pStyle w:val="Heading1"/>
      </w:pPr>
      <w:r>
        <w:t>8 Problemas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3384"/>
            <w:vAlign w:val="center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6048"/>
            <w:vAlign w:val="center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Qué revisar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aparecen casos</w:t>
            </w:r>
          </w:p>
        </w:tc>
        <w:tc>
          <w:tcPr>
            <w:tcW w:type="dxa" w:w="60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Que el Excel contenga CASOS_VDEP, RECEPTORES_VDEP y COSTOS_REFERENCIA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  <w:jc w:val="center"/>
            </w:pPr>
            <w:r>
              <w:rPr>
                <w:sz w:val="17"/>
              </w:rPr>
              <w:t>El total no aparece</w:t>
            </w:r>
          </w:p>
        </w:tc>
        <w:tc>
          <w:tcPr>
            <w:tcW w:type="dxa" w:w="60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Autorizar el total y completar las tres revisiones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El caso no coincide</w:t>
            </w:r>
          </w:p>
        </w:tc>
        <w:tc>
          <w:tcPr>
            <w:tcW w:type="dxa" w:w="60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Alguna cantidad, valor, evidencia o cuenta fue editada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  <w:jc w:val="center"/>
            </w:pPr>
            <w:r>
              <w:rPr>
                <w:sz w:val="17"/>
              </w:rPr>
              <w:t>Una línea es exploratoria</w:t>
            </w:r>
          </w:p>
        </w:tc>
        <w:tc>
          <w:tcPr>
            <w:tcW w:type="dxa" w:w="60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Evidencia D o E, o comparabilidad baja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Una línea está excluida</w:t>
            </w:r>
          </w:p>
        </w:tc>
        <w:tc>
          <w:tcPr>
            <w:tcW w:type="dxa" w:w="60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Nexo causal No o evidencia X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  <w:jc w:val="center"/>
            </w:pPr>
            <w:r>
              <w:rPr>
                <w:sz w:val="17"/>
              </w:rPr>
              <w:t>El resultado es cero</w:t>
            </w:r>
          </w:p>
        </w:tc>
        <w:tc>
          <w:tcPr>
            <w:tcW w:type="dxa" w:w="60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4F5F6"/>
          </w:tcPr>
          <w:p>
            <w:pPr>
              <w:spacing w:after="0"/>
            </w:pPr>
            <w:r>
              <w:rPr>
                <w:sz w:val="17"/>
              </w:rPr>
              <w:t>Cantidad, valor, pérdida, evidencia y nexo causal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Hay posible doble conteo</w:t>
            </w:r>
          </w:p>
        </w:tc>
        <w:tc>
          <w:tcPr>
            <w:tcW w:type="dxa" w:w="60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Revisar especialmente A2, B y R</w:t>
            </w:r>
          </w:p>
        </w:tc>
      </w:tr>
    </w:tbl>
    <w:p>
      <w:pPr>
        <w:spacing w:after="20"/>
      </w:pPr>
    </w:p>
    <w:p>
      <w:pPr>
        <w:pStyle w:val="Heading1"/>
      </w:pPr>
      <w:r>
        <w:t>9 Reglas esenciales</w:t>
      </w:r>
    </w:p>
    <w:p>
      <w:pPr>
        <w:pStyle w:val="ListBullet"/>
        <w:spacing w:after="40"/>
      </w:pPr>
      <w:r>
        <w:t>No use el precio del mercado ilegal como valor ambiental.</w:t>
      </w:r>
    </w:p>
    <w:p>
      <w:pPr>
        <w:pStyle w:val="ListBullet"/>
        <w:spacing w:after="40"/>
      </w:pPr>
      <w:r>
        <w:t>No convierta UICN o CITES en multiplicadores monetarios.</w:t>
      </w:r>
    </w:p>
    <w:p>
      <w:pPr>
        <w:pStyle w:val="ListBullet"/>
        <w:spacing w:after="40"/>
      </w:pPr>
      <w:r>
        <w:t>No use el valor total de un ecosistema como precio de cada especie.</w:t>
      </w:r>
    </w:p>
    <w:p>
      <w:pPr>
        <w:pStyle w:val="ListBullet"/>
        <w:spacing w:after="40"/>
      </w:pPr>
      <w:r>
        <w:t>No sume dos componentes que representan la misma reparación.</w:t>
      </w:r>
    </w:p>
    <w:p>
      <w:pPr>
        <w:pStyle w:val="ListBullet"/>
        <w:spacing w:after="40"/>
      </w:pPr>
      <w:r>
        <w:t>No invente una Cuenta B si no existe un servicio demostrable.</w:t>
      </w:r>
    </w:p>
    <w:p>
      <w:pPr>
        <w:pStyle w:val="ListBullet"/>
        <w:spacing w:after="40"/>
      </w:pPr>
      <w:r>
        <w:t>No oculte la incertidumbre ni los efectos no monetizados.</w:t>
      </w:r>
    </w:p>
    <w:p>
      <w:pPr>
        <w:spacing w:before="160"/>
      </w:pPr>
      <w:r>
        <w:rPr>
          <w:b/>
        </w:rPr>
        <w:t xml:space="preserve">Fuente de los casos: </w:t>
      </w:r>
      <w:r>
        <w:t>Producto 2.1.2, Anexo técnico de ejemplos aplicados de Valoración del Daño para Efectos Procesales, septiembre de 2026, pp. 3–23.</w:t>
      </w:r>
    </w:p>
    <w:sectPr w:rsidR="00FC693F" w:rsidRPr="0006063C" w:rsidSect="00034616">
      <w:footerReference w:type="default" r:id="rId9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Manual VDEP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