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stainable_income_strategies_ai_era"/>
    <w:p>
      <w:pPr>
        <w:pStyle w:val="Heading1"/>
      </w:pPr>
      <w:r>
        <w:t xml:space="preserve">sustainable_income_strategies_ai_era</w:t>
      </w:r>
    </w:p>
    <w:bookmarkEnd w:id="20"/>
    <w:bookmarkStart w:id="28" w:name="X9ef38c4704ea955cc482dfafa2ba8451d445825"/>
    <w:p>
      <w:pPr>
        <w:pStyle w:val="Heading1"/>
      </w:pPr>
      <w:r>
        <w:t xml:space="preserve">SUSTAINABLE INCOME STRATEGIES FOR AI-ERA TECH PROFESSIONALS COMPLETE</w:t>
      </w:r>
    </w:p>
    <w:bookmarkStart w:id="21" w:name="execution-summary"/>
    <w:p>
      <w:pPr>
        <w:pStyle w:val="Heading2"/>
      </w:pPr>
      <w:r>
        <w:t xml:space="preserve">Execution Summary</w:t>
      </w:r>
    </w:p>
    <w:p>
      <w:pPr>
        <w:pStyle w:val="FirstParagraph"/>
      </w:pPr>
      <w:r>
        <w:t xml:space="preserve">Conducted comprehensive research on sustainable income generation for Principal/CTO level professionals in the AI era. Analyzed 30+ market studies, platform opportunities, and successful case studies to develop a complete framework for building 6-figure+ sustainable income while positioning as an AI transformation leader rather than an AI replacement target.</w:t>
      </w:r>
    </w:p>
    <w:bookmarkEnd w:id="21"/>
    <w:bookmarkStart w:id="22" w:name="key-findings"/>
    <w:p>
      <w:pPr>
        <w:pStyle w:val="Heading2"/>
      </w:pPr>
      <w:r>
        <w:t xml:space="preserve">Key Findings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Multi-Agent Systems Opportunity</w:t>
      </w:r>
      <w:r>
        <w:t xml:space="preserve">: Perfect timing with 44.8% CAGR market growth ($5.1B → $47.1B by 2030), low competition, and user’s current learning focus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 Consulting Rates</w:t>
      </w:r>
      <w:r>
        <w:t xml:space="preserve">: AI strategy consulting commands $300-$500/hour, fractional CTO services average $166K+ annually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Sustainable Income Potential</w:t>
      </w:r>
      <w:r>
        <w:t xml:space="preserve">: Realistic $300K-$1M+ annual income through diversified streams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AI-Era Positioning</w:t>
      </w:r>
      <w:r>
        <w:t xml:space="preserve">: Strategic framework to transform AI concerns into competitive advantages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Market Timing</w:t>
      </w:r>
      <w:r>
        <w:t xml:space="preserve">: Early-stage opportunity in fastest-growing AI segment</w:t>
      </w:r>
    </w:p>
    <w:bookmarkEnd w:id="22"/>
    <w:bookmarkStart w:id="23" w:name="sustainable-income-streams-identified"/>
    <w:p>
      <w:pPr>
        <w:pStyle w:val="Heading2"/>
      </w:pPr>
      <w:r>
        <w:t xml:space="preserve">7 Sustainable Income Streams Identified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Strategy Consulting</w:t>
      </w:r>
      <w:r>
        <w:t xml:space="preserve"> </w:t>
      </w:r>
      <w:r>
        <w:t xml:space="preserve">- $300-$500/hour, targeting 10-15 hours/week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Fractional CTO Services</w:t>
      </w:r>
      <w:r>
        <w:t xml:space="preserve"> </w:t>
      </w:r>
      <w:r>
        <w:t xml:space="preserve">- $166K+ annually, 2-3 client potential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Multi-Agent Systems Expertise</w:t>
      </w:r>
      <w:r>
        <w:t xml:space="preserve"> </w:t>
      </w:r>
      <w:r>
        <w:t xml:space="preserve">- $350-$500/hour premium rates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Technical Advisory Boards</w:t>
      </w:r>
      <w:r>
        <w:t xml:space="preserve"> </w:t>
      </w:r>
      <w:r>
        <w:t xml:space="preserve">- $10K-$50K + 0.21% equity per board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Thought Leadership &amp; Speaking</w:t>
      </w:r>
      <w:r>
        <w:t xml:space="preserve"> </w:t>
      </w:r>
      <w:r>
        <w:t xml:space="preserve">- $5K-$50K per engagement + content monetization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Digital Products &amp; Courses</w:t>
      </w:r>
      <w:r>
        <w:t xml:space="preserve"> </w:t>
      </w:r>
      <w:r>
        <w:t xml:space="preserve">- $10K-$50K/month recurring revenue potential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 Platform Presence</w:t>
      </w:r>
      <w:r>
        <w:t xml:space="preserve"> </w:t>
      </w:r>
      <w:r>
        <w:t xml:space="preserve">- $200-$400/hour through specialized networks</w:t>
      </w:r>
    </w:p>
    <w:bookmarkEnd w:id="23"/>
    <w:bookmarkStart w:id="24" w:name="research-methodology"/>
    <w:p>
      <w:pPr>
        <w:pStyle w:val="Heading2"/>
      </w:pPr>
      <w:r>
        <w:t xml:space="preserve">Research Methodology</w:t>
      </w:r>
    </w:p>
    <w:p>
      <w:pPr>
        <w:numPr>
          <w:ilvl w:val="0"/>
          <w:numId w:val="1003"/>
        </w:numPr>
        <w:pStyle w:val="Compact"/>
      </w:pPr>
      <w:r>
        <w:t xml:space="preserve">Analyzed market growth data for AI and multi-agent systems sectors</w:t>
      </w:r>
    </w:p>
    <w:p>
      <w:pPr>
        <w:numPr>
          <w:ilvl w:val="0"/>
          <w:numId w:val="1003"/>
        </w:numPr>
        <w:pStyle w:val="Compact"/>
      </w:pPr>
      <w:r>
        <w:t xml:space="preserve">Researched compensation data from salary aggregators and industry reports</w:t>
      </w:r>
    </w:p>
    <w:p>
      <w:pPr>
        <w:numPr>
          <w:ilvl w:val="0"/>
          <w:numId w:val="1003"/>
        </w:numPr>
        <w:pStyle w:val="Compact"/>
      </w:pPr>
      <w:r>
        <w:t xml:space="preserve">Identified successful case studies of CTO-level professionals building sustainable income</w:t>
      </w:r>
    </w:p>
    <w:p>
      <w:pPr>
        <w:numPr>
          <w:ilvl w:val="0"/>
          <w:numId w:val="1003"/>
        </w:numPr>
        <w:pStyle w:val="Compact"/>
      </w:pPr>
      <w:r>
        <w:t xml:space="preserve">Evaluated platform opportunities and monetization strategies</w:t>
      </w:r>
    </w:p>
    <w:p>
      <w:pPr>
        <w:numPr>
          <w:ilvl w:val="0"/>
          <w:numId w:val="1003"/>
        </w:numPr>
        <w:pStyle w:val="Compact"/>
      </w:pPr>
      <w:r>
        <w:t xml:space="preserve">Cross-verified premium consulting rates across multiple sources</w:t>
      </w:r>
    </w:p>
    <w:p>
      <w:pPr>
        <w:numPr>
          <w:ilvl w:val="0"/>
          <w:numId w:val="1003"/>
        </w:numPr>
        <w:pStyle w:val="Compact"/>
      </w:pPr>
      <w:r>
        <w:t xml:space="preserve">Developed AI-resistance positioning strategies based on market trends</w:t>
      </w:r>
    </w:p>
    <w:bookmarkEnd w:id="24"/>
    <w:bookmarkStart w:id="25" w:name="implementation-framework"/>
    <w:p>
      <w:pPr>
        <w:pStyle w:val="Heading2"/>
      </w:pPr>
      <w:r>
        <w:t xml:space="preserve">Implementation Framework</w:t>
      </w:r>
    </w:p>
    <w:p>
      <w:pPr>
        <w:pStyle w:val="FirstParagraph"/>
      </w:pPr>
      <w:r>
        <w:t xml:space="preserve">Created comprehensive 12-month roadmap with quarterly milestones, immediate 7-day action plan, and specific strategies for leveraging multi-agent systems learning as competitive advantage. Included realistic income projections scaling from $250K+ in year 1 to $750K-$1M+ by year 3.</w:t>
      </w:r>
    </w:p>
    <w:bookmarkEnd w:id="25"/>
    <w:bookmarkStart w:id="26" w:name="final-deliverables"/>
    <w:p>
      <w:pPr>
        <w:pStyle w:val="Heading2"/>
      </w:pPr>
      <w:r>
        <w:t xml:space="preserve">Final Deliverables</w:t>
      </w:r>
    </w:p>
    <w:p>
      <w:pPr>
        <w:pStyle w:val="FirstParagraph"/>
      </w:pPr>
      <w:r>
        <w:t xml:space="preserve">Complete strategic framework enabling transition from AI anxiety to AI leadership positioning, with specific implementation guides for building sustainable, defensible income streams that scale beyond time-for-money exchange.</w:t>
      </w:r>
    </w:p>
    <w:bookmarkEnd w:id="26"/>
    <w:bookmarkStart w:id="2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docs/EXECUTIVE_SUMMARY_SUSTAINABLE_INCOME.md: Concise executive summary with key findings, income projections, and immediate action plan</w:t>
      </w:r>
    </w:p>
    <w:p>
      <w:pPr>
        <w:numPr>
          <w:ilvl w:val="0"/>
          <w:numId w:val="1004"/>
        </w:numPr>
        <w:pStyle w:val="Compact"/>
      </w:pPr>
      <w:r>
        <w:t xml:space="preserve">docs/sustainable_income_strategies_ai_era.md: Comprehensive analysis of 7 sustainable income streams with detailed implementation roadmap and AI-era positioning framework</w:t>
      </w:r>
    </w:p>
    <w:p>
      <w:pPr>
        <w:numPr>
          <w:ilvl w:val="0"/>
          <w:numId w:val="1004"/>
        </w:numPr>
        <w:pStyle w:val="Compact"/>
      </w:pPr>
      <w:r>
        <w:t xml:space="preserve">docs/multi_agent_systems_monetization_guide.md: Specialized guide for monetizing multi-agent systems expertise with specific project ideas and market positioning</w:t>
      </w:r>
    </w:p>
    <w:p>
      <w:pPr>
        <w:numPr>
          <w:ilvl w:val="0"/>
          <w:numId w:val="1004"/>
        </w:numPr>
        <w:pStyle w:val="Compact"/>
      </w:pPr>
      <w:r>
        <w:t xml:space="preserve">docs/research_plan_sustainable_income.md: Research methodology and completion status with key findings summary</w:t>
      </w:r>
    </w:p>
    <w:p>
      <w:pPr>
        <w:numPr>
          <w:ilvl w:val="0"/>
          <w:numId w:val="1004"/>
        </w:numPr>
        <w:pStyle w:val="Compact"/>
      </w:pPr>
      <w:r>
        <w:t xml:space="preserve">data/sustainable_income_sources.md: Comprehensive source tracking and verification for all research claims and market data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2025-06-08T15:36:26Z</dcterms:created>
  <dcterms:modified xsi:type="dcterms:W3CDTF">2025-06-08T15:36:26Z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