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Cordance Health Insights Bank</w:t>
      </w:r>
    </w:p>
    <w:p>
      <w:pPr>
        <w:pStyle w:val="Heading1"/>
        <w:jc w:val="center"/>
      </w:pPr>
      <w:r>
        <w:rPr>
          <w:color w:val="365F91"/>
        </w:rPr>
        <w:t>Enhanced Use Cases 6-9</w:t>
      </w:r>
    </w:p>
    <w:p>
      <w:pPr>
        <w:jc w:val="center"/>
      </w:pPr>
      <w:r>
        <w:rPr>
          <w:color w:val="365F91"/>
          <w:sz w:val="28"/>
        </w:rPr>
        <w:t>Primary Care Clinical Decision Support</w:t>
      </w:r>
    </w:p>
    <w:p/>
    <w:p>
      <w:pPr>
        <w:jc w:val="center"/>
      </w:pPr>
      <w:r>
        <w:rPr>
          <w:sz w:val="22"/>
        </w:rPr>
        <w:t>Prepared for: Cordance Health Development Team</w:t>
      </w:r>
    </w:p>
    <w:p>
      <w:r>
        <w:br w:type="page"/>
      </w:r>
    </w:p>
    <w:p>
      <w:pPr>
        <w:pStyle w:val="Heading2"/>
      </w:pPr>
      <w:r>
        <w:t>USE CASE 6: Polypharmacy Optimization and Deprescribing in Older Adults</w:t>
      </w:r>
    </w:p>
    <w:p>
      <w:pPr>
        <w:pStyle w:val="Heading3"/>
      </w:pPr>
      <w:r>
        <w:t>Clinical Scenario</w:t>
      </w:r>
    </w:p>
    <w:p>
      <w:r>
        <w:t>A 78-year-old patient with multiple chronic conditions (hypertension, type 2 diabetes, osteoarthritis, overactive bladder, chronic insomnia, generalized anxiety disorder, and peripheral neuropathy) presents for a routine follow-up appointment. They are currently taking 14 prescription medications plus 3 over-the-counter supplements. Over the past 6 months, the patient has experienced two falls resulting in emergency department visits—one causing a minor head laceration and the other resulting in significant bruising but no fractures. The patient reports persistent symptoms including dizziness when standing (particularly in the morning), dry mouth, constipation, difficulty concentrating ("brain fog"), and occasional urinary retention. Additionally, they express concern about medication costs, estimating monthly out-of-pocket expenses of $380-$420, which is creating financial strain on their fixed income.</w:t>
        <w:br/>
        <w:br/>
        <w:t>Medication review reveals a concerning polypharmacy picture with multiple potentially inappropriate medications (PIMs) per Beers Criteria: three drugs with significant anticholinergic properties (diphenhydramine 50mg nightly for sleep, oxybutynin 5mg twice daily for overactive bladder, and amitriptyline 50mg at bedtime for neuropathy); a benzodiazepine (lorazepam 1mg twice daily for anxiety); duplicate therapy for hypertension with both amlodipine 10mg and lisinopril 20mg causing documented orthostatic hypotension (BP 145/85 sitting, 108/62 standing); a proton pump inhibitor (omeprazole 40mg daily) prescribed 5 years ago for GERD that has since resolved; and glipizide 10mg twice daily despite HbA1c of 6.2%, creating hypoglycemia risk.</w:t>
        <w:br/>
        <w:br/>
        <w:t>The primary care physician recognizes this as a classic polypharmacy scenario with a high anticholinergic burden contributing to falls, cognitive impairment, and reduced quality of life. However, the physician faces significant barriers: manually reviewing 14 medications against Beers Criteria would take 15-20 minutes; calculating the anticholinergic cognitive burden (ACB) score requires specialized knowledge; determining which medications to deprescribe first requires complex risk-benefit analysis; and coordinating medication changes with the patient's pharmacy to prevent confusion is time-consuming. The patient, for their part, has been taking these medications for years and is anxious about making changes, fearing that stopping medications might cause their original conditions to worsen.</w:t>
      </w:r>
    </w:p>
    <w:p>
      <w:pPr>
        <w:pStyle w:val="Heading3"/>
      </w:pPr>
      <w:r>
        <w:t>Current State Challenges</w:t>
      </w:r>
    </w:p>
    <w:p>
      <w:r>
        <w:rPr>
          <w:b/>
        </w:rPr>
        <w:t>At a practice level:</w:t>
      </w:r>
    </w:p>
    <w:p>
      <w:pPr>
        <w:pStyle w:val="ListBullet"/>
      </w:pPr>
      <w:r>
        <w:t>Polypharmacy (defined as ≥5 medications) affects more than 40% of community-dwelling older adults aged ≥65 years and exceeds 90% among residents of long-term care facilities, making it one of the most prevalent geriatric syndromes.[17]</w:t>
      </w:r>
    </w:p>
    <w:p>
      <w:pPr>
        <w:pStyle w:val="ListBullet"/>
      </w:pPr>
      <w:r>
        <w:t>Potentially inappropriate medications (PIMs) as defined by the American Geriatrics Society Beers Criteria are prescribed to 25-50% of older adults, but manual review of each medication against the Beers list is exceptionally time-consuming in a busy primary care practice, often requiring 15-20 minutes per patient for comprehensive review.[18]</w:t>
      </w:r>
    </w:p>
    <w:p>
      <w:pPr>
        <w:pStyle w:val="ListBullet"/>
      </w:pPr>
      <w:r>
        <w:t>Calculating anticholinergic burden and fall risk requires specialized knowledge and tools not readily available at the point of care. The Anticholinergic Cognitive Burden (ACB) scale ranges from 0 (no anticholinergic activity) to 3 (severe anticholinergic effects), but most physicians are unfamiliar with which common medications contribute to this score.</w:t>
      </w:r>
    </w:p>
    <w:p>
      <w:pPr>
        <w:pStyle w:val="ListBullet"/>
      </w:pPr>
      <w:r>
        <w:t>Deprescribing—the systematic process of reducing or stopping medications that may no longer be beneficial or may be causing harm—requires complex risk-benefit analysis that is challenging to perform during a routine 15-20 minute appointment. Each medication has potential withdrawal effects, drug-disease interactions, and therapeutic alternatives that must be considered.</w:t>
      </w:r>
    </w:p>
    <w:p>
      <w:pPr>
        <w:pStyle w:val="ListBullet"/>
      </w:pPr>
      <w:r>
        <w:t>Lack of structured deprescribing protocols leads to therapeutic inertia, where medications are continued indefinitely due to the path of least resistance, even when discontinuation would improve patient outcomes.</w:t>
      </w:r>
    </w:p>
    <w:p>
      <w:pPr>
        <w:pStyle w:val="ListBullet"/>
      </w:pPr>
      <w:r>
        <w:t>Communication barriers with pharmacies lead to medication reconciliation errors, particularly when multiple medications are adjusted simultaneously. A single medication change requires coordination: stopping the old medication, starting a new one, adjusting doses, and ensuring the patient understands the changes.</w:t>
      </w:r>
    </w:p>
    <w:p>
      <w:pPr>
        <w:pStyle w:val="ListBullet"/>
      </w:pPr>
      <w:r>
        <w:t>Quality metrics and value-based contracts increasingly reward deprescribing and medication optimization, but practices lack tools to systematically identify and prioritize high-risk patients for intervention.</w:t>
      </w:r>
    </w:p>
    <w:p>
      <w:r>
        <w:rPr>
          <w:b/>
        </w:rPr>
        <w:t>At the individual patient level:</w:t>
      </w:r>
    </w:p>
    <w:p>
      <w:pPr>
        <w:pStyle w:val="ListBullet"/>
      </w:pPr>
      <w:r>
        <w:t>Anticholinergic medications dramatically increase fall risk: each medication with ACB Level 2-3 increases the hazard ratio for falls and injury-related hospitalizations by 56% (HR 1.56, 95% CI 1.35-1.79), with cumulative effects when multiple anticholinergic drugs are combined.[19]</w:t>
      </w:r>
    </w:p>
    <w:p>
      <w:pPr>
        <w:pStyle w:val="ListBullet"/>
      </w:pPr>
      <w:r>
        <w:t>Falls are the leading cause of injury-related death among older adults, with one-third of community-dwelling adults ≥65 years falling each year. Hip fractures, occurring in 5-10% of falls, cost $30,000-$60,000 per event in direct medical costs, with associated 12-month mortality rates of 20-35% and significant reductions in functional independence among survivors.[20]</w:t>
      </w:r>
    </w:p>
    <w:p>
      <w:pPr>
        <w:pStyle w:val="ListBullet"/>
      </w:pPr>
      <w:r>
        <w:t>Anticholinergic burden causes measurable cognitive impairment even in older adults without dementia, with ACB scores ≥3 associated with a 46% increased risk of cognitive decline over 2 years. For patients with existing mild cognitive impairment, high anticholinergic burden accelerates progression to dementia.[21]</w:t>
      </w:r>
    </w:p>
    <w:p>
      <w:pPr>
        <w:pStyle w:val="ListBullet"/>
      </w:pPr>
      <w:r>
        <w:t>Medication costs create significant financial strain for older adults on fixed incomes, with out-of-pocket medication spending averaging $220-$380 per month for seniors with multiple chronic conditions. This financial burden leads to cost-related medication nonadherence—skipping doses, splitting pills, or not filling prescriptions—in 20-30% of older adults, paradoxically causing them to forego essential medications (statins, antihypertensives) while continuing less critical ones.</w:t>
      </w:r>
    </w:p>
    <w:p>
      <w:pPr>
        <w:pStyle w:val="ListBullet"/>
      </w:pPr>
      <w:r>
        <w:t>Polypharmacy contributes to a cascade of adverse effects: anticholinergic drugs cause constipation, which leads to laxative use; orthostatic hypotension from antihypertensives causes falls, which lead to reduced mobility and deconditioning; sedating medications impair function, which reduces social engagement and accelerates cognitive decline.</w:t>
      </w:r>
    </w:p>
    <w:p>
      <w:pPr>
        <w:pStyle w:val="ListBullet"/>
      </w:pPr>
      <w:r>
        <w:t>Patients often lack understanding of why they are taking each medication, with studies showing that only 40-50% of older adults can accurately name their medications and explain their purpose. This knowledge gap creates fear about deprescribing and resistance to medication changes.</w:t>
      </w:r>
    </w:p>
    <w:p>
      <w:pPr>
        <w:pStyle w:val="ListBullet"/>
      </w:pPr>
      <w:r>
        <w:t>Benzodiazepines prescribed for anxiety or insomnia create physical dependence within 2-4 weeks of regular use, making discontinuation difficult and requiring supervised tapering protocols to prevent withdrawal seizures. Yet, they increase fall risk by 40-50% and are associated with cognitive impairment, motor vehicle accidents, and hip fractures.[22]</w:t>
      </w:r>
    </w:p>
    <w:p>
      <w:pPr>
        <w:pStyle w:val="ListBullet"/>
      </w:pPr>
      <w:r>
        <w:t>Proton pump inhibitors (PPIs), when used long-term (&gt;12 months), are associated with increased risk of Clostridium difficile infection, pneumonia, bone fractures, chronic kidney disease, and dementia, yet 50-70% of PPI use is for inappropriate indications or unnecessarily prolonged duration.[23]</w:t>
      </w:r>
    </w:p>
    <w:p>
      <w:pPr>
        <w:pStyle w:val="Heading3"/>
      </w:pPr>
      <w:r>
        <w:t>Cordance Solution</w:t>
      </w:r>
    </w:p>
    <w:p>
      <w:pPr>
        <w:pStyle w:val="Heading4"/>
      </w:pPr>
      <w:r>
        <w:t>Before Encounter</w:t>
      </w:r>
    </w:p>
    <w:p>
      <w:pPr>
        <w:pStyle w:val="ListBullet"/>
      </w:pPr>
      <w:r>
        <w:t>Automatically identifies all patients age ≥65 years currently taking ≥5 medications, OR with any of the following high-risk indicators: recent falls in past 6 months; hospitalization or emergency department visit in past 3 months; medications on Beers Criteria potentially inappropriate medication (PIM) list; calculated ACB score ≥3; documented orthostatic hypotension or dizziness.</w:t>
      </w:r>
    </w:p>
    <w:p>
      <w:pPr>
        <w:pStyle w:val="ListBullet"/>
      </w:pPr>
      <w:r>
        <w:t>Creates a prioritized "Deprescribing Opportunities" list ranked by: (1) highest ACB scores (greatest cognitive/fall risk); (2) highest number of Beers Criteria PIMs; (3) recent falls or adverse drug events; (4) highest medication cost burden; (5) patients with upcoming appointments, enabling proactive intervention.</w:t>
      </w:r>
    </w:p>
    <w:p>
      <w:pPr>
        <w:pStyle w:val="ListBullet"/>
      </w:pPr>
      <w:r>
        <w:t>Pre-loads comprehensive medication data from all sources: active prescriptions from all prescribers (including specialists); pharmacy fill history showing actual adherence patterns; over-the-counter medications and supplements documented in previous visits; recent medication changes to avoid duplication.</w:t>
      </w:r>
    </w:p>
    <w:p>
      <w:pPr>
        <w:pStyle w:val="ListBullet"/>
      </w:pPr>
      <w:r>
        <w:t>Automatically calculates key risk scores: Anticholinergic Cognitive Burden (ACB) score (sum of all medications' ACB levels); falls risk score incorporating medication factors; medication adherence patterns based on fill history; estimated monthly out-of-pocket medication costs.</w:t>
      </w:r>
    </w:p>
    <w:p>
      <w:pPr>
        <w:pStyle w:val="ListBullet"/>
      </w:pPr>
      <w:r>
        <w:t>This "chart screening" can be performed by clinical support staff or population health teams for systematic panel-wide deprescribing outreach, identifying patients who would benefit from telephonic or in-person medication reviews even if they don't have upcoming appointments.</w:t>
      </w:r>
    </w:p>
    <w:p>
      <w:pPr>
        <w:pStyle w:val="Heading4"/>
      </w:pPr>
      <w:r>
        <w:t>During Encounter</w:t>
      </w:r>
    </w:p>
    <w:p>
      <w:r>
        <w:t>Cordance displays a comprehensive, visual Medication Safety Dashboard that provides the physician with actionable decision support:</w:t>
      </w:r>
    </w:p>
    <w:p>
      <w:pPr>
        <w:pStyle w:val="ListBullet"/>
      </w:pPr>
      <w:r>
        <w:t>Medication Count and Complexity: Total number of prescription medications, OTC drugs, and supplements; trend over time (increasing vs stable vs decreasing polypharmacy); pill burden (total pills per day).</w:t>
      </w:r>
    </w:p>
    <w:p>
      <w:pPr>
        <w:pStyle w:val="ListBullet"/>
      </w:pPr>
      <w:r>
        <w:t>Beers Criteria Potentially Inappropriate Medications (PIMs) Identified with Traffic Light System: 🔴 RED ALERT PIMs (avoid in older adults): diphenhydramine, oxybutynin, amitriptyline, lorazepam, glipizide; 🟡 YELLOW CAUTION medications (use with caution, dose adjustment needed): long-term PPI use, duplicate antihypertensives causing orthostatic hypotension.</w:t>
      </w:r>
    </w:p>
    <w:p>
      <w:pPr>
        <w:pStyle w:val="ListBullet"/>
      </w:pPr>
      <w:r>
        <w:t>Anticholinergic Cognitive Burden (ACB) Score: Current score (e.g., ACB = 7, indicating SEVERE anticholinergic burden); breakdown by medication (diphenhydramine ACB=3, oxybutynin ACB=3, amitriptyline ACB=3); visual indicator: ACB 0-2 = GREEN (low risk), ACB 3-5 = YELLOW (moderate risk), ACB ≥6 = RED (high risk for cognitive impairment and falls).</w:t>
      </w:r>
    </w:p>
    <w:p>
      <w:pPr>
        <w:pStyle w:val="ListBullet"/>
      </w:pPr>
      <w:r>
        <w:t>Fall Risk Assessment: Clinical fall risk score incorporating: history of falls in past 6 months; orthostatic hypotension (documented BP sitting vs standing); high-risk medications (benzodiazepines, anticholinergics, antihypertensives causing orthostasis); estimated reduction in fall risk if high-risk medications are deprescribed (e.g., "Deprescribing lorazepam and reducing anticholinergic burden may reduce fall risk by 35-45%").</w:t>
      </w:r>
    </w:p>
    <w:p>
      <w:pPr>
        <w:pStyle w:val="ListBullet"/>
      </w:pPr>
      <w:r>
        <w:t>Medication Cost Analysis: Current monthly out-of-pocket costs: $380-$420; projected savings if switched to therapeutically equivalent generic alternatives or discontinued unnecessary medications; breakdown by medication showing which are most expensive.</w:t>
      </w:r>
    </w:p>
    <w:p>
      <w:pPr>
        <w:pStyle w:val="ListBullet"/>
      </w:pPr>
      <w:r>
        <w:t>Deprescribing Recommendations with Evidence-Based Rationale and Safer Alternatives: For each PIM, Cordance provides specific guidance.</w:t>
        <w:br/>
        <w:br/>
        <w:t>Example for Diphenhydramine (Benadryl) for sleep:</w:t>
        <w:br/>
        <w:t xml:space="preserve">  • Current: Diphenhydramine 50mg nightly</w:t>
        <w:br/>
        <w:t xml:space="preserve">  • Problem: ACB Level 3 (severe anticholinergic effects), increases fall risk by 56%, impairs cognition, causes urinary retention</w:t>
        <w:br/>
        <w:t xml:space="preserve">  • Safer Alternative #1: Melatonin 3-5mg at bedtime (no anticholinergic effects, safer in older adults)</w:t>
        <w:br/>
        <w:t xml:space="preserve">  • Safer Alternative #2: Trazodone 25-50mg at bedtime (minimal anticholinergic activity, effective for insomnia)</w:t>
        <w:br/>
        <w:t xml:space="preserve">  • Non-pharmacologic: Cognitive behavioral therapy for insomnia (CBT-I), sleep hygiene education</w:t>
        <w:br/>
        <w:t xml:space="preserve">  • Estimated fall risk reduction: 15-20% if discontinued</w:t>
        <w:br/>
        <w:br/>
        <w:t>Example for Oxybutynin for overactive bladder:</w:t>
        <w:br/>
        <w:t xml:space="preserve">  • Current: Oxybutynin 5mg twice daily</w:t>
        <w:br/>
        <w:t xml:space="preserve">  • Problem: ACB Level 3, causes cognitive impairment, dry mouth, constipation, urinary retention</w:t>
        <w:br/>
        <w:t xml:space="preserve">  • Safer Alternative: Mirabegron 25-50mg daily (beta-3 agonist with NO anticholinergic effects, equally effective)</w:t>
        <w:br/>
        <w:t xml:space="preserve">  • Behavioral interventions: Pelvic floor physical therapy, bladder training, timed voiding</w:t>
        <w:br/>
        <w:br/>
        <w:t>Example for Lorazepam (benzodiazepine):</w:t>
        <w:br/>
        <w:t xml:space="preserve">  • Current: Lorazepam 1mg twice daily for anxiety</w:t>
        <w:br/>
        <w:t xml:space="preserve">  • Problem: Increases fall risk by 40-50%, causes cognitive impairment, physical dependence, withdrawal risk</w:t>
        <w:br/>
        <w:t xml:space="preserve">  • Deprescribing Protocol: Gradual taper over 8-12 weeks (reduce by 25% every 2-3 weeks) to prevent withdrawal seizures</w:t>
        <w:br/>
        <w:t xml:space="preserve">  • Safer Alternative: Escitalopram or sertraline (SSRI) for anxiety; cognitive behavioral therapy (CBT)</w:t>
        <w:br/>
        <w:t xml:space="preserve">  • Patient education: Explain physical dependence ≠ addiction; withdrawal symptoms are temporary</w:t>
        <w:br/>
        <w:br/>
        <w:t>Example for Duplicate Antihypertensives causing orthostatic hypotension:</w:t>
        <w:br/>
        <w:t xml:space="preserve">  • Current: Amlodipine 10mg + Lisinopril 20mg → documented orthostatic hypotension (BP 145/85 sitting, 108/62 standing)</w:t>
        <w:br/>
        <w:t xml:space="preserve">  • Problem: Excessive BP lowering causing dizziness and fall risk</w:t>
        <w:br/>
        <w:t xml:space="preserve">  • Recommendation: Discontinue amlodipine, continue lisinopril 20mg monotherapy; target BP &lt;130/80 (not &lt;120/70 in frail older adults)</w:t>
        <w:br/>
        <w:t xml:space="preserve">  • Follow-up: Recheck BP in 2 weeks</w:t>
        <w:br/>
        <w:br/>
        <w:t>Example for Long-term PPI (Omeprazole):</w:t>
        <w:br/>
        <w:t xml:space="preserve">  • Current: Omeprazole 40mg daily × 5 years for GERD (now resolved)</w:t>
        <w:br/>
        <w:t xml:space="preserve">  • Problem: Long-term PPI use associated with C. difficile infection, fractures, CKD, dementia</w:t>
        <w:br/>
        <w:t xml:space="preserve">  • Recommendation: Discontinue omeprazole (trial off PPI); if reflux recurs, use lowest effective dose or H2 blocker (famotidine)</w:t>
        <w:br/>
        <w:br/>
        <w:t>Example for Glipizide (Sulfonylurea) with tight glucose control:</w:t>
        <w:br/>
        <w:t xml:space="preserve">  • Current: Glipizide 10mg twice daily with HbA1c 6.2% (overtreated)</w:t>
        <w:br/>
        <w:t xml:space="preserve">  • Problem: Hypoglycemia risk in older adults; HbA1c &lt;7% not beneficial in this age group, increases risk of severe hypoglycemia</w:t>
        <w:br/>
        <w:t xml:space="preserve">  • Recommendation: Discontinue glipizide; target HbA1c 7.5-8.5% for older adults with limited life expectancy</w:t>
        <w:br/>
        <w:t xml:space="preserve">  • Continue metformin for cardiovascular benefits</w:t>
      </w:r>
    </w:p>
    <w:p>
      <w:pPr>
        <w:pStyle w:val="ListBullet"/>
      </w:pPr>
      <w:r>
        <w:t>Cost Savings Calculation: Shows monthly and annual savings from deprescribing or switching to generic alternatives. Example: Discontinuing unnecessary omeprazole ($45/month), switching oxybutynin to generic mirabegron ($30 savings/month) → Total savings: $75-$100/month = $900-$1,200 annually.</w:t>
      </w:r>
    </w:p>
    <w:p>
      <w:pPr>
        <w:pStyle w:val="ListBullet"/>
      </w:pPr>
      <w:r>
        <w:t>Enhanced Ordering for Deprescribing: One-click deprescribing orders with: automated medication discontinuation orders sent to pharmacy; structured taper schedules for benzodiazepines and other medications requiring gradual withdrawal; automatic prescription of safer alternatives with appropriate dosing; patient-friendly deprescribing plan explaining rationale for each change in non-medical language.</w:t>
      </w:r>
    </w:p>
    <w:p>
      <w:pPr>
        <w:pStyle w:val="ListBullet"/>
      </w:pPr>
      <w:r>
        <w:t>Fall Prevention Program Integration: If high fall risk identified, enhanced ordering triggers: physical therapy referral for gait/balance assessment and strengthening exercises; home safety evaluation referral; vitamin D supplementation if deficient; osteoporosis screening (DEXA scan if not done recently) to assess fracture risk.</w:t>
      </w:r>
    </w:p>
    <w:p>
      <w:pPr>
        <w:pStyle w:val="Heading4"/>
      </w:pPr>
      <w:r>
        <w:t>After Encounter</w:t>
      </w:r>
    </w:p>
    <w:p>
      <w:pPr>
        <w:pStyle w:val="ListBullet"/>
      </w:pPr>
      <w:r>
        <w:t>Automatic Medication Orders: Discontinuation orders for all stopped medications sent electronically to patient's pharmacy with clear instructions; new prescriptions for safer alternatives with appropriate doses and refills; taper schedules for medications requiring gradual withdrawal (benzodiazepines, PPIs) with specific dose reduction instructions.</w:t>
      </w:r>
    </w:p>
    <w:p>
      <w:pPr>
        <w:pStyle w:val="ListBullet"/>
      </w:pPr>
      <w:r>
        <w:t>Pharmacy Notification and Counseling Trigger: Sends structured alert to patient's pharmacy with: list of discontinued medications to remove from active prescription list; new medications being started; deprescribing rationale to enable pharmacist to counsel patient and answer questions; flag for pharmacist to call patient within 24-48 hours to review changes and ensure understanding.</w:t>
      </w:r>
    </w:p>
    <w:p>
      <w:pPr>
        <w:pStyle w:val="ListBullet"/>
      </w:pPr>
      <w:r>
        <w:t>Patient Education Materials: Generates personalized, patient-friendly deprescribing plan in plain language (6th-8th grade reading level) explaining: why each medication is being stopped or changed; what to expect (potential withdrawal symptoms, timeline for improvement); what to monitor (symptoms that should prompt calling the office); non-pharmacologic strategies to manage conditions previously treated with medications (sleep hygiene for insomnia, bladder training for overactive bladder, relaxation techniques for anxiety).</w:t>
      </w:r>
    </w:p>
    <w:p>
      <w:pPr>
        <w:pStyle w:val="ListBullet"/>
      </w:pPr>
      <w:r>
        <w:t>Follow-up Scheduling and Monitoring: Automatically schedules follow-up appointment in 2-4 weeks to assess tolerance to medication changes and monitor for withdrawal symptoms or disease recurrence; creates standing orders for monitoring labs if needed (e.g., potassium check 1-2 weeks after stopping lisinopril if concern for rebound hypertension); sets automated reminder to reassess medications at next visit to prevent re-prescribing of discontinued PIMs by other providers.</w:t>
      </w:r>
    </w:p>
    <w:p>
      <w:pPr>
        <w:pStyle w:val="ListBullet"/>
      </w:pPr>
      <w:r>
        <w:t>Fall Prevention Referrals: Triggers coordinated care pathway including: physical therapy referral for fall risk assessment, gait training, and strengthening exercises; home safety evaluation by occupational therapy; vitamin D and calcium supplementation if indicated; osteoporosis screening with DEXA scan if not performed in past 2 years.</w:t>
      </w:r>
    </w:p>
    <w:p>
      <w:pPr>
        <w:pStyle w:val="ListBullet"/>
      </w:pPr>
      <w:r>
        <w:t>Medication Reconciliation Alert: Creates prominent alert in EHR for next visit: "Patient underwent deprescribing intervention [date]. Please review medication list to ensure discontinued medications (diphenhydramine, oxybutynin, lorazepam, omeprazole, glipizide) have not been restarted. ACB score reduced from 7 to 0. Fall risk reduced by estimated 35-45%."</w:t>
      </w:r>
    </w:p>
    <w:p>
      <w:pPr>
        <w:pStyle w:val="ListBullet"/>
      </w:pPr>
      <w:r>
        <w:t>Population Health Tracking: Aggregates deprescribing outcomes across the practice: number of patients with PIMs deprescribed; reduction in ACB scores; fall rates before vs after intervention; medication cost savings; quality metric performance (HEDIS measure for high-risk medication use in older adults).</w:t>
      </w:r>
    </w:p>
    <w:p>
      <w:pPr>
        <w:pStyle w:val="Heading3"/>
      </w:pPr>
      <w:r>
        <w:t>Impact on Three Pillars</w:t>
      </w:r>
    </w:p>
    <w:p>
      <w:pPr>
        <w:pStyle w:val="Heading4"/>
      </w:pPr>
      <w:r>
        <w:t>Economics (Value-Based Care &amp; Fee-for-Service)</w:t>
      </w:r>
    </w:p>
    <w:p>
      <w:pPr>
        <w:pStyle w:val="ListBullet"/>
      </w:pPr>
      <w:r>
        <w:t>Prevention of falls and fractures generates substantial cost savings: reducing PIMs and anticholinergic burden by 50% in high-risk older adults can prevent hip fractures costing $30,000-$60,000 per event, with additional savings from prevented emergency department visits ($800-$1,500 per visit) and hospitalizations ($8,000-$15,000 per admission).[24]</w:t>
      </w:r>
    </w:p>
    <w:p>
      <w:pPr>
        <w:pStyle w:val="ListBullet"/>
      </w:pPr>
      <w:r>
        <w:t>Adverse drug events (ADEs) in older adults cost $7,000-$15,000 per event when hospitalization is required. Systematic deprescribing programs reduce ADE rates by 30-40%, translating to significant cost avoidance. For a practice panel of 500 older adults with polypharmacy, preventing 15-25 ADEs annually saves $105,000-$375,000.[25]</w:t>
      </w:r>
    </w:p>
    <w:p>
      <w:pPr>
        <w:pStyle w:val="ListBullet"/>
      </w:pPr>
      <w:r>
        <w:t>Medication cost savings benefit both patients and health systems: Direct patient savings of $200-$400 annually per patient from discontinuing unnecessary medications or switching to generic alternatives; for value-based contracts, lower medication spend improves total cost of care metrics; specialty pharmacy margin capture when switching to formulary-preferred alternatives.</w:t>
      </w:r>
    </w:p>
    <w:p>
      <w:pPr>
        <w:pStyle w:val="ListBullet"/>
      </w:pPr>
      <w:r>
        <w:t>Quality bonus payments: HEDIS and Medicare Stars measures reward reduction of high-risk medication use in older adults. Improving performance on "Use of High-Risk Medications in the Elderly" measure can generate $25,000-$50,000 in annual quality bonuses for a mid-size primary care practice.</w:t>
      </w:r>
    </w:p>
    <w:p>
      <w:pPr>
        <w:pStyle w:val="ListBullet"/>
      </w:pPr>
      <w:r>
        <w:t>Reduced hospitalizations from medication-related complications: polypharmacy-associated adverse events account for 10-15% of hospital admissions in older adults. Deprescribing interventions reduce hospitalization rates by 15-25%, with associated cost savings of $1,200-$2,500 per patient annually in value-based contracts.</w:t>
      </w:r>
    </w:p>
    <w:p>
      <w:pPr>
        <w:pStyle w:val="ListBullet"/>
      </w:pPr>
      <w:r>
        <w:t>Estimated financial impact per primary care physician: $80,000-$120,000 annually through: fall/fracture prevention ($40K-$60K); ADE reduction ($25K-$40K); quality bonuses ($15K-$20K); calculated across a panel of 800-1,000 older adults with 200-300 having significant polypharmacy.</w:t>
      </w:r>
    </w:p>
    <w:p>
      <w:pPr>
        <w:pStyle w:val="Heading4"/>
      </w:pPr>
      <w:r>
        <w:t>Quality &amp; Safety</w:t>
      </w:r>
    </w:p>
    <w:p>
      <w:pPr>
        <w:pStyle w:val="ListBullet"/>
      </w:pPr>
      <w:r>
        <w:t>Reducing anticholinergic burden improves cognitive function: studies show that decreasing ACB scores from ≥3 to &lt;2 results in measurable improvements in Mini-Mental State Examination (MMSE) scores within 3-6 months, with patients reporting subjective improvements in memory, attention, and "mental clarity."[26]</w:t>
      </w:r>
    </w:p>
    <w:p>
      <w:pPr>
        <w:pStyle w:val="ListBullet"/>
      </w:pPr>
      <w:r>
        <w:t>Deprescribing PIMs reduces fall risk by 30-50% in high-risk older adults: systematic reviews demonstrate that medication optimization interventions, particularly targeting anticholinergics and benzodiazepines, significantly decrease fall rates, with number needed to treat (NNT) of 8-12 to prevent one fall.[27]</w:t>
      </w:r>
    </w:p>
    <w:p>
      <w:pPr>
        <w:pStyle w:val="ListBullet"/>
      </w:pPr>
      <w:r>
        <w:t>Systematic medication review prevents dangerous drug-drug interactions and duplicate therapy: automated screening identifies interactions such as NSAIDs + anticoagulants (bleeding risk), multiple serotonergic agents (serotonin syndrome risk), and duplicate medication classes (orthostatic hypotension from multiple antihypertensives).</w:t>
      </w:r>
    </w:p>
    <w:p>
      <w:pPr>
        <w:pStyle w:val="ListBullet"/>
      </w:pPr>
      <w:r>
        <w:t>Improved medication affordability increases adherence to essential, life-saving medications: when patients save $200-$400 monthly by discontinuing unnecessary medications, they are 40-60% more likely to maintain adherence to critical medications like statins (MI/stroke prevention), antihypertensives (stroke prevention), and diabetes medications (complication prevention).</w:t>
      </w:r>
    </w:p>
    <w:p>
      <w:pPr>
        <w:pStyle w:val="ListBullet"/>
      </w:pPr>
      <w:r>
        <w:t>Benzodiazepine deprescribing reduces not only fall risk but also motor vehicle accidents (25-30% reduction in older drivers), cognitive impairment, and hip fractures. Successful tapering protocols achieve 60-80% discontinuation rates with proper patient education and gradual dose reduction over 8-12 weeks.[28]</w:t>
      </w:r>
    </w:p>
    <w:p>
      <w:pPr>
        <w:pStyle w:val="ListBullet"/>
      </w:pPr>
      <w:r>
        <w:t>Long-term PPI deprescribing reduces risk of serious complications: discontinuing unnecessary PPIs decreases risk of C. difficile infection by 40-50%, reduces fracture risk by 20-30%, and may slow progression of chronic kidney disease. Systematic deprescribing trials show that 60-75% of patients on long-term PPIs can successfully discontinue without recurrence of reflux symptoms.[29]</w:t>
      </w:r>
    </w:p>
    <w:p>
      <w:pPr>
        <w:pStyle w:val="Heading4"/>
      </w:pPr>
      <w:r>
        <w:t>Population Health &amp; Outcomes</w:t>
      </w:r>
    </w:p>
    <w:p>
      <w:pPr>
        <w:pStyle w:val="ListBullet"/>
      </w:pPr>
      <w:r>
        <w:t>Systematic identification of ALL older adults with polypharmacy across the entire practice panel enables proactive, population-wide intervention rather than reactive, encounter-based care. Cordance's automated screening ensures that high-risk patients are identified even if they don't have frequent office visits.</w:t>
      </w:r>
    </w:p>
    <w:p>
      <w:pPr>
        <w:pStyle w:val="ListBullet"/>
      </w:pPr>
      <w:r>
        <w:t>Reduction in health disparities: minority and low-income older adults disproportionately experience polypharmacy and medication-related harm due to fragmented care, multiple prescribers, and limited health literacy. Systematic deprescribing with structured patient education reduces these disparities by ensuring all patients receive evidence-based medication optimization regardless of socioeconomic status.</w:t>
      </w:r>
    </w:p>
    <w:p>
      <w:pPr>
        <w:pStyle w:val="ListBullet"/>
      </w:pPr>
      <w:r>
        <w:t>Enables proactive panel management with automated PIM screening: population health teams can run monthly reports identifying all patients with ACB scores ≥3, recent falls, or Beers Criteria violations, enabling targeted outreach via telephone medication reviews, pharmacist consultations, or scheduled appointments.</w:t>
      </w:r>
    </w:p>
    <w:p>
      <w:pPr>
        <w:pStyle w:val="ListBullet"/>
      </w:pPr>
      <w:r>
        <w:t>Improves functional status and quality of life: patients report subjective improvements in energy, mental clarity, balance, and overall well-being after deprescribing interventions. Quality of life scores (SF-36, EQ-5D) improve by 10-25% within 3-6 months of successful deprescribing.</w:t>
      </w:r>
    </w:p>
    <w:p>
      <w:pPr>
        <w:pStyle w:val="ListBullet"/>
      </w:pPr>
      <w:r>
        <w:t>Long-term cognitive preservation: reducing anticholinergic burden may slow progression from mild cognitive impairment to dementia. While causality is difficult to prove, observational studies suggest that sustained reduction in ACB scores over 2-5 years is associated with 20-35% lower rates of incident dementia.[30]</w:t>
      </w:r>
    </w:p>
    <w:p>
      <w:pPr>
        <w:pStyle w:val="ListBullet"/>
      </w:pPr>
      <w:r>
        <w:t>Estimated population-level impact: In a practice panel of 2,000 patients with 500 older adults on ≥5 medications: 30-50% reduction in PIMs (from 200 patients to 100-140); 40-60% reduction in ACB scores ≥3 (from 100 patients to 40-60); 25-40% reduction in fall-related emergency department visits and hospitalizations; medication cost savings of $100,000-$200,000 annually across the panel.</w:t>
      </w:r>
    </w:p>
    <w:p>
      <w:pPr>
        <w:pStyle w:val="Heading4"/>
      </w:pPr>
      <w:r>
        <w:t>Physician Value Proposition</w:t>
      </w:r>
    </w:p>
    <w:p>
      <w:pPr>
        <w:pStyle w:val="ListBullet"/>
      </w:pPr>
      <w:r>
        <w:t>Eliminates time-consuming manual Beers Criteria review: automated PIM identification saves 15-20 minutes per patient compared to manual guideline consultation, enabling comprehensive medication review within a standard appointment time slot.</w:t>
      </w:r>
    </w:p>
    <w:p>
      <w:pPr>
        <w:pStyle w:val="ListBullet"/>
      </w:pPr>
      <w:r>
        <w:t>Provides evidence-based deprescribing recommendations that remove guesswork: physicians no longer need to memorize which medications are on the Beers list or calculate anticholinergic burden scores. Cordance presents specific, actionable recommendations with safer alternatives and tapering protocols.</w:t>
      </w:r>
    </w:p>
    <w:p>
      <w:pPr>
        <w:pStyle w:val="ListBullet"/>
      </w:pPr>
      <w:r>
        <w:t>Reduces medico-legal risk by documenting systematic medication safety review: comprehensive documentation of deprescribing rationale, patient education, and informed consent provides medicolegal protection in the event of adverse outcomes.</w:t>
      </w:r>
    </w:p>
    <w:p>
      <w:pPr>
        <w:pStyle w:val="ListBullet"/>
      </w:pPr>
      <w:r>
        <w:t>Improves patient satisfaction: patients appreciate physicians who take time to reduce medication burden, lower costs, and address bothersome side effects like dry mouth, constipation, and dizziness. Deprescribing improves patient-physician relationship and therapeutic alliance.</w:t>
      </w:r>
    </w:p>
    <w:p>
      <w:pPr>
        <w:pStyle w:val="ListBullet"/>
      </w:pPr>
      <w:r>
        <w:t>Simplifies complex polypharmacy management with actionable, prioritized recommendations: instead of being overwhelmed by 14 medications, physicians receive a clear action plan: "Priority 1: Deprescribe lorazepam (highest fall risk); Priority 2: Switch oxybutynin to mirabegron (reduce ACB score); Priority 3: Discontinue omeprazole (no longer indicated)."</w:t>
      </w:r>
    </w:p>
    <w:p>
      <w:pPr>
        <w:pStyle w:val="ListBullet"/>
      </w:pPr>
      <w:r>
        <w:t>Meets emerging quality metrics effortlessly: as value-based contracts increasingly reward deprescribing and medication optimization, Cordance enables practices to meet these metrics without additional administrative burden or manual chart reviews.</w:t>
      </w:r>
    </w:p>
    <w:p>
      <w:pPr>
        <w:pStyle w:val="ListBullet"/>
      </w:pPr>
      <w:r>
        <w:t>Pharmacy collaboration: structured communication with pharmacies reduces phone calls, clarifies medication changes, and ensures patients receive appropriate counseling, improving care coordination.</w:t>
      </w:r>
    </w:p>
    <w:p>
      <w:pPr>
        <w:pStyle w:val="Heading4"/>
      </w:pPr>
      <w:r>
        <w:t>Implementation Considerations</w:t>
      </w:r>
    </w:p>
    <w:p>
      <w:pPr>
        <w:pStyle w:val="ListBullet"/>
      </w:pPr>
      <w:r>
        <w:t>Integration with 2023 American Geriatrics Society Beers Criteria database with annual updates as new evidence emerges and guideline revisions are published.</w:t>
      </w:r>
    </w:p>
    <w:p>
      <w:pPr>
        <w:pStyle w:val="ListBullet"/>
      </w:pPr>
      <w:r>
        <w:t>Anticholinergic Cognitive Burden (ACB) calculator using validated scoring system: integration of comprehensive medication database with ACB scores for all commonly prescribed medications.</w:t>
      </w:r>
    </w:p>
    <w:p>
      <w:pPr>
        <w:pStyle w:val="ListBullet"/>
      </w:pPr>
      <w:r>
        <w:t>Pharmacy integration for seamless medication discontinuation and patient counseling: bidirectional interfaces with retail and specialty pharmacies; structured alerts for pharmacist-led medication therapy management (MTM); capability to send discontinuation orders, new prescriptions, and taper schedules electronically.</w:t>
      </w:r>
    </w:p>
    <w:p>
      <w:pPr>
        <w:pStyle w:val="ListBullet"/>
      </w:pPr>
      <w:r>
        <w:t>Fall risk assessment tools: integration of validated fall risk prediction models; standing orders for physical therapy referrals; home safety evaluation protocols; vitamin D and bone health screening workflows.</w:t>
      </w:r>
    </w:p>
    <w:p>
      <w:pPr>
        <w:pStyle w:val="ListBullet"/>
      </w:pPr>
      <w:r>
        <w:t>Evidence-based deprescribing protocols for specific medication classes: structured taper schedules for benzodiazepines (gradual dose reduction over 8-12 weeks); PPI discontinuation trials with step-down to H2 blockers if needed; anticholinergic substitution protocols; guidance for deprescribing in patients with dementia, where caregiver education is critical.</w:t>
      </w:r>
    </w:p>
    <w:p>
      <w:pPr>
        <w:pStyle w:val="ListBullet"/>
      </w:pPr>
      <w:r>
        <w:t>Patient education materials at appropriate health literacy levels (6th-8th grade reading level), available in multiple languages: deprescribing handouts explaining why medications are being stopped; medication taper calendars for complex withdrawal schedules; "What to Expect" guides addressing common concerns (e.g., "Will my anxiety get worse if I stop lorazepam?"); non-pharmacologic strategies for managing conditions (sleep hygiene, bladder training, cognitive behavioral therapy resources).</w:t>
      </w:r>
    </w:p>
    <w:p>
      <w:pPr>
        <w:pStyle w:val="ListBullet"/>
      </w:pPr>
      <w:r>
        <w:t>Specialty consultation protocols for complex cases: criteria for geriatric medicine or clinical pharmacy specialist consultation (e.g., patients on &gt;15 medications, multiple failed deprescribing attempts, complex psychiatric medication regimens); mechanisms for physician-pharmacist collaboration in polypharmacy management.</w:t>
      </w:r>
    </w:p>
    <w:p>
      <w:pPr>
        <w:pStyle w:val="ListBullet"/>
      </w:pPr>
      <w:r>
        <w:t>Population health reporting dashboards: practice-level metrics showing number of patients with PIMs, ACB score distributions, deprescribing intervention rates, fall rates over time; benchmarking against regional or national standards; quality measure performance tracking (HEDIS, Medicare Stars).</w:t>
      </w:r>
    </w:p>
    <w:p>
      <w:r>
        <w:br w:type="page"/>
      </w:r>
    </w:p>
    <w:p>
      <w:pPr>
        <w:pStyle w:val="Heading2"/>
      </w:pPr>
      <w:r>
        <w:t>USE CASE 7: Social Determinants of Health Screening and Community Resource Linkage</w:t>
      </w:r>
    </w:p>
    <w:p>
      <w:pPr>
        <w:pStyle w:val="Heading3"/>
      </w:pPr>
      <w:r>
        <w:t>Clinical Scenario</w:t>
      </w:r>
    </w:p>
    <w:p>
      <w:r>
        <w:t>A 45-year-old patient with poorly controlled type 2 diabetes (HbA1c 9.8%, up from 7.2% six months ago) and hypertension (BP averaging 165/95 despite being prescribed three antihypertensive medications) presents to the clinic after missing three consecutive appointments over the past 6 months. The patient appears withdrawn and reluctant to make eye contact. When asked about medication adherence, they admit to taking medications "sometimes" and mention that costs are "a bit of a problem." The physician senses there is more to the story but has limited time in a busy clinic schedule and is unsure how to sensitively explore potential social barriers without seeming intrusive or judgmental.</w:t>
        <w:br/>
        <w:br/>
        <w:t>Chart review reveals additional red flags: multiple missed appointments (6 out of 10 scheduled visits in the past year); declining prescription fill rates for essential medications (metformin filled only 4 out of 12 months, lisinopril filled 6 out of 12 months); recent ED visit for hypertensive urgency (BP 195/110) where patient left against medical advice before workup was complete; address in a ZIP code with high poverty rates and limited access to grocery stores (food desert).</w:t>
        <w:br/>
        <w:br/>
        <w:t>The physician suspects that social determinants of health—food insecurity, housing instability, transportation barriers, or financial strain—are the root cause of this patient's deteriorating health, but lacks time for comprehensive screening and has limited knowledge of available community resources. Standard clinical interventions (medication intensification, diabetes education referral) are unlikely to succeed if underlying social needs remain unaddressed, yet the current clinical workflow provides no structured mechanism to identify and address these issues.</w:t>
      </w:r>
    </w:p>
    <w:p>
      <w:pPr>
        <w:pStyle w:val="Heading3"/>
      </w:pPr>
      <w:r>
        <w:t>Current State Challenges</w:t>
      </w:r>
    </w:p>
    <w:p>
      <w:r>
        <w:rPr>
          <w:b/>
        </w:rPr>
        <w:t>At a practice level:</w:t>
      </w:r>
    </w:p>
    <w:p>
      <w:pPr>
        <w:pStyle w:val="ListBullet"/>
      </w:pPr>
      <w:r>
        <w:t>Social determinants of health (SDOH) account for approximately 50% of health outcomes, compared to only 20% for clinical care and 10% for access to healthcare services. Yet, systematic SDOH screening remains inconsistent in most primary care practices, with only 15-25% of practices routinely screening for social needs.[31]</w:t>
      </w:r>
    </w:p>
    <w:p>
      <w:pPr>
        <w:pStyle w:val="ListBullet"/>
      </w:pPr>
      <w:r>
        <w:t>Physicians lack structured, validated screening tools to efficiently identify food insecurity, housing instability, transportation barriers, utility shut-off risk, interpersonal violence, and social isolation during time-limited clinical encounters. Without standardized screening, social needs are identified haphazardly and inconsistently.</w:t>
      </w:r>
    </w:p>
    <w:p>
      <w:pPr>
        <w:pStyle w:val="ListBullet"/>
      </w:pPr>
      <w:r>
        <w:t>Even when social needs are identified, connecting patients to community resources is fragmented, time-consuming, and often ineffective. Physicians may provide patients with a phone number for a food bank or housing assistance program, but lack mechanisms to: verify resource availability and eligibility criteria; ensure warm handoffs rather than cold referrals; track whether patients successfully connected with resources; measure whether interventions addressed the identified need.</w:t>
      </w:r>
    </w:p>
    <w:p>
      <w:pPr>
        <w:pStyle w:val="ListBullet"/>
      </w:pPr>
      <w:r>
        <w:t>No systematic closed-loop tracking to confirm that patients received services or that identified needs were met. Social needs referrals often disappear into a "black box" with no feedback to the healthcare team about outcomes.</w:t>
      </w:r>
    </w:p>
    <w:p>
      <w:pPr>
        <w:pStyle w:val="ListBullet"/>
      </w:pPr>
      <w:r>
        <w:t>Billing and reimbursement for SDOH screening and intervention remains complex and underutilized, despite growing recognition of the link between social factors and health outcomes. New CPT codes and G-codes for social determinant risk assessment exist but are unfamiliar to most practices.</w:t>
      </w:r>
    </w:p>
    <w:p>
      <w:pPr>
        <w:pStyle w:val="ListBullet"/>
      </w:pPr>
      <w:r>
        <w:t>Fragmented relationships with community-based organizations (CBOs) limit effectiveness: each practice develops ad hoc relationships with local food banks, housing agencies, and transportation services, resulting in duplicated efforts, inconsistent referral patterns, and missed opportunities for collaboration.</w:t>
      </w:r>
    </w:p>
    <w:p>
      <w:pPr>
        <w:pStyle w:val="ListBullet"/>
      </w:pPr>
      <w:r>
        <w:t>Population health management systems rarely integrate SDOH data, preventing systematic identification of patients with social needs across the practice panel and limiting ability to measure intervention effectiveness.</w:t>
      </w:r>
    </w:p>
    <w:p>
      <w:r>
        <w:rPr>
          <w:b/>
        </w:rPr>
        <w:t>At the individual patient level:</w:t>
      </w:r>
    </w:p>
    <w:p>
      <w:pPr>
        <w:pStyle w:val="ListBullet"/>
      </w:pPr>
      <w:r>
        <w:t>Food insecurity affects 10-15% of U.S. households and up to 25-35% of low-income households. Children in food-insecure households are 30-50% more likely to be in fair/poor health and have 90% higher odds of developmental delays compared to food-secure children. In adults, food insecurity is associated with 50-80% higher rates of diabetes, hypertension, and depression.[32]</w:t>
      </w:r>
    </w:p>
    <w:p>
      <w:pPr>
        <w:pStyle w:val="ListBullet"/>
      </w:pPr>
      <w:r>
        <w:t>Transportation barriers are a leading cause of missed medical appointments, with 25-30% of patients in underserved communities reporting that they have delayed or forgone medical care due to lack of transportation. Each missed appointment disrupts continuity of care, delays diagnosis and treatment, and contributes to disease progression and complications.</w:t>
      </w:r>
    </w:p>
    <w:p>
      <w:pPr>
        <w:pStyle w:val="ListBullet"/>
      </w:pPr>
      <w:r>
        <w:t>Housing instability and homelessness are powerful predictors of poor health outcomes: patients experiencing homelessness have 3-4 times higher rates of chronic disease, 5-10 times higher emergency department utilization, and 3-4 times higher hospitalization rates compared to stably housed individuals. Mortality rates are 2-3 times higher.[33]</w:t>
      </w:r>
    </w:p>
    <w:p>
      <w:pPr>
        <w:pStyle w:val="ListBullet"/>
      </w:pPr>
      <w:r>
        <w:t>Financial resource strain leads to cost-related medication nonadherence in 20-30% of patients, with individuals making trade-offs between paying for medications, food, rent, and utilities. Patients experiencing financial strain are 40-60% less likely to fill prescriptions, leading to disease progression, complications, and preventable hospitalizations.</w:t>
      </w:r>
    </w:p>
    <w:p>
      <w:pPr>
        <w:pStyle w:val="ListBullet"/>
      </w:pPr>
      <w:r>
        <w:t>Social isolation and loneliness increase mortality risk by 26-32%, comparable to the risk from smoking or obesity. Socially isolated older adults have 50% higher rates of dementia, 29% higher risk of heart disease, and 32% higher risk of stroke. Yet, social isolation is rarely screened or addressed in clinical settings.[34]</w:t>
      </w:r>
    </w:p>
    <w:p>
      <w:pPr>
        <w:pStyle w:val="ListBullet"/>
      </w:pPr>
      <w:r>
        <w:t>Patients are often reluctant to disclose social needs due to stigma, shame, or belief that their physician cannot help. Without sensitive, non-judgmental screening, social needs remain hidden, and patients continue to struggle in silence while their health deteriorates.</w:t>
      </w:r>
    </w:p>
    <w:p>
      <w:pPr>
        <w:pStyle w:val="ListBullet"/>
      </w:pPr>
      <w:r>
        <w:t>Complex, fragmented process of finding and accessing community resources creates insurmountable barriers for patients already dealing with the stress of poverty, illness, and social adversity. Providing a patient with a phone number or website address is insufficient; warm handoffs and patient navigation are essential.</w:t>
      </w:r>
    </w:p>
    <w:p>
      <w:pPr>
        <w:pStyle w:val="ListBullet"/>
      </w:pPr>
      <w:r>
        <w:t>Patients from racial and ethnic minority backgrounds experience disproportionate rates of adverse SDOH (food insecurity, housing instability, transportation barriers), contributing to persistent health disparities in chronic disease prevalence, control, and outcomes.</w:t>
      </w:r>
    </w:p>
    <w:p>
      <w:pPr>
        <w:pStyle w:val="Heading3"/>
      </w:pPr>
      <w:r>
        <w:t>Cordance Solution</w:t>
      </w:r>
    </w:p>
    <w:p>
      <w:pPr>
        <w:pStyle w:val="Heading4"/>
      </w:pPr>
      <w:r>
        <w:t>Before Encounter</w:t>
      </w:r>
    </w:p>
    <w:p>
      <w:pPr>
        <w:pStyle w:val="ListBullet"/>
      </w:pPr>
      <w:r>
        <w:t>Automatically identifies patients with clinical red flags suggesting unmet social needs: frequent missed appointments (≥3 in past 6 months); declining medication adherence patterns based on pharmacy fill history (fill rate &lt;50% for chronic disease medications); uncontrolled chronic diseases despite appropriate therapy (HbA1c &gt;9% despite multiple medications, BP &gt;160/100 despite 3+ antihypertensives); recent emergency department visits, especially if patient left against medical advice; geographic residence in high-need areas (ZIP codes with high poverty rates, food deserts, limited public transportation).</w:t>
      </w:r>
    </w:p>
    <w:p>
      <w:pPr>
        <w:pStyle w:val="ListBullet"/>
      </w:pPr>
      <w:r>
        <w:t>Pre-loads previous SDOH screening results from prior visits to avoid redundant screening and track changes in social needs over time.</w:t>
      </w:r>
    </w:p>
    <w:p>
      <w:pPr>
        <w:pStyle w:val="ListBullet"/>
      </w:pPr>
      <w:r>
        <w:t>Queues standardized, validated SDOH screening tool ready for administration: PRAPARE (Protocol for Responding to and Assessing Patients' Assets, Risks, and Experiences); AHC Health-Related Social Needs Screening Tool; Hunger Vital Sign (2-item food insecurity screen); other specialty tools as appropriate.</w:t>
      </w:r>
    </w:p>
    <w:p>
      <w:pPr>
        <w:pStyle w:val="ListBullet"/>
      </w:pPr>
      <w:r>
        <w:t>Identifies local community resources based on patient's ZIP code, preparing the system to offer immediate, actionable referrals during the encounter rather than requiring post-visit research.</w:t>
      </w:r>
    </w:p>
    <w:p>
      <w:pPr>
        <w:pStyle w:val="Heading4"/>
      </w:pPr>
      <w:r>
        <w:t>During Encounter</w:t>
      </w:r>
    </w:p>
    <w:p>
      <w:r>
        <w:t>Cordance integrates a sensitive, validated SDOH screening questionnaire directly into the clinical workflow, designed to be administered quickly (3-5 minutes) and non-judgmentally:</w:t>
      </w:r>
    </w:p>
    <w:p>
      <w:pPr>
        <w:pStyle w:val="ListBullet"/>
      </w:pPr>
      <w:r>
        <w:t>Food Insecurity Screening (Hunger Vital Sign - validated 2-item screen): "Within the past 12 months, you worried that your food would run out before you got money to buy more" (Often true / Sometimes true / Never true); "Within the past 12 months, the food you bought just didn't last and you didn't have money to get more" (Often true / Sometimes true / Never true). Positive screen = "Often true" or "Sometimes true" to either question → 97% sensitivity for food insecurity.[35]</w:t>
      </w:r>
    </w:p>
    <w:p>
      <w:pPr>
        <w:pStyle w:val="ListBullet"/>
      </w:pPr>
      <w:r>
        <w:t>Housing Stability: "What is your living situation today?" (Options: I have housing / I do not have housing / I am worried about losing my housing); "Are you worried about losing your housing?" (Yes / No); "Do you have trouble paying rent/mortgage?" (Yes / No).</w:t>
      </w:r>
    </w:p>
    <w:p>
      <w:pPr>
        <w:pStyle w:val="ListBullet"/>
      </w:pPr>
      <w:r>
        <w:t>Transportation Barriers: "In the past 12 months, has lack of reliable transportation kept you from medical appointments, meetings, work, or getting things needed for daily living?" (Yes / No); "If yes, how often?" (1-2 times / 3-5 times / 6+ times).</w:t>
      </w:r>
    </w:p>
    <w:p>
      <w:pPr>
        <w:pStyle w:val="ListBullet"/>
      </w:pPr>
      <w:r>
        <w:t>Utility Shut-off Risk: "In the past 12 months, has the electric, gas, oil, or water company threatened to shut off services in your home?" (Yes / No / Already shut off).</w:t>
      </w:r>
    </w:p>
    <w:p>
      <w:pPr>
        <w:pStyle w:val="ListBullet"/>
      </w:pPr>
      <w:r>
        <w:t>Financial Resource Strain: "How hard is it for you to pay for the very basics like food, housing, medical care, and heating?" (Very hard / Somewhat hard / Not hard at all); "Do you have trouble affording medications?" (Yes / No).</w:t>
      </w:r>
    </w:p>
    <w:p>
      <w:pPr>
        <w:pStyle w:val="ListBullet"/>
      </w:pPr>
      <w:r>
        <w:t>Safety and Interpersonal Violence: "Do you feel physically and emotionally safe where you currently live?" (Yes / No); "Have you been hit, kicked, punched, or otherwise hurt by someone in the past year?" (Yes / No). If positive, triggers confidential safety assessment and domestic violence resources.</w:t>
      </w:r>
    </w:p>
    <w:p>
      <w:pPr>
        <w:pStyle w:val="ListBullet"/>
      </w:pPr>
      <w:r>
        <w:t>Social Isolation: "How often do you feel lonely or socially isolated?" (Never / Rarely / Sometimes / Often / Always); "Do you have someone you can call for help if needed?" (Yes / No).</w:t>
      </w:r>
    </w:p>
    <w:p>
      <w:pPr>
        <w:pStyle w:val="ListBullet"/>
      </w:pPr>
      <w:r>
        <w:t>Real-time identification of local community resources based on patient ZIP code: Food Resources: Nearby food banks with hours, locations, eligibility criteria (e.g., "Capital Area Food Bank - 2.3 miles, open Mon/Wed/Fri 10am-2pm, no income verification required"); SNAP (Supplemental Nutrition Assistance Program) enrollment assistance sites. Housing Resources: Emergency shelters, transitional housing programs; rental assistance programs; housing counseling agencies. Transportation Resources: Free/low-cost transportation options; Lyft/Uber Health integration with pre-negotiated rates for medical appointments; public transit passes or voucher programs; volunteer driver programs. Utility Assistance: LIHEAP (Low Income Home Energy Assistance Program) enrollment sites; utility company hardship programs; community action agencies providing emergency assistance. Prescription Assistance: Pharmacy-based medication assistance programs; pharmaceutical manufacturer patient assistance programs (PAPs); discount programs (GoodRx, RxOutreach). Social Connection: Senior centers, community centers; faith-based organizations; volunteer opportunities; telephone reassurance programs for isolated older adults.</w:t>
      </w:r>
    </w:p>
    <w:p>
      <w:pPr>
        <w:pStyle w:val="ListBullet"/>
      </w:pPr>
      <w:r>
        <w:t>Enhanced Ordering for Complex Social Needs: One-click referrals to social workers or community health workers for patients with multiple or complex needs requiring case management; automatic generation of patient-friendly resource lists with contact information, hours, eligibility criteria, and directions; flagging of patients eligible for enhanced care management programs (Medicare CCM, Medicaid health home services) that provide intensive case management and SDOH support.</w:t>
      </w:r>
    </w:p>
    <w:p>
      <w:pPr>
        <w:pStyle w:val="ListBullet"/>
      </w:pPr>
      <w:r>
        <w:t>Billable SDOH Assessment: Documentation templates supporting billing for SDOH screening and risk assessment using appropriate CPT/G-codes: G0136 (Administration of health risk assessment); 96160-96161 (Administration of patient-focused health risk assessment); 99401-99404 (Preventive medicine counseling). Ensures practices can be reimbursed for time spent on SDOH screening and intervention.</w:t>
      </w:r>
    </w:p>
    <w:p>
      <w:pPr>
        <w:pStyle w:val="Heading4"/>
      </w:pPr>
      <w:r>
        <w:t>After Encounter</w:t>
      </w:r>
    </w:p>
    <w:p>
      <w:pPr>
        <w:pStyle w:val="ListBullet"/>
      </w:pPr>
      <w:r>
        <w:t>Automated Resource Information Delivery: Sends personalized resource list to patient via text message, email, or patient portal (based on patient preference) in patient's preferred language; includes: organization names, addresses, phone numbers; hours of operation; eligibility criteria; specific services offered; directions and public transit routes.</w:t>
      </w:r>
    </w:p>
    <w:p>
      <w:pPr>
        <w:pStyle w:val="ListBullet"/>
      </w:pPr>
      <w:r>
        <w:t>Warm Referrals to Community-Based Organizations via Integration Platforms: Creates referrals to CBOs through integrated resource platforms like UniteUs, NowPow, Aunt Bertha, or findhelp.org; these platforms enable closed-loop referrals where healthcare and community organizations can communicate securely, track patient engagement, and confirm service delivery.</w:t>
      </w:r>
    </w:p>
    <w:p>
      <w:pPr>
        <w:pStyle w:val="ListBullet"/>
      </w:pPr>
      <w:r>
        <w:t>Community Health Worker (CHW) or Social Work Outreach for High-Need Patients: Triggers automatic outreach by CHWs or social workers for patients with multiple SDOH needs or complex barriers; CHWs provide intensive support including: accompaniment to appointments, assistance with paperwork and applications, navigation of social service systems, advocacy, ongoing follow-up to ensure needs are met.</w:t>
      </w:r>
    </w:p>
    <w:p>
      <w:pPr>
        <w:pStyle w:val="ListBullet"/>
      </w:pPr>
      <w:r>
        <w:t>Follow-up Scheduling and Reassessment: Schedules follow-up appointment in 1-3 months to reassess SDOH needs and confirm whether patient successfully connected with resources; creates standing reminder: "Reassess SDOH: Did patient connect with food bank? Is housing still stable? Transportation barriers resolved?"</w:t>
      </w:r>
    </w:p>
    <w:p>
      <w:pPr>
        <w:pStyle w:val="ListBullet"/>
      </w:pPr>
      <w:r>
        <w:t>Closed-Loop Tracking and Outcome Measurement: Tracks referral outcomes through integrated platforms: Was referral sent? Did patient contact the organization? Did patient receive services? Was the identified need addressed? Aggregate tracking at practice level: number of patients screened, prevalence of specific social needs (% with food insecurity, housing instability, etc.), resource connection rates, outcomes (reduction in missed appointments, improvement in disease control).</w:t>
      </w:r>
    </w:p>
    <w:p>
      <w:pPr>
        <w:pStyle w:val="ListBullet"/>
      </w:pPr>
      <w:r>
        <w:t>Integration with Care Management Programs: Enrolls eligible patients in enhanced care management services: Medicare Chronic Care Management (CCM - for patients with 2+ chronic conditions); Medicare Principal Care Management (PCM); Medicaid Health Home services; Accountable Health Communities (AHC) model navigation services.</w:t>
      </w:r>
    </w:p>
    <w:p>
      <w:pPr>
        <w:pStyle w:val="ListBullet"/>
      </w:pPr>
      <w:r>
        <w:t>Population Health Dashboard: Aggregates SDOH data across practice panel showing: prevalence of food insecurity, housing instability, transportation barriers; correlation between social needs and clinical outcomes (HbA1c, BP control, hospitalization rates); geographic hotspots within the practice service area where social needs are concentrated; effectiveness of interventions (before/after comparisons of disease control, ED utilization).</w:t>
      </w:r>
    </w:p>
    <w:p>
      <w:pPr>
        <w:pStyle w:val="Heading3"/>
      </w:pPr>
      <w:r>
        <w:t>Impact on Three Pillars</w:t>
      </w:r>
    </w:p>
    <w:p>
      <w:pPr>
        <w:pStyle w:val="Heading4"/>
      </w:pPr>
      <w:r>
        <w:t>Economics (Value-Based Care &amp; Fee-for-Service)</w:t>
      </w:r>
    </w:p>
    <w:p>
      <w:pPr>
        <w:pStyle w:val="ListBullet"/>
      </w:pPr>
      <w:r>
        <w:t>Addressing food insecurity and transportation barriers improves medication adherence by 40-60%, preventing disease progression and costly complications. For diabetic patients, improved adherence reduces HbA1c by 0.8-1.5%, decreasing risk of microvascular complications (retinopathy, nephropathy, neuropathy) that cost $15,000-$40,000 per event to treat.</w:t>
      </w:r>
    </w:p>
    <w:p>
      <w:pPr>
        <w:pStyle w:val="ListBullet"/>
      </w:pPr>
      <w:r>
        <w:t>Housing stability interventions reduce emergency department visits by 20-30% and hospitalizations by 15-25%. For a patient experiencing homelessness with frequent ED visits (averaging 8-12 visits/year @ $1,200-$1,800 per visit), connecting them with stable housing can save $9,600-$21,600 annually in ED costs alone.[36]</w:t>
      </w:r>
    </w:p>
    <w:p>
      <w:pPr>
        <w:pStyle w:val="ListBullet"/>
      </w:pPr>
      <w:r>
        <w:t>Transportation assistance dramatically reduces missed appointments: providing Lyft/Uber Health rides for high-need patients costs $15-$35 per trip but prevents missed appointments that disrupt chronic disease management and lead to complications. Return on investment is 3:1 to 6:1 when factoring in prevented hospitalizations and ED visits.</w:t>
      </w:r>
    </w:p>
    <w:p>
      <w:pPr>
        <w:pStyle w:val="ListBullet"/>
      </w:pPr>
      <w:r>
        <w:t>Value-based contracts increasingly reward SDOH screening and intervention, with quality metrics tracking percentage of patients screened for social needs and percentage connected to resources. Meeting these benchmarks can generate $20,000-$50,000 in annual quality bonuses for a mid-size practice.</w:t>
      </w:r>
    </w:p>
    <w:p>
      <w:pPr>
        <w:pStyle w:val="ListBullet"/>
      </w:pPr>
      <w:r>
        <w:t>Billable SDOH assessment codes provide direct revenue: a 15-minute SDOH screening and counseling session can be billed at $60-$120 (CPT 99401-99402 for preventive counseling), adding revenue while improving population health outcomes.</w:t>
      </w:r>
    </w:p>
    <w:p>
      <w:pPr>
        <w:pStyle w:val="ListBullet"/>
      </w:pPr>
      <w:r>
        <w:t>Estimated financial impact per PCP: $120,000-$180,000 annually saved per 100 high-need patients through: reduced ED visits and hospitalizations ($80K-$120K); improved medication adherence preventing complications ($25K-$40K); quality bonuses for SDOH screening ($15K-$20K).</w:t>
      </w:r>
    </w:p>
    <w:p>
      <w:pPr>
        <w:pStyle w:val="Heading4"/>
      </w:pPr>
      <w:r>
        <w:t>Quality &amp; Safety</w:t>
      </w:r>
    </w:p>
    <w:p>
      <w:pPr>
        <w:pStyle w:val="ListBullet"/>
      </w:pPr>
      <w:r>
        <w:t>Addressing SDOH improves chronic disease control: food security interventions result in 20-35% improvement in diabetes HbA1c control and hypertension management. Patients who receive food assistance and transportation support are 2-3 times more likely to achieve target HbA1c &lt;8% and BP &lt;140/90.[37]</w:t>
      </w:r>
    </w:p>
    <w:p>
      <w:pPr>
        <w:pStyle w:val="ListBullet"/>
      </w:pPr>
      <w:r>
        <w:t>Transportation assistance reduces missed appointments by 30-50%, enabling consistent preventive care, chronic disease management, and medication monitoring. Continuity of care improves outcomes across all chronic conditions.</w:t>
      </w:r>
    </w:p>
    <w:p>
      <w:pPr>
        <w:pStyle w:val="ListBullet"/>
      </w:pPr>
      <w:r>
        <w:t>Food security interventions reduce hypoglycemia risk in diabetic patients on insulin by ensuring consistent access to adequate nutrition, preventing dangerous blood sugar fluctuations from erratic meal patterns.</w:t>
      </w:r>
    </w:p>
    <w:p>
      <w:pPr>
        <w:pStyle w:val="ListBullet"/>
      </w:pPr>
      <w:r>
        <w:t>Social isolation screening and intervention reduce depression rates, suicide risk, and cognitive decline. Connecting isolated older adults with community programs, senior centers, or telephone reassurance services decreases depression scores by 25-40% and may slow cognitive decline.[38]</w:t>
      </w:r>
    </w:p>
    <w:p>
      <w:pPr>
        <w:pStyle w:val="ListBullet"/>
      </w:pPr>
      <w:r>
        <w:t>Housing stability improves medication storage and adherence: patients with unstable housing often cannot store medications properly (especially refrigerated insulins), lose medications during frequent moves, or lack a secure place to keep controlled substances. Stable housing enables proper medication management.</w:t>
      </w:r>
    </w:p>
    <w:p>
      <w:pPr>
        <w:pStyle w:val="ListBullet"/>
      </w:pPr>
      <w:r>
        <w:t>Safety screening identifies victims of interpersonal violence and abuse, enabling connection to protective services, counseling, and legal advocacy. Identifying and addressing domestic violence improves both physical and mental health outcomes.</w:t>
      </w:r>
    </w:p>
    <w:p>
      <w:pPr>
        <w:pStyle w:val="Heading4"/>
      </w:pPr>
      <w:r>
        <w:t>Population Health &amp; Outcomes</w:t>
      </w:r>
    </w:p>
    <w:p>
      <w:pPr>
        <w:pStyle w:val="ListBullet"/>
      </w:pPr>
      <w:r>
        <w:t>Systematic SDOH screening across the entire patient population identifies previously hidden needs: many patients will not voluntarily disclose food insecurity, housing instability, or financial strain unless directly asked in a sensitive, non-judgmental manner. Universal screening ensures equity and reduces disparities.</w:t>
      </w:r>
    </w:p>
    <w:p>
      <w:pPr>
        <w:pStyle w:val="ListBullet"/>
      </w:pPr>
      <w:r>
        <w:t>Addresses root causes of health disparities: racial and ethnic minorities, low-income populations, and rural communities experience disproportionate burden of adverse SDOH. Systematic screening and resource connection reduce these disparities by ensuring that ALL patients—regardless of race, ethnicity, language, or socioeconomic status—receive support.</w:t>
      </w:r>
    </w:p>
    <w:p>
      <w:pPr>
        <w:pStyle w:val="ListBullet"/>
      </w:pPr>
      <w:r>
        <w:t>Community resource linkage strengthens health system-community partnerships: bidirectional communication through platforms like UniteUs creates accountability, builds trust between healthcare organizations and CBOs, and enables data sharing to measure collective impact.</w:t>
      </w:r>
    </w:p>
    <w:p>
      <w:pPr>
        <w:pStyle w:val="ListBullet"/>
      </w:pPr>
      <w:r>
        <w:t>Longitudinal tracking enables measurement of intervention effectiveness: practices can track SDOH prevalence over time, measure resource connection rates, and correlate interventions with changes in clinical outcomes (disease control, hospitalization rates) and utilization patterns (missed appointments, ED visits).</w:t>
      </w:r>
    </w:p>
    <w:p>
      <w:pPr>
        <w:pStyle w:val="ListBullet"/>
      </w:pPr>
      <w:r>
        <w:t>Improves population health metrics for value-based contracts: systematic SDOH screening and documentation supports risk adjustment in capitated and bundled payment models, ensures appropriate attribution of poor outcomes to social factors rather than quality of care, and demonstrates commitment to whole-person, community-oriented care.</w:t>
      </w:r>
    </w:p>
    <w:p>
      <w:pPr>
        <w:pStyle w:val="ListBullet"/>
      </w:pPr>
      <w:r>
        <w:t>Estimated population-level impact: In a practice panel of 2,500 patients with 400-600 experiencing significant SDOH barriers: 60-70% of identified social needs successfully addressed through resource linkage (240-420 patients receiving services); 25-35% improvement in chronic disease control among patients with SDOH interventions; 20-30% reduction in ED visits and hospitalizations among high-need patients.</w:t>
      </w:r>
    </w:p>
    <w:p>
      <w:pPr>
        <w:pStyle w:val="Heading4"/>
      </w:pPr>
      <w:r>
        <w:t>Physician Value Proposition</w:t>
      </w:r>
    </w:p>
    <w:p>
      <w:pPr>
        <w:pStyle w:val="ListBullet"/>
      </w:pPr>
      <w:r>
        <w:t>Structured, validated screening tool makes SDOH assessment quick (3-5 minutes) and non-stigmatizing, embedding it naturally into the clinical workflow rather than requiring a lengthy separate conversation.</w:t>
      </w:r>
    </w:p>
    <w:p>
      <w:pPr>
        <w:pStyle w:val="ListBullet"/>
      </w:pPr>
      <w:r>
        <w:t>Eliminates the burden of knowing all local community resources: Cordance automatically identifies ZIP code-specific resources with current hours, locations, and eligibility criteria, saving physicians from having to research and maintain lists of constantly changing community programs.</w:t>
      </w:r>
    </w:p>
    <w:p>
      <w:pPr>
        <w:pStyle w:val="ListBullet"/>
      </w:pPr>
      <w:r>
        <w:t>One-click referrals to social workers/CHWs and community organizations save time compared to manual resource navigation and reduce the sense of helplessness physicians feel when they identify social needs but don't know how to address them.</w:t>
      </w:r>
    </w:p>
    <w:p>
      <w:pPr>
        <w:pStyle w:val="ListBullet"/>
      </w:pPr>
      <w:r>
        <w:t>Closed-loop tracking provides accountability and feedback: physicians know whether their patients successfully connected with resources and whether the intervention was effective, reinforcing the value of SDOH screening and reducing "screening fatigue."</w:t>
      </w:r>
    </w:p>
    <w:p>
      <w:pPr>
        <w:pStyle w:val="ListBullet"/>
      </w:pPr>
      <w:r>
        <w:t>Improves patient trust and therapeutic relationship: patients appreciate physicians who acknowledge and address the whole-person reality of their lives, not just their medical diagnoses. SDOH screening communicates caring and improves patient satisfaction scores.</w:t>
      </w:r>
    </w:p>
    <w:p>
      <w:pPr>
        <w:pStyle w:val="ListBullet"/>
      </w:pPr>
      <w:r>
        <w:t>Meets emerging quality metrics and value-based contract requirements: as payers and quality organizations increasingly mandate SDOH screening (e.g., NCQA Health Equity Accreditation, CMS Accountable Health Communities model), Cordance enables practices to meet these requirements effortlessly without additional documentation burden.</w:t>
      </w:r>
    </w:p>
    <w:p>
      <w:pPr>
        <w:pStyle w:val="ListBullet"/>
      </w:pPr>
      <w:r>
        <w:t>Billing opportunity: SDOH screening and counseling can be billed using preventive medicine counseling codes (99401-99404), G0136, or 96160-96161, generating revenue while improving care.</w:t>
      </w:r>
    </w:p>
    <w:p>
      <w:pPr>
        <w:pStyle w:val="ListBullet"/>
      </w:pPr>
      <w:r>
        <w:t>Reduces moral distress: physicians experience significant moral distress when they identify patients' social needs but lack tools or time to help. Cordance provides actionable pathways to address these needs, reducing burnout and improving physician well-being.</w:t>
      </w:r>
    </w:p>
    <w:p>
      <w:pPr>
        <w:pStyle w:val="Heading4"/>
      </w:pPr>
      <w:r>
        <w:t>Implementation Considerations</w:t>
      </w:r>
    </w:p>
    <w:p>
      <w:pPr>
        <w:pStyle w:val="ListBullet"/>
      </w:pPr>
      <w:r>
        <w:t>Integration with community resource platforms such as UniteUs, NowPow, Aunt Bertha, or findhelp.org, enabling closed-loop referrals, bidirectional communication with CBOs, and tracking of referral outcomes.</w:t>
      </w:r>
    </w:p>
    <w:p>
      <w:pPr>
        <w:pStyle w:val="ListBullet"/>
      </w:pPr>
      <w:r>
        <w:t>Multilingual SDOH screening tools and resource directories available in Spanish, Chinese, Vietnamese, Arabic, and other commonly spoken languages in the practice's service area.</w:t>
      </w:r>
    </w:p>
    <w:p>
      <w:pPr>
        <w:pStyle w:val="ListBullet"/>
      </w:pPr>
      <w:r>
        <w:t>Community health worker (CHW) or social work partnerships: embedded CHWs in the practice for same-day warm handoffs; contracts with community organizations providing CHW services; training for medical assistants and nurses to conduct initial SDOH screening.</w:t>
      </w:r>
    </w:p>
    <w:p>
      <w:pPr>
        <w:pStyle w:val="ListBullet"/>
      </w:pPr>
      <w:r>
        <w:t>Patient portal integration for secure resource sharing, allowing patients to access their personalized resource list, communicate with social workers/CHWs, and update their social needs status.</w:t>
      </w:r>
    </w:p>
    <w:p>
      <w:pPr>
        <w:pStyle w:val="ListBullet"/>
      </w:pPr>
      <w:r>
        <w:t>Partnerships with local community-based organizations: formal partnerships with food banks, housing agencies, transportation providers; shared data agreements to track referral outcomes; regular meetings to align services and address gaps.</w:t>
      </w:r>
    </w:p>
    <w:p>
      <w:pPr>
        <w:pStyle w:val="ListBullet"/>
      </w:pPr>
      <w:r>
        <w:t>Training for clinical staff on trauma-informed care and sensitive SDOH screening: how to ask about sensitive topics (food insecurity, homelessness, domestic violence) in a non-judgmental way; cultural competency in understanding how social needs manifest across diverse populations; motivational interviewing techniques to support behavior change.</w:t>
      </w:r>
    </w:p>
    <w:p>
      <w:pPr>
        <w:pStyle w:val="ListBullet"/>
      </w:pPr>
      <w:r>
        <w:t>Data analytics infrastructure to track SDOH prevalence, resource connection rates, and intervention effectiveness: dashboards showing geographic distribution of social needs; correlation analyses between social needs and clinical outcomes; before/after comparisons of patients receiving interventions.</w:t>
      </w:r>
    </w:p>
    <w:p>
      <w:pPr>
        <w:pStyle w:val="ListBullet"/>
      </w:pPr>
      <w:r>
        <w:t>Billing and coding support: training for billing staff on appropriate use of SDOH screening codes (G0136, 96160-96161, 99401-99404); documentation templates supporting medical necessity and time-based billing.</w:t>
      </w:r>
    </w:p>
    <w:p>
      <w:pPr>
        <w:pStyle w:val="ListBullet"/>
      </w:pPr>
      <w:r>
        <w:t>Integration with care management programs: workflows for enrolling patients with complex SDOH needs into Medicare CCM, Medicaid Health Homes, or other intensive care management programs that provide ongoing support and navigation.</w:t>
      </w:r>
    </w:p>
    <w:p>
      <w:r>
        <w:br w:type="page"/>
      </w:r>
    </w:p>
    <w:p>
      <w:pPr>
        <w:pStyle w:val="Heading2"/>
      </w:pPr>
      <w:r>
        <w:t>USE CASE 8: Pre-operative Risk Stratification and Medical Clearance Optimization</w:t>
      </w:r>
    </w:p>
    <w:p>
      <w:pPr>
        <w:pStyle w:val="Heading3"/>
      </w:pPr>
      <w:r>
        <w:t>Clinical Scenario</w:t>
      </w:r>
    </w:p>
    <w:p>
      <w:r>
        <w:t>A 68-year-old patient with a medical history of hypertension, type 2 diabetes, and coronary artery disease (remote MI 8 years ago, currently asymptomatic) is scheduled for elective total hip replacement in 3 weeks due to severe osteoarthritis limiting mobility. The orthopedic surgeon's office calls requesting "cardiac clearance" and sends a generic pre-operative clearance form. The primary care physician faces multiple uncertainties: Which cardiac tests are actually needed—is an EKG sufficient, or should stress testing or echocardiography be ordered? How should perioperative cardiac risk be calculated? Is the patient's diabetes optimally controlled for surgery (current HbA1c 7.8%)? What about the patient's medications—should aspirin be continued or held? Should metformin be stopped the day of surgery? The patient is on warfarin for atrial fibrillation—what is the appropriate bridging protocol?</w:t>
        <w:br/>
        <w:br/>
        <w:t>Additionally, the anesthesiologist's requirements are unclear—the surgeon's office mentions "standard pre-op labs" but doesn't specify which ones, and the patient is uncertain whether these were already drawn at a pre-surgical visit. The patient is anxious about surgical risk and asks, "Doctor, am I healthy enough for this surgery? What are the chances something could go wrong?" The physician wants to provide reassurance but lacks tools to quantify perioperative risk accurately.</w:t>
        <w:br/>
        <w:br/>
        <w:t>Time pressure compounds the challenge: if required tests aren't completed in time, the surgery may be canceled, disappointing the patient and frustrating the surgical team. Conversely, ordering unnecessary tests (stress tests for low-risk patients) wastes healthcare dollars, delays surgery, and may lead to false-positive results triggering invasive workups. The physician needs a systematic, evidence-based approach to pre-operative assessment that balances thoroughness with efficiency, ensures patient safety, and meets all anesthesia/surgical requirements.</w:t>
      </w:r>
    </w:p>
    <w:p>
      <w:pPr>
        <w:pStyle w:val="Heading3"/>
      </w:pPr>
      <w:r>
        <w:t>Current State Challenges</w:t>
      </w:r>
    </w:p>
    <w:p>
      <w:r>
        <w:rPr>
          <w:b/>
        </w:rPr>
        <w:t>At a practice level:</w:t>
      </w:r>
    </w:p>
    <w:p>
      <w:pPr>
        <w:pStyle w:val="ListBullet"/>
      </w:pPr>
      <w:r>
        <w:t>Pre-operative clearance requests are frequent (affecting 15-25% of primary care patients annually) but clinical guidelines are complex, specialty-specific, and frequently misunderstood. The 2014 ACC/AHA Guideline on Perioperative Cardiovascular Evaluation emphasizes that the goal is NOT "clearance" but rather risk stratification and optimization.[39]</w:t>
      </w:r>
    </w:p>
    <w:p>
      <w:pPr>
        <w:pStyle w:val="ListBullet"/>
      </w:pPr>
      <w:r>
        <w:t>Conceptual shift from "cardiac clearance" to "perioperative risk assessment and mitigation": modern guidelines recognize that physicians cannot guarantee safety but can identify risk factors, optimize medical management, and facilitate informed consent. Yet, this paradigm shift has not been widely adopted, leading to requests for "clearance" that mis frame the physician's role.</w:t>
      </w:r>
    </w:p>
    <w:p>
      <w:pPr>
        <w:pStyle w:val="ListBullet"/>
      </w:pPr>
      <w:r>
        <w:t>Unnecessary testing is common and costly: stress testing in low-risk patients undergoing low/intermediate-risk surgery does not improve outcomes but delays surgery, generates false-positive results (5-15% false-positive rate), and triggers cascades of unnecessary invasive procedures (coronary angiography). Each unnecessary stress test costs $1,500-$3,000 and delays surgery by 1-3 weeks.[40]</w:t>
      </w:r>
    </w:p>
    <w:p>
      <w:pPr>
        <w:pStyle w:val="ListBullet"/>
      </w:pPr>
      <w:r>
        <w:t>Conversely, missing required tests leads to costly operating room (OR) cancellations: day-of-surgery cancellations due to incomplete pre-operative workup cost $1,500-$10,000 per case in wasted OR time, staff resources, anesthesia preparation, and patient/surgeon frustration. Cancellation rates due to inadequate pre-op assessment range from 5-15% at some institutions.[41]</w:t>
      </w:r>
    </w:p>
    <w:p>
      <w:pPr>
        <w:pStyle w:val="ListBullet"/>
      </w:pPr>
      <w:r>
        <w:t>Variation in anesthesia requirements across surgical centers creates confusion: some anesthesia groups require potassium levels within 7 days for all patients; others only for patients on diuretics. Some require EKGs for all patients &gt;50 years; others only for patients with cardiac risk factors. Lack of standardization leads to inconsistent testing.</w:t>
      </w:r>
    </w:p>
    <w:p>
      <w:pPr>
        <w:pStyle w:val="ListBullet"/>
      </w:pPr>
      <w:r>
        <w:t>Communication gaps between PCPs, surgeons, and anesthesiologists result in missing information, duplicated tests, and delays. Faxed clearance forms are often incomplete, illegible, or lost.</w:t>
      </w:r>
    </w:p>
    <w:p>
      <w:r>
        <w:rPr>
          <w:b/>
        </w:rPr>
        <w:t>At the individual patient level:</w:t>
      </w:r>
    </w:p>
    <w:p>
      <w:pPr>
        <w:pStyle w:val="ListBullet"/>
      </w:pPr>
      <w:r>
        <w:t>Revised Cardiac Risk Index (RCRI) accurately predicts perioperative major adverse cardiac events (MACE): patients with 0 RCRI factors have 0.4% risk of MACE; 1 factor = 0.9% risk; 2 factors = 6.6% risk; ≥3 factors = 11% risk. Yet, RCRI is underutilized in primary care, leading to both over-testing (stress tests in low-risk patients) and under-recognition of high-risk patients who would benefit from cardiology consultation.[42]</w:t>
      </w:r>
    </w:p>
    <w:p>
      <w:pPr>
        <w:pStyle w:val="ListBullet"/>
      </w:pPr>
      <w:r>
        <w:t>Patients on anticoagulation (warfarin, DOACs) require specific perioperative management protocols: when to stop, whether to bridge with heparin, when to restart. Errors in anticoagulation management cause 15-25% of perioperative bleeding complications and 10-15% of perioperative thrombotic events (stroke, DVT/PE).[43]</w:t>
      </w:r>
    </w:p>
    <w:p>
      <w:pPr>
        <w:pStyle w:val="ListBullet"/>
      </w:pPr>
      <w:r>
        <w:t>Diabetes management requires perioperative planning: metformin should be held on the day of surgery (risk of lactic acidosis with contrast or hemodynamic instability); sulfonylureas should be held (hypoglycemia risk during fasting); insulin regimens need adjustment. Poor glycemic control (HbA1c &gt;8-9%) increases surgical site infection risk by 2-3 fold.</w:t>
      </w:r>
    </w:p>
    <w:p>
      <w:pPr>
        <w:pStyle w:val="ListBullet"/>
      </w:pPr>
      <w:r>
        <w:t>Patients often have unrealistic expectations about surgical risk, either underestimating risk ("it's routine surgery") or catastrophizing ("I'm going to die on the table"). Accurate risk communication is essential for informed consent but difficult without quantified risk estimates.</w:t>
      </w:r>
    </w:p>
    <w:p>
      <w:pPr>
        <w:pStyle w:val="ListBullet"/>
      </w:pPr>
      <w:r>
        <w:t>Fragmented pre-operative process causes patient anxiety and confusion: multiple phone calls from surgeon's office, anesthesia, lab, radiology; conflicting instructions about medications; uncertainty about what tests are needed and where to get them.</w:t>
      </w:r>
    </w:p>
    <w:p>
      <w:pPr>
        <w:pStyle w:val="Heading3"/>
      </w:pPr>
      <w:r>
        <w:t>Cordance Solution</w:t>
      </w:r>
    </w:p>
    <w:p>
      <w:pPr>
        <w:pStyle w:val="Heading4"/>
      </w:pPr>
      <w:r>
        <w:t>Before Encounter</w:t>
      </w:r>
    </w:p>
    <w:p>
      <w:pPr>
        <w:pStyle w:val="ListBullet"/>
      </w:pPr>
      <w:r>
        <w:t>Automatically identifies all patients with upcoming surgeries requiring pre-operative medical assessment based on: surgical schedule integration (bidirectional interface with surgical scheduling systems); clearance requests received electronically from surgeons/anesthesiologists; patient self-reporting of upcoming procedures.</w:t>
      </w:r>
    </w:p>
    <w:p>
      <w:pPr>
        <w:pStyle w:val="ListBullet"/>
      </w:pPr>
      <w:r>
        <w:t>Pre-loads comprehensive clinical data needed for risk assessment: surgery type and invasiveness (classified as low, intermediate, or high-risk per ACC/AHA guidelines); patient comorbidities (diabetes, hypertension, coronary artery disease, heart failure, cerebrovascular disease, chronic kidney disease); current medications with particular attention to anticoagulants, antiplatelets, metformin, insulin; recent labs and tests (CBC, BMP, coagulation studies, EKG, echocardiogram) with dates; functional capacity assessment from prior visits.</w:t>
      </w:r>
    </w:p>
    <w:p>
      <w:pPr>
        <w:pStyle w:val="ListBullet"/>
      </w:pPr>
      <w:r>
        <w:t>Retrieves specific anesthesia group requirements for the surgical facility: potassium level within 7 days for patients on diuretics; EKG within 30 days for patients &gt;65 years or with cardiac risk factors; chest X-ray for patients with cardiopulmonary disease undergoing thoracic/abdominal surgery; pregnancy test for women of childbearing age; type and screen for surgeries with expected blood loss &gt;500mL.</w:t>
      </w:r>
    </w:p>
    <w:p>
      <w:pPr>
        <w:pStyle w:val="ListBullet"/>
      </w:pPr>
      <w:r>
        <w:t>Flags missing requirements before the appointment, enabling proactive test ordering and preventing last-minute scrambling or OR cancellations.</w:t>
      </w:r>
    </w:p>
    <w:p>
      <w:pPr>
        <w:pStyle w:val="Heading4"/>
      </w:pPr>
      <w:r>
        <w:t>During Encounter</w:t>
      </w:r>
    </w:p>
    <w:p>
      <w:r>
        <w:t>Cordance displays a comprehensive Pre-Operative Risk Assessment Dashboard providing evidence-based decision support:</w:t>
      </w:r>
    </w:p>
    <w:p>
      <w:pPr>
        <w:pStyle w:val="ListBullet"/>
      </w:pPr>
      <w:r>
        <w:t>Automatic Revised Cardiac Risk Index (RCRI) Calculation based on 6 validated risk factors: (1) High-risk surgery: intrathoracic, intraperitoneal, or suprainguinal vascular procedures; (2) Ischemic heart disease: history of MI, positive stress test, chest pain due to coronary ischemia, or nitrate use; (3) History of congestive heart failure; (4) History of cerebrovascular disease (stroke or TIA); (5) Preoperative treatment with insulin for diabetes; (6) Preoperative serum creatinine &gt;2 mg/dL. System automatically calculates RCRI score and displays predicted risk: 0 factors = 0.4% risk of MACE (MI, cardiac arrest, death); 1 factor = 0.9%; 2 factors = 6.6%; ≥3 factors = 11%.[44]</w:t>
      </w:r>
    </w:p>
    <w:p>
      <w:pPr>
        <w:pStyle w:val="ListBullet"/>
      </w:pPr>
      <w:r>
        <w:t>Risk-Based Testing Recommendations aligned with ACC/AHA Guidelines: LOW RISK (RCRI 0-1, &lt;1% perioperative MACE risk) → NO additional cardiac testing recommended; proceed directly to surgery with current medical therapy. NO stress test, NO echocardiogram unless symptoms suggest decompensated heart failure. INTERMEDIATE RISK (RCRI 2, ~7% perioperative MACE risk) → Consider functional capacity assessment. If patient can climb 2 flights of stairs or walk 4 blocks without symptoms → proceed to surgery. If poor/unknown functional capacity AND test result would change management → consider non-invasive stress testing or cardiology consultation. HIGH RISK (RCRI ≥3, &gt;10% perioperative MACE risk) → Cardiology consultation recommended for risk assessment, medical optimization (beta-blockers, statins), and discussion of whether surgery should proceed or be delayed for cardiac intervention.</w:t>
      </w:r>
    </w:p>
    <w:p>
      <w:pPr>
        <w:pStyle w:val="ListBullet"/>
      </w:pPr>
      <w:r>
        <w:t>Important Evidence-Based Principle Highlighted by Cordance: Routine preoperative coronary revascularization (PCI or CABG) in asymptomatic patients does NOT reduce perioperative cardiac events and may worsen outcomes. The 2004 CARP trial and 2009 DECREASE-V trial definitively showed no benefit.[45] Cordance prevents inappropriate referrals for "pre-surgical cardiac catheterization."</w:t>
      </w:r>
    </w:p>
    <w:p>
      <w:pPr>
        <w:pStyle w:val="ListBullet"/>
      </w:pPr>
      <w:r>
        <w:t>Surgery-Specific and Anesthesia-Specific Pre-operative Checklist automatically generated: Required labs with appropriate timing: CBC (hemoglobin/hematocrit to detect anemia); BMP (potassium, creatinine); coagulation studies (PT/INR for patients on warfarin; baseline for others only if bleeding risk); pregnancy test (women of childbearing age). Required imaging: Chest X-ray only if indicated (cardiopulmonary disease + thoracic/abdominal surgery); NOT routine. EKG: Required if &gt;65 years OR cardiac risk factors OR undergoing intermediate/high-risk surgery. Cardiac testing: Stress test or echocardiogram ONLY if indicated per RCRI/functional capacity assessment (see above); discourage routine testing in low-risk patients.</w:t>
      </w:r>
    </w:p>
    <w:p>
      <w:pPr>
        <w:pStyle w:val="ListBullet"/>
      </w:pPr>
      <w:r>
        <w:t>Medication Management Guidance with specific perioperative instructions: Anticoagulation: WARFARIN: Stop 5 days before surgery, check INR 1-2 days before (target &lt;1.5). Bridge with low-molecular-weight heparin (enoxaparin) if HIGH thrombotic risk (mechanical heart valve, atrial fibrillation with CHADS2 ≥5, recent VTE within 3 months). Resume warfarin evening of surgery or next day if hemostasis adequate. DOACs (apixaban, rivaroxaban, dabigatran): Stop 24-48 hours before low-bleeding-risk surgery, 48-96 hours before high-bleeding-risk surgery (based on renal function). NO routine bridging needed for DOACs. Antiplatelet Agents: ASPIRIN: Continue perioperatively for patients with coronary stents or high cardiovascular risk UNLESS high bleeding-risk surgery (neurosurgery, ophthalmologic surgery). CLOPIDOGREL/PRASUGREL: Hold 5-7 days before surgery UNLESS patient has coronary stent placed within past 6-12 months (consult cardiology). Diabetes Medications: METFORMIN: Hold morning of surgery (resume when eating normally). SULFONYLUREAS (glipizide, glyburide): Hold morning of surgery (hypoglycemia risk). INSULIN: Reduce long-acting insulin dose by 20-25% morning of surgery; hold short-acting insulin. Target glucose 140-180 mg/dL perioperatively. Antihypertensives: CONTINUE most antihypertensives (ACE-I/ARB may be held morning of surgery per anesthesia preference). CONTINUE beta-blockers (abrupt withdrawal increases cardiac risk). Statins: CONTINUE perioperatively (reduce inflammation and plaque stabilization).</w:t>
      </w:r>
    </w:p>
    <w:p>
      <w:pPr>
        <w:pStyle w:val="ListBullet"/>
      </w:pPr>
      <w:r>
        <w:t>One-Click Pre-Operative Orders: Missing labs/tests flagged with enhanced ordering: "Missing: Potassium level within 7 days → Order BMP now with results to surgical center"; "Missing: EKG within 30 days → Order EKG now"; Automatic generation of medication instructions for patient (written summary of what to take/hold); Structured "Medical Clearance Letter" template auto-populated with: RCRI score and estimated cardiac risk; summary of optimization steps taken (e.g., "Started beta-blocker, optimized diabetes control"); specific medication instructions for perioperative period; anesthesia requirements completed (labs, EKG, imaging); recommendation: "Patient is optimized for surgery. Estimated perioperative MACE risk 0.9% (RCRI 1 point). Proceed with surgery as planned."</w:t>
      </w:r>
    </w:p>
    <w:p>
      <w:pPr>
        <w:pStyle w:val="Heading4"/>
      </w:pPr>
      <w:r>
        <w:t>After Encounter</w:t>
      </w:r>
    </w:p>
    <w:p>
      <w:pPr>
        <w:pStyle w:val="ListBullet"/>
      </w:pPr>
      <w:r>
        <w:t>Automated Test Ordering: All missing labs and tests identified during encounter are ordered electronically with results routed to: primary care physician, surgeon, anesthesiologist, patient portal.</w:t>
      </w:r>
    </w:p>
    <w:p>
      <w:pPr>
        <w:pStyle w:val="ListBullet"/>
      </w:pPr>
      <w:r>
        <w:t>Clearance Letter Transmission: Structured, comprehensive clearance letter sent electronically to surgeon and anesthesia team including: patient demographics, surgery date/type; RCRI score and perioperative cardiac risk estimate; summary of comorbidities and current medications; recent labs and test results; specific perioperative medication instructions; recommendation statement.</w:t>
      </w:r>
    </w:p>
    <w:p>
      <w:pPr>
        <w:pStyle w:val="ListBullet"/>
      </w:pPr>
      <w:r>
        <w:t>Patient Education Materials: "Preparing for Your Surgery" guide including: medication instructions (what to take, what to hold, with specific dates/times); fasting instructions (NPO after midnight vs clear liquids until 2 hours before); what to bring to surgical center; when to arrive; post-operative care planning (who will drive patient home, pain management expectations).</w:t>
      </w:r>
    </w:p>
    <w:p>
      <w:pPr>
        <w:pStyle w:val="ListBullet"/>
      </w:pPr>
      <w:r>
        <w:t>Abnormal Result Alerts: If new labs reveal abnormality (e.g., potassium 3.0 mEq/L, hemoglobin 9.5 g/dL), system generates alert to PCP: "URGENT: Abnormal pre-op lab for [patient] scheduled for surgery on [date]. Potassium 3.0 (low) - requires repletion and recheck before surgery. Contact patient and surgical team."</w:t>
      </w:r>
    </w:p>
    <w:p>
      <w:pPr>
        <w:pStyle w:val="ListBullet"/>
      </w:pPr>
      <w:r>
        <w:t>OR Cancellation Tracking: System tracks whether surgeries proceeded as scheduled or were canceled/delayed due to inadequate pre-operative workup, providing feedback to improve processes and reduce cancellations.</w:t>
      </w:r>
    </w:p>
    <w:p>
      <w:pPr>
        <w:pStyle w:val="Heading3"/>
      </w:pPr>
      <w:r>
        <w:t>Impact on Three Pillars</w:t>
      </w:r>
    </w:p>
    <w:p>
      <w:pPr>
        <w:pStyle w:val="Heading4"/>
      </w:pPr>
      <w:r>
        <w:t>Economics (Value-Based Care &amp; Fee-for-Service)</w:t>
      </w:r>
    </w:p>
    <w:p>
      <w:pPr>
        <w:pStyle w:val="ListBullet"/>
      </w:pPr>
      <w:r>
        <w:t>Prevents costly OR cancellations ($1,500-$10,000 per canceled case) due to incomplete pre-operative workup or abnormal labs discovered day-of-surgery. Reducing cancellation rates from 10% to 2-3% saves $120,000-$400,000 annually for a busy surgical practice performing 1,500-2,000 cases/year.</w:t>
      </w:r>
    </w:p>
    <w:p>
      <w:pPr>
        <w:pStyle w:val="ListBullet"/>
      </w:pPr>
      <w:r>
        <w:t>Reduces unnecessary cardiac testing (stress tests, echocardiograms) in low-risk patients, saving $1,500-$3,000 per avoided test. For a PCP performing 200 pre-operative evaluations annually, preventing 30-50 unnecessary stress tests saves $45,000-$150,000.</w:t>
      </w:r>
    </w:p>
    <w:p>
      <w:pPr>
        <w:pStyle w:val="ListBullet"/>
      </w:pPr>
      <w:r>
        <w:t>Optimized perioperative medical management (beta-blocker continuation, statin therapy, glycemic control) reduces post-operative complications by 20-30%, decreasing length of stay and readmission rates.</w:t>
      </w:r>
    </w:p>
    <w:p>
      <w:pPr>
        <w:pStyle w:val="ListBullet"/>
      </w:pPr>
      <w:r>
        <w:t>Improved surgical throughput and OR efficiency: systematic pre-operative optimization prevents delays, cancellations, and rescheduling, maximizing OR utilization (high fixed costs of $30-$50 per minute).</w:t>
      </w:r>
    </w:p>
    <w:p>
      <w:pPr>
        <w:pStyle w:val="ListBullet"/>
      </w:pPr>
      <w:r>
        <w:t>Estimated financial impact per PCP: $80,000-$150,000 annually through reduced OR cancellations, avoided unnecessary testing, and prevention of perioperative complications.</w:t>
      </w:r>
    </w:p>
    <w:p>
      <w:pPr>
        <w:pStyle w:val="Heading4"/>
      </w:pPr>
      <w:r>
        <w:t>Quality &amp; Safety</w:t>
      </w:r>
    </w:p>
    <w:p>
      <w:pPr>
        <w:pStyle w:val="ListBullet"/>
      </w:pPr>
      <w:r>
        <w:t>RCRI-based risk stratification prevents both under-testing (missing high-risk patients) and over-testing (routine stress tests in low-risk patients who derive no benefit and may be harmed by false-positive results leading to unnecessary coronary angiography).[46]</w:t>
      </w:r>
    </w:p>
    <w:p>
      <w:pPr>
        <w:pStyle w:val="ListBullet"/>
      </w:pPr>
      <w:r>
        <w:t>Evidence-based guideline adherence: ACC/AHA guidelines emphasize that routine preoperative stress testing does NOT improve outcomes in asymptomatic patients and that preoperative coronary revascularization is NOT beneficial. Cordance prevents inappropriate testing and interventions.</w:t>
      </w:r>
    </w:p>
    <w:p>
      <w:pPr>
        <w:pStyle w:val="ListBullet"/>
      </w:pPr>
      <w:r>
        <w:t>Systematic anticoagulation bridging protocols prevent both perioperative bleeding (from excessive bridging) and thrombotic events (from inadequate anticoagulation management). Evidence-based protocols reduce complications by 30-50%.</w:t>
      </w:r>
    </w:p>
    <w:p>
      <w:pPr>
        <w:pStyle w:val="ListBullet"/>
      </w:pPr>
      <w:r>
        <w:t>Medication optimization reduces perioperative cardiac events: continuing beta-blockers in patients already on them prevents withdrawal-related tachycardia and ischemia; continuing statins reduces inflammation and plaque instability.</w:t>
      </w:r>
    </w:p>
    <w:p>
      <w:pPr>
        <w:pStyle w:val="ListBullet"/>
      </w:pPr>
      <w:r>
        <w:t>Comprehensive pre-operative checklist ensures all anesthesia requirements are met, reducing day-of-surgery surprises, delays, and patient anxiety.</w:t>
      </w:r>
    </w:p>
    <w:p>
      <w:pPr>
        <w:pStyle w:val="Heading4"/>
      </w:pPr>
      <w:r>
        <w:t>Population Health &amp; Outcomes</w:t>
      </w:r>
    </w:p>
    <w:p>
      <w:pPr>
        <w:pStyle w:val="ListBullet"/>
      </w:pPr>
      <w:r>
        <w:t>Standardized, evidence-based pre-operative risk assessment across all patients undergoing elective surgery, improving consistency and reducing practice variation.</w:t>
      </w:r>
    </w:p>
    <w:p>
      <w:pPr>
        <w:pStyle w:val="ListBullet"/>
      </w:pPr>
      <w:r>
        <w:t>Tracking of perioperative outcomes (MACE, complications, cancellations) enables continuous quality improvement and data-driven conversations with surgical/anesthesia teams about testing requirements.</w:t>
      </w:r>
    </w:p>
    <w:p>
      <w:pPr>
        <w:pStyle w:val="ListBullet"/>
      </w:pPr>
      <w:r>
        <w:t>Estimated impact: 50-70% reduction in OR cancellations due to incomplete pre-op workup; 40-60% reduction in unnecessary cardiac testing; 15-25% reduction in perioperative complications through medical optimization.</w:t>
      </w:r>
    </w:p>
    <w:p>
      <w:pPr>
        <w:pStyle w:val="Heading4"/>
      </w:pPr>
      <w:r>
        <w:t>Physician Value Proposition</w:t>
      </w:r>
    </w:p>
    <w:p>
      <w:pPr>
        <w:pStyle w:val="ListBullet"/>
      </w:pPr>
      <w:r>
        <w:t>Eliminates uncertainty about which tests are needed with surgery-specific, anesthesia-specific checklists generated automatically.</w:t>
      </w:r>
    </w:p>
    <w:p>
      <w:pPr>
        <w:pStyle w:val="ListBullet"/>
      </w:pPr>
      <w:r>
        <w:t>Automated RCRI calculation removes mental math and guideline memorization, providing evidence-based testing recommendations instantly.</w:t>
      </w:r>
    </w:p>
    <w:p>
      <w:pPr>
        <w:pStyle w:val="ListBullet"/>
      </w:pPr>
      <w:r>
        <w:t>One-click clearance templates save 10-15 minutes per pre-operative visit, reducing documentation burden.</w:t>
      </w:r>
    </w:p>
    <w:p>
      <w:pPr>
        <w:pStyle w:val="ListBullet"/>
      </w:pPr>
      <w:r>
        <w:t>Reduces phone calls and rework from missing information or unclear instructions, improving efficiency.</w:t>
      </w:r>
    </w:p>
    <w:p>
      <w:pPr>
        <w:pStyle w:val="ListBullet"/>
      </w:pPr>
      <w:r>
        <w:t>Protects against medicolegal risk by documenting systematic, guideline-concordant risk assessment and informed consent process.</w:t>
      </w:r>
    </w:p>
    <w:p>
      <w:pPr>
        <w:pStyle w:val="ListBullet"/>
      </w:pPr>
      <w:r>
        <w:t>Improves relationships with surgical colleagues by providing thorough, timely, high-quality pre-operative assessments.</w:t>
      </w:r>
    </w:p>
    <w:p>
      <w:pPr>
        <w:pStyle w:val="Heading4"/>
      </w:pPr>
      <w:r>
        <w:t>Implementation Considerations</w:t>
      </w:r>
    </w:p>
    <w:p>
      <w:pPr>
        <w:pStyle w:val="ListBullet"/>
      </w:pPr>
      <w:r>
        <w:t>Integration with surgical scheduling systems to automatically identify upcoming surgeries and trigger pre-operative workflows.</w:t>
      </w:r>
    </w:p>
    <w:p>
      <w:pPr>
        <w:pStyle w:val="ListBullet"/>
      </w:pPr>
      <w:r>
        <w:t>Anesthesia group-specific requirement databases (varies by hospital/surgery center): customizable checklists reflecting local practice patterns and requirements.</w:t>
      </w:r>
    </w:p>
    <w:p>
      <w:pPr>
        <w:pStyle w:val="ListBullet"/>
      </w:pPr>
      <w:r>
        <w:t>Bidirectional EHR integration for automated RCRI calculation, lab result tracking, and electronic order entry.</w:t>
      </w:r>
    </w:p>
    <w:p>
      <w:pPr>
        <w:pStyle w:val="ListBullet"/>
      </w:pPr>
      <w:r>
        <w:t>Evidence-based anticoagulation bridging protocols and patient education materials (when to stop, when to restart, signs of bleeding/clotting).</w:t>
      </w:r>
    </w:p>
    <w:p>
      <w:pPr>
        <w:pStyle w:val="ListBullet"/>
      </w:pPr>
      <w:r>
        <w:t>Structured clearance letter templates meeting surgeon/anesthesia documentation requirements.</w:t>
      </w:r>
    </w:p>
    <w:p>
      <w:pPr>
        <w:pStyle w:val="ListBullet"/>
      </w:pPr>
      <w:r>
        <w:t>Quality tracking dashboards: OR cancellation rates, unnecessary testing rates, perioperative complication rates, time from clearance request to completion.</w:t>
      </w:r>
    </w:p>
    <w:p>
      <w:r>
        <w:br w:type="page"/>
      </w:r>
    </w:p>
    <w:p>
      <w:pPr>
        <w:pStyle w:val="Heading2"/>
      </w:pPr>
      <w:r>
        <w:t>USE CASE 9: Generic/Biosimilar Therapeutic Interchange and Medication Cost Optimization</w:t>
      </w:r>
    </w:p>
    <w:p>
      <w:pPr>
        <w:pStyle w:val="Heading3"/>
      </w:pPr>
      <w:r>
        <w:t>Clinical Scenario</w:t>
      </w:r>
    </w:p>
    <w:p>
      <w:r>
        <w:t>A 55-year-old patient with moderate-to-severe rheumatoid arthritis has been successfully managed for 3 years on adalimumab (Humira) 40mg subcutaneous injection every 2 weeks. Their disease is well-controlled with minimal joint pain, no morning stiffness, and stable inflammatory markers (CRP &lt;0.5 mg/dL). However, the patient reports significant financial strain from medication costs: Humira costs approximately $6,000 per month ($72,000 annually), with the patient's insurance requiring a $400 monthly copayment ($4,800 annually) even after meeting their deductible. The patient has begun skipping doses to stretch their medication supply, taking injections every 3 weeks instead of every 2 weeks, leading to breakthrough joint pain and concern about disease flare.</w:t>
        <w:br/>
        <w:br/>
        <w:t>The primary care physician learns that several interchangeable biosimilars to Humira are now available—including Cyltezo, Hyrimoz, and Abrilada—priced 50-60% lower than the reference biologic, with patient copayments as low as $50-$100 per month. The physician wants to switch the patient to a biosimilar to reduce costs and improve adherence, but faces uncertainty: Are biosimilars truly equivalent in efficacy and safety to the reference biologic? What does "interchangeable" mean from a regulatory perspective? Will switching from Humira to a biosimilar cause a disease flare or loss of response? How should the patient be counseled about this change to address concerns about "switching to a different medication"? Will the patient's insurance cover the biosimilar, and is prior authorization required?</w:t>
        <w:br/>
        <w:br/>
        <w:t>More broadly, the physician recognizes that this medication cost challenge extends beyond biologics to common therapeutic classes: branded inhalers (Symbicort, Advair, Breo) with generic alternatives (Wixela, generic fluticasone/salmeterol); branded PPIs (Nexium, Protonix) vs generics (omeprazole, pantoprazole); branded antidepressants (Cymbalta, Pristiq) vs generics (duloxetine, desvenlafaxine). The physician lacks real-time formulary information at the point of prescribing, doesn't know patients' copayments until after prescriptions are sent to pharmacies (often resulting in abandoned prescriptions), and has no systematic process to identify high-cost medications with available lower-cost alternatives.</w:t>
      </w:r>
    </w:p>
    <w:p>
      <w:pPr>
        <w:pStyle w:val="Heading3"/>
      </w:pPr>
      <w:r>
        <w:t>Current State Challenges</w:t>
      </w:r>
    </w:p>
    <w:p>
      <w:r>
        <w:rPr>
          <w:b/>
        </w:rPr>
        <w:t>At a practice level:</w:t>
      </w:r>
    </w:p>
    <w:p>
      <w:pPr>
        <w:pStyle w:val="ListBullet"/>
      </w:pPr>
      <w:r>
        <w:t>Biosimilars have generated $56 billion in cumulative healthcare savings since their introduction in 2015, with $20 billion saved in 2024 alone as more biosimilars enter the market and achieve higher adoption rates. Yet, biosimilar utilization remains suboptimal due to physician/patient unfamiliarity, switching inertia, and complex insurance coverage.[47]</w:t>
      </w:r>
    </w:p>
    <w:p>
      <w:pPr>
        <w:pStyle w:val="ListBullet"/>
      </w:pPr>
      <w:r>
        <w:t>Despite FDA approval demonstrating no clinically meaningful differences in safety or efficacy compared to reference biologics, biosimilar adoption faces barriers: physician uncertainty about "interchangeability" designation and its clinical implications; patient concerns about switching from a medication that's working; insurance formulary complexities requiring prior authorization for biosimilars in some cases.</w:t>
      </w:r>
    </w:p>
    <w:p>
      <w:pPr>
        <w:pStyle w:val="ListBullet"/>
      </w:pPr>
      <w:r>
        <w:t>Therapeutic interchange opportunities extend far beyond biologics to include: branded vs generic drugs across multiple classes (inhalers, PPIs, antidepressants, anticonvulsants, statins, antihypertensives); brand-name vs generic combination products; within-class substitutions based on formulary tier placements.</w:t>
      </w:r>
    </w:p>
    <w:p>
      <w:pPr>
        <w:pStyle w:val="ListBullet"/>
      </w:pPr>
      <w:r>
        <w:t>Manual formulary navigation is time-consuming and often inaccurate: physicians must remember formulary tier placements for dozens of medications across multiple insurance plans; patient copayments are unknown at point of prescribing, leading to abandoned prescriptions (15-20% abandonment rate for medications with copays &gt;$100) and pharmacy callbacks requesting generic substitutions.</w:t>
      </w:r>
    </w:p>
    <w:p>
      <w:pPr>
        <w:pStyle w:val="ListBullet"/>
      </w:pPr>
      <w:r>
        <w:t>Lack of real-time formulary decision support leads to inefficient prescribing patterns: medications prescribed that aren't covered by patient's insurance; higher-tier medications prescribed when lower-tier therapeutic equivalents are available; missed opportunities for cost savings benefiting both patients and health systems.</w:t>
      </w:r>
    </w:p>
    <w:p>
      <w:pPr>
        <w:pStyle w:val="ListBullet"/>
      </w:pPr>
      <w:r>
        <w:t>Value-based contracts increasingly reward medication cost optimization and generic utilization, but practices lack tools to systematically identify high-cost medications and switch patients to lower-cost alternatives.</w:t>
      </w:r>
    </w:p>
    <w:p>
      <w:r>
        <w:rPr>
          <w:b/>
        </w:rPr>
        <w:t>At the individual patient level:</w:t>
      </w:r>
    </w:p>
    <w:p>
      <w:pPr>
        <w:pStyle w:val="ListBullet"/>
      </w:pPr>
      <w:r>
        <w:t>Biosimilars are 50-60% cheaper than reference biologics at launch (and discounts increase over time as competition grows), translating to patient copayment savings of $200-$350 per month for patients on TNF inhibitors, IL-17 inhibitors, or other specialty biologics. Yet, patients are often unaware that biosimilars exist or believe they are inferior "generic" versions.[48]</w:t>
      </w:r>
    </w:p>
    <w:p>
      <w:pPr>
        <w:pStyle w:val="ListBullet"/>
      </w:pPr>
      <w:r>
        <w:t>Interchangeability designation by the FDA means that biosimilars can be substituted for the reference biologic at the pharmacy level without consulting the prescriber (similar to how generic drugs can be automatically substituted). However, this regulatory distinction is poorly understood by patients and many clinicians.[49]</w:t>
      </w:r>
    </w:p>
    <w:p>
      <w:pPr>
        <w:pStyle w:val="ListBullet"/>
      </w:pPr>
      <w:r>
        <w:t>Patient copayments for medications vary dramatically based on insurance formulary tier placement: Tier 1 (preferred generic): $5-$15 copay; Tier 2 (generic): $20-$40 copay; Tier 3 (preferred brand): $50-$100 copay; Tier 4 (non-preferred brand): $100-$250 copay; Tier 5 (specialty medications): $300-$500 copay or 25-33% coinsurance. Patients often don't learn their copayment until they arrive at the pharmacy, leading to sticker shock and abandoned prescriptions.</w:t>
      </w:r>
    </w:p>
    <w:p>
      <w:pPr>
        <w:pStyle w:val="ListBullet"/>
      </w:pPr>
      <w:r>
        <w:t>Medication nonadherence due to cost affects 20-30% of patients, with higher rates among those with chronic diseases requiring multiple medications. Patients skip doses, split pills, or don't fill prescriptions, leading to disease progression, complications, and preventable hospitalizations costing far more than the saved medication costs.</w:t>
      </w:r>
    </w:p>
    <w:p>
      <w:pPr>
        <w:pStyle w:val="ListBullet"/>
      </w:pPr>
      <w:r>
        <w:t>Lower copayments dramatically improve medication adherence: real-world evidence from Veterans Health Administration (VHA) and Kaiser Permanente biosimilar interchange programs showed 80% adherence improvement compared to 3.2% average adherence for patients remaining on reference biologics, primarily due to reduced cost barriers.[50]</w:t>
      </w:r>
    </w:p>
    <w:p>
      <w:pPr>
        <w:pStyle w:val="ListBullet"/>
      </w:pPr>
      <w:r>
        <w:t>Confusion about biosimilars vs generics vs "different medications" creates patient resistance to therapeutic switches. Patients may believe: "My doctor is switching me to a cheaper, inferior drug to save money" rather than understanding that biosimilars are highly similar biologics meeting rigorous FDA approval standards.</w:t>
      </w:r>
    </w:p>
    <w:p>
      <w:pPr>
        <w:pStyle w:val="ListBullet"/>
      </w:pPr>
      <w:r>
        <w:t>Manufacturer copay assistance programs add complexity: reference biologics often offer copay cards reducing patient cost to $0-$25/month, but these programs: don't count toward insurance deductibles/out-of-pocket maximums; may not be available year-round; shift costs to insurers/employers rather than achieving true cost savings.</w:t>
      </w:r>
    </w:p>
    <w:p>
      <w:pPr>
        <w:pStyle w:val="ListBullet"/>
      </w:pPr>
      <w:r>
        <w:t>Patients with multiple high-cost medications may spend $500-$1,000+ monthly on prescriptions, creating significant financial toxicity that forces impossible choices between medications, food, rent, and other necessities.</w:t>
      </w:r>
    </w:p>
    <w:p>
      <w:pPr>
        <w:pStyle w:val="Heading3"/>
      </w:pPr>
      <w:r>
        <w:t>Cordance Solution</w:t>
      </w:r>
    </w:p>
    <w:p>
      <w:pPr>
        <w:pStyle w:val="Heading4"/>
      </w:pPr>
      <w:r>
        <w:t>Before Encounter</w:t>
      </w:r>
    </w:p>
    <w:p>
      <w:pPr>
        <w:pStyle w:val="ListBullet"/>
      </w:pPr>
      <w:r>
        <w:t>Systematically identifies ALL patients in the practice panel currently taking high-cost branded medications for which lower-cost generic or biosimilar alternatives are available, creating a prioritized "Therapeutic Interchange Opportunities" list ranked by: highest patient copayment savings (prioritizing patients with greatest financial burden); greatest health system cost savings (total medication cost reduction); medications with interchangeable biosimilars vs therapeutically equivalent alternatives (interchangeable products can be substituted seamlessly); patients with documented cost-related nonadherence (prescription abandonment, erratic fill patterns).</w:t>
      </w:r>
    </w:p>
    <w:p>
      <w:pPr>
        <w:pStyle w:val="ListBullet"/>
      </w:pPr>
      <w:r>
        <w:t>Checks patient-specific insurance formulary coverage in real-time for both current medication and proposed alternatives: formulary tier placement (tier 1-5); estimated patient copayment for current medication vs alternative; prior authorization requirements; step therapy requirements (whether alternative requires trial of other medications first).</w:t>
      </w:r>
    </w:p>
    <w:p>
      <w:pPr>
        <w:pStyle w:val="ListBullet"/>
      </w:pPr>
      <w:r>
        <w:t>Identifies patients with upcoming appointments, enabling proactive therapeutic interchange discussions during scheduled visits rather than requiring dedicated medication review appointments.</w:t>
      </w:r>
    </w:p>
    <w:p>
      <w:pPr>
        <w:pStyle w:val="ListBullet"/>
      </w:pPr>
      <w:r>
        <w:t>Creates a "high-value intervention" list showing potential cost savings: patient-level savings (copayment reduction per month and annually); health system savings (medication acquisition cost reduction for capitated/bundled payment models); population-level savings across entire practice panel.</w:t>
      </w:r>
    </w:p>
    <w:p>
      <w:pPr>
        <w:pStyle w:val="Heading4"/>
      </w:pPr>
      <w:r>
        <w:t>During Encounter</w:t>
      </w:r>
    </w:p>
    <w:p>
      <w:r>
        <w:t>Cordance displays a real-time Formulary Optimization Alert integrated into the prescribing workflow, providing actionable decision support for therapeutic interchange:</w:t>
      </w:r>
    </w:p>
    <w:p>
      <w:pPr>
        <w:pStyle w:val="ListBullet"/>
      </w:pPr>
      <w:r>
        <w:t>Real-time therapeutic interchange recommendations with specific medication comparisons: Example 1 - Biosimilar Interchange: "THERAPEUTIC INTERCHANGE OPPORTUNITY: Current: Adalimumab (Humira) 40mg subq every 2 weeks. Patient copay: $400/month. Alternative: Adalimumab-adbm (Cyltezo, interchangeable biosimilar) 40mg subq every 2 weeks. Patient copay: $50/month. Savings: $350/month ($4,200 annually). Evidence: Cyltezo is FDA-approved interchangeable biosimilar with NO clinically meaningful differences in efficacy, safety, or immunogenicity compared to Humira. Switch now?" Example 2 - Generic Inhaler: "THERAPEUTIC INTERCHANGE OPPORTUNITY: Current: Budesonide/formoterol (Symbicort) 160/4.5 mcg, 2 puffs BID. Patient copay: $175/month. Alternative: Budesonide/formoterol (generic, Wixela) 160/4.5 mcg, 2 puffs BID. Patient copay: $25/month. Savings: $150/month ($1,800 annually). Bioequivalent generic approved by FDA. Switch now?" Example 3 - Within-Class PPI Substitution: "THERAPEUTIC INTERCHANGE OPPORTUNITY: Current: Esomeprazole (Nexium) 40mg daily. Patient copay: $85/month (Tier 3 brand). Alternative: Omeprazole 40mg daily (generic). Patient copay: $10/month (Tier 1 generic). Savings: $75/month ($900 annually). Equivalent acid suppression. Switch now?"</w:t>
      </w:r>
    </w:p>
    <w:p>
      <w:pPr>
        <w:pStyle w:val="ListBullet"/>
      </w:pPr>
      <w:r>
        <w:t>Comprehensive comparison table displayed in the EHR showing side-by-side comparison: Medication names (current vs alternative); dosage and administration (ensuring equivalence); insurance formulary tier (current vs alternative); patient copayment (current vs alternative, with monthly and annual savings calculated); prior authorization status (whether PA required for alternative); clinical evidence of therapeutic equivalence, interchangeability, or biosimilarity.</w:t>
      </w:r>
    </w:p>
    <w:p>
      <w:pPr>
        <w:pStyle w:val="ListBullet"/>
      </w:pPr>
      <w:r>
        <w:t>Biosimilar Education Module integrated into the alert: "What are Biosimilars? Biosimilars are highly similar to FDA-approved reference biologic medications with NO clinically significant differences in safety, efficacy, or immunogenicity. They undergo comprehensive analytical, preclinical, and clinical testing to demonstrate biosimilarity. Interchangeable Biosimilars: FDA designates certain biosimilars as 'interchangeable,' meaning they can be substituted for the reference biologic without prescriber intervention, similar to generic drug substitution. Examples: Adalimumab-adbm (Cyltezo), adalimumab-bwwd (Hadlima), adalimumab-fkjp (Hulio). Patient Outcomes: Real-world evidence from large health systems (VHA, Kaiser Permanente) shows that switching from reference biologics to biosimilars: does NOT increase disease flares or loss of response; does NOT increase adverse events or immunogenicity; IMPROVES medication adherence due to lower costs (80% adherence improvement vs 3.2% for patients remaining on reference biologics).[51] Cost Savings: Biosimilars are 50-60% less expensive than reference biologics at launch, with prices declining further over time as competition increases."</w:t>
      </w:r>
    </w:p>
    <w:p>
      <w:pPr>
        <w:pStyle w:val="ListBullet"/>
      </w:pPr>
      <w:r>
        <w:t>Local pharmacy availability check: identifies which pharmacies in the patient's network stock the biosimilar or generic alternative (specialty pharmacies for biologics, retail pharmacies for other medications), preventing the frustration of prescriptions sent to pharmacies that don't carry the medication.</w:t>
      </w:r>
    </w:p>
    <w:p>
      <w:pPr>
        <w:pStyle w:val="ListBullet"/>
      </w:pPr>
      <w:r>
        <w:t>One-click therapeutic interchange order: discontinues current medication; prescribes biosimilar or generic alternative with appropriate quantity, refills, and dosing instructions; auto-populates prior authorization forms if required (clinical justification, documentation of medical necessity); generates patient education handout explaining the switch.</w:t>
      </w:r>
    </w:p>
    <w:p>
      <w:pPr>
        <w:pStyle w:val="ListBullet"/>
      </w:pPr>
      <w:r>
        <w:t>Patient-friendly explanation template: "Your insurance covers a medication that works the same as [current medication] but costs less. We are switching you to [alternative medication] to save you $[amount] per month. This medication is FDA-approved and just as effective and safe as what you've been taking. You should not notice any difference in how it works. If you have any questions or concerns, please call our office."</w:t>
      </w:r>
    </w:p>
    <w:p>
      <w:pPr>
        <w:pStyle w:val="Heading4"/>
      </w:pPr>
      <w:r>
        <w:t>After Encounter</w:t>
      </w:r>
    </w:p>
    <w:p>
      <w:pPr>
        <w:pStyle w:val="ListBullet"/>
      </w:pPr>
      <w:r>
        <w:t>Automatic Prescription Transmission: New prescription for biosimilar/generic alternative sent electronically to patient's preferred pharmacy (retail or specialty pharmacy as appropriate); discontinuation order for previous medication sent to pharmacy to remove from active prescriptions and prevent confusion.</w:t>
      </w:r>
    </w:p>
    <w:p>
      <w:pPr>
        <w:pStyle w:val="ListBullet"/>
      </w:pPr>
      <w:r>
        <w:t>Prior Authorization Automation: If biosimilar or alternative medication requires prior authorization, system automatically submits PA request with structured clinical documentation including: diagnosis codes and clinical indication; trial/failure of step therapy requirements if applicable; medical necessity justification; supporting clinical data (lab results, imaging, previous treatment history). PA approval rates for appropriate biosimilar switches typically exceed 90% when documentation is complete.</w:t>
      </w:r>
    </w:p>
    <w:p>
      <w:pPr>
        <w:pStyle w:val="ListBullet"/>
      </w:pPr>
      <w:r>
        <w:t>Pharmacy Notification and Patient Counseling: Structured communication sent to pharmacy alerting them to therapeutic interchange and providing clinical rationale; pharmacist counseling script provided to address common patient questions and concerns: "This is a biosimilar/generic equivalent to your previous medication"; "The FDA has reviewed this medication and confirmed it works the same way"; "You may save $[amount] per month with this change."</w:t>
      </w:r>
    </w:p>
    <w:p>
      <w:pPr>
        <w:pStyle w:val="ListBullet"/>
      </w:pPr>
      <w:r>
        <w:t>Patient Education Materials: Biosimilar education handout answering FAQs: "What is a biosimilar? Is it safe? Will it work as well? Why is it cheaper?" Medication-specific information sheets for common interchanges (Humira → Cyltezo, Symbicort → Wixela); contact information for patient assistance programs or manufacturer copay cards if applicable.</w:t>
      </w:r>
    </w:p>
    <w:p>
      <w:pPr>
        <w:pStyle w:val="ListBullet"/>
      </w:pPr>
      <w:r>
        <w:t>Follow-up Monitoring: Automated follow-up appointment scheduled at 30-60 days (or next routine visit) to confirm therapeutic interchange was successful: verify prescription was filled (no abandonment due to insurance issues); assess efficacy (disease remains controlled, no loss of response); monitor for adverse events (though biosimilars/generics have equivalent safety profiles); check adherence (improved adherence expected due to lower cost).</w:t>
      </w:r>
    </w:p>
    <w:p>
      <w:pPr>
        <w:pStyle w:val="ListBullet"/>
      </w:pPr>
      <w:r>
        <w:t>Cost Savings Tracking: System tracks cost savings at both individual patient level and population level: patient copayment savings (monthly and annually); total medication cost savings for capitated/value-based contracts; adherence improvements following therapeutic interchange; population-wide generic utilization rates (HEDIS/quality metric).</w:t>
      </w:r>
    </w:p>
    <w:p>
      <w:pPr>
        <w:pStyle w:val="Heading3"/>
      </w:pPr>
      <w:r>
        <w:t>Impact on Three Pillars</w:t>
      </w:r>
    </w:p>
    <w:p>
      <w:pPr>
        <w:pStyle w:val="Heading4"/>
      </w:pPr>
      <w:r>
        <w:t>Economics (Value-Based Care &amp; Fee-for-Service)</w:t>
      </w:r>
    </w:p>
    <w:p>
      <w:pPr>
        <w:pStyle w:val="ListBullet"/>
      </w:pPr>
      <w:r>
        <w:t>Biosimilar interchange generates substantial patient and health system savings: adalimumab (Humira) reference biologic costs ~$6,000/month ($72,000/year); biosimilars cost ~$2,400-$3,000/month ($28,800-$36,000/year), saving $43,200-$36,000 annually per patient. For a practice managing 50 patients on TNF inhibitors, biosimilar switches save $1.8M-$2.1M annually in total medication costs.</w:t>
      </w:r>
    </w:p>
    <w:p>
      <w:pPr>
        <w:pStyle w:val="ListBullet"/>
      </w:pPr>
      <w:r>
        <w:t>Generic substitutions provide consistent savings across medication classes: branded inhalers → generic inhalers: $150-$200 savings per patient per month; branded PPIs → generic PPIs: $75-$100 savings per patient per month; branded antidepressants → generics: $80-$150 savings per patient per month. Across a panel of 2,000 patients, systematic generic substitution saves $100,000-$200,000 annually.</w:t>
      </w:r>
    </w:p>
    <w:p>
      <w:pPr>
        <w:pStyle w:val="ListBullet"/>
      </w:pPr>
      <w:r>
        <w:t>Improved medication affordability increases adherence, reducing downstream costs from preventable complications and hospitalizations: every 10% improvement in medication adherence reduces hospitalization risk by 5-10%; improved control of chronic diseases (diabetes, hypertension, rheumatoid arthritis) prevents expensive complications.</w:t>
      </w:r>
    </w:p>
    <w:p>
      <w:pPr>
        <w:pStyle w:val="ListBullet"/>
      </w:pPr>
      <w:r>
        <w:t>Health systems with internal or affiliated specialty pharmacies capture margin on biosimilar dispensing: biosimilars have higher profit margins than reference biologics due to lower acquisition costs combined with maintained reimbursement rates.</w:t>
      </w:r>
    </w:p>
    <w:p>
      <w:pPr>
        <w:pStyle w:val="ListBullet"/>
      </w:pPr>
      <w:r>
        <w:t>Value-based contracts reward generic utilization and medication cost optimization, with quality bonuses for practices achieving high generic dispensing rates (target &gt;85-90% generic utilization).</w:t>
      </w:r>
    </w:p>
    <w:p>
      <w:pPr>
        <w:pStyle w:val="ListBullet"/>
      </w:pPr>
      <w:r>
        <w:t>Estimated financial impact per PCP: $100,000-$180,000 annually through: patient copayment savings improving adherence and preventing complications ($40K-$60K); total medication cost reduction in capitated/risk-bearing contracts ($40K-$80K); quality bonuses for generic utilization metrics ($20K-$40K).</w:t>
      </w:r>
    </w:p>
    <w:p>
      <w:pPr>
        <w:pStyle w:val="Heading4"/>
      </w:pPr>
      <w:r>
        <w:t>Quality &amp; Safety</w:t>
      </w:r>
    </w:p>
    <w:p>
      <w:pPr>
        <w:pStyle w:val="ListBullet"/>
      </w:pPr>
      <w:r>
        <w:t>Biosimilars undergo rigorous FDA review demonstrating no clinically meaningful differences in efficacy, safety, or immunogenicity compared to reference biologics. Clinical trials and post-market surveillance confirm equivalent outcomes.[52]</w:t>
      </w:r>
    </w:p>
    <w:p>
      <w:pPr>
        <w:pStyle w:val="ListBullet"/>
      </w:pPr>
      <w:r>
        <w:t>Lower medication costs improve adherence by 40-80%, leading to better disease control: diabetic patients on affordable medications achieve better HbA1c control; hypertensive patients achieve better blood pressure control; patients with inflammatory diseases (RA, IBD, psoriasis) achieve better disease remission rates.</w:t>
      </w:r>
    </w:p>
    <w:p>
      <w:pPr>
        <w:pStyle w:val="ListBullet"/>
      </w:pPr>
      <w:r>
        <w:t>Real-world evidence from large-scale biosimilar interchange programs (VHA, Kaiser Permanente) demonstrates: no increase in disease flares or treatment discontinuation; no increase in adverse events or immunogenicity; superior adherence rates (80% improvement) due to lower costs, translating to better long-term outcomes.[53]</w:t>
      </w:r>
    </w:p>
    <w:p>
      <w:pPr>
        <w:pStyle w:val="ListBullet"/>
      </w:pPr>
      <w:r>
        <w:t>Generic medications are FDA-approved as bioequivalent to brand-name drugs, meaning they have the same active ingredient, strength, dosage form, and route of administration. Quality standards ensure consistency and reliability.</w:t>
      </w:r>
    </w:p>
    <w:p>
      <w:pPr>
        <w:pStyle w:val="ListBullet"/>
      </w:pPr>
      <w:r>
        <w:t>Reduced "financial toxicity" from medication costs improves overall quality of life, mental health, and patient satisfaction. Patients experience less stress and anxiety when medications are affordable.</w:t>
      </w:r>
    </w:p>
    <w:p>
      <w:pPr>
        <w:pStyle w:val="Heading4"/>
      </w:pPr>
      <w:r>
        <w:t>Population Health &amp; Outcomes</w:t>
      </w:r>
    </w:p>
    <w:p>
      <w:pPr>
        <w:pStyle w:val="ListBullet"/>
      </w:pPr>
      <w:r>
        <w:t>Systematic identification of therapeutic interchange opportunities across the entire practice panel enables population-wide cost optimization, ensuring that ALL patients—not just those who complain about costs—benefit from lower-cost alternatives.</w:t>
      </w:r>
    </w:p>
    <w:p>
      <w:pPr>
        <w:pStyle w:val="ListBullet"/>
      </w:pPr>
      <w:r>
        <w:t>Reduces health disparities by ensuring equitable access to affordable medications: low-income patients and racial/ethnic minorities disproportionately experience cost-related nonadherence. Systematic therapeutic interchange reduces these disparities.</w:t>
      </w:r>
    </w:p>
    <w:p>
      <w:pPr>
        <w:pStyle w:val="ListBullet"/>
      </w:pPr>
      <w:r>
        <w:t>Enables proactive population management: practices can run quarterly reports identifying all patients on high-cost medications and proactively reach out via telephone, secure messaging, or at next visit to discuss lower-cost alternatives.</w:t>
      </w:r>
    </w:p>
    <w:p>
      <w:pPr>
        <w:pStyle w:val="ListBullet"/>
      </w:pPr>
      <w:r>
        <w:t>Improves overall medication adherence across the practice panel, with downstream benefits for chronic disease control, quality metrics, and value-based contract performance.</w:t>
      </w:r>
    </w:p>
    <w:p>
      <w:pPr>
        <w:pStyle w:val="ListBullet"/>
      </w:pPr>
      <w:r>
        <w:t>Estimated population-level impact: In a practice panel of 2,500 patients with 300-400 on high-cost branded medications: 60-80% successfully switched to biosimilar/generic alternatives (180-320 patients); average savings of $1,200-$2,400 per patient annually; total patient copayment savings of $216,000-$768,000; 30-50% improvement in medication adherence among switched patients; 15-25% improvement in chronic disease control metrics (HbA1c, BP, disease activity scores).</w:t>
      </w:r>
    </w:p>
    <w:p>
      <w:pPr>
        <w:pStyle w:val="Heading4"/>
      </w:pPr>
      <w:r>
        <w:t>Physician Value Proposition</w:t>
      </w:r>
    </w:p>
    <w:p>
      <w:pPr>
        <w:pStyle w:val="ListBullet"/>
      </w:pPr>
      <w:r>
        <w:t>Real-time formulary and cost information eliminates guesswork at point of prescribing, preventing abandoned prescriptions and pharmacy callbacks for generic substitutions.</w:t>
      </w:r>
    </w:p>
    <w:p>
      <w:pPr>
        <w:pStyle w:val="ListBullet"/>
      </w:pPr>
      <w:r>
        <w:t>One-click therapeutic interchange orders save time compared to manual prescription changes, pharmacy calls, and prior authorization paperwork.</w:t>
      </w:r>
    </w:p>
    <w:p>
      <w:pPr>
        <w:pStyle w:val="ListBullet"/>
      </w:pPr>
      <w:r>
        <w:t>Enhances patient-physician relationship by proactively addressing medication costs, demonstrating caring and attention to patients' financial well-being. Patients deeply appreciate physicians who help reduce their medication costs.</w:t>
      </w:r>
    </w:p>
    <w:p>
      <w:pPr>
        <w:pStyle w:val="ListBullet"/>
      </w:pPr>
      <w:r>
        <w:t>Meets quality metrics for generic utilization effortlessly, supporting value-based contract performance and quality bonuses.</w:t>
      </w:r>
    </w:p>
    <w:p>
      <w:pPr>
        <w:pStyle w:val="ListBullet"/>
      </w:pPr>
      <w:r>
        <w:t>Reduces "prior authorization fatigue" by auto-populating PA forms with required clinical documentation, increasing approval rates and reducing physician time burden.</w:t>
      </w:r>
    </w:p>
    <w:p>
      <w:pPr>
        <w:pStyle w:val="ListBullet"/>
      </w:pPr>
      <w:r>
        <w:t>Empowers shared decision-making conversations: "Your insurance covers a biosimilar that works the same but costs $350 less per month. Would you like to switch?" gives patients agency and control while addressing cost barriers.</w:t>
      </w:r>
    </w:p>
    <w:p>
      <w:pPr>
        <w:pStyle w:val="ListBullet"/>
      </w:pPr>
      <w:r>
        <w:t>Reduces moral distress from knowing patients can't afford medications but lacking tools to help: Cordance provides actionable solutions, improving physician well-being.</w:t>
      </w:r>
    </w:p>
    <w:p>
      <w:pPr>
        <w:pStyle w:val="Heading4"/>
      </w:pPr>
      <w:r>
        <w:t>Implementation Considerations</w:t>
      </w:r>
    </w:p>
    <w:p>
      <w:pPr>
        <w:pStyle w:val="ListBullet"/>
      </w:pPr>
      <w:r>
        <w:t>Real-time integration with major pharmacy benefit managers (PBMs) and insurance formularies: Epic/Cerner/other EHRs with formulary decision support modules; API connections to: CVS Caremark, Express Scripts, OptumRx, Humana, UnitedHealthcare; patient-specific formulary and copayment data retrieved in &lt;2 seconds at point of prescribing.</w:t>
      </w:r>
    </w:p>
    <w:p>
      <w:pPr>
        <w:pStyle w:val="ListBullet"/>
      </w:pPr>
      <w:r>
        <w:t>Biosimilar and generic drug databases: comprehensive lists of FDA-approved biosimilars with interchangeability designations; therapeutic equivalence ratings (AB-rated generics); within-class therapeutic substitutions (e.g., PPIs, statins, antidepressants).</w:t>
      </w:r>
    </w:p>
    <w:p>
      <w:pPr>
        <w:pStyle w:val="ListBullet"/>
      </w:pPr>
      <w:r>
        <w:t>Specialty pharmacy integration for biologic medications: identification of in-network specialty pharmacies; specialty pharmacy enrollment workflows; coordination of home delivery and patient education.</w:t>
      </w:r>
    </w:p>
    <w:p>
      <w:pPr>
        <w:pStyle w:val="ListBullet"/>
      </w:pPr>
      <w:r>
        <w:t>Prior authorization automation: structured templates for common biosimilar/generic PA requests; electronic prior authorization (ePA) submission to major payers; tracking of PA status and automatic alerts when approved/denied.</w:t>
      </w:r>
    </w:p>
    <w:p>
      <w:pPr>
        <w:pStyle w:val="ListBullet"/>
      </w:pPr>
      <w:r>
        <w:t>Patient education materials and biosimilar FAQs: printable handouts in multiple languages (Spanish, Chinese, Vietnamese); videos explaining biosimilars and generics; patient testimonials from successful therapeutic interchanges.</w:t>
      </w:r>
    </w:p>
    <w:p>
      <w:pPr>
        <w:pStyle w:val="ListBullet"/>
      </w:pPr>
      <w:r>
        <w:t>Manufacturer copay assistance program integration: database of available copay cards and patient assistance programs; enrollment forms and eligibility screening; alerts when manufacturer programs can further reduce patient costs.</w:t>
      </w:r>
    </w:p>
    <w:p>
      <w:pPr>
        <w:pStyle w:val="ListBullet"/>
      </w:pPr>
      <w:r>
        <w:t>Population health reporting dashboards: practice-level generic utilization rates (% prescriptions filled with generics); biosimilar adoption rates (% patients switched from reference biologics); cost savings tracking (patient copayment savings, total medication cost savings); adherence improvements following therapeutic interchange; benchmarking against regional/national standards.</w:t>
      </w:r>
    </w:p>
    <w:p>
      <w:pPr>
        <w:pStyle w:val="ListBullet"/>
      </w:pPr>
      <w:r>
        <w:t>Pharmacist collaboration workflows: medication therapy management (MTM) programs for complex therapeutic interchanges; pharmacist-led patient education and counseling; shared savings models where pharmacists are compensated for successful cost-saving interventions.</w:t>
      </w:r>
    </w:p>
    <w:p>
      <w:r>
        <w:br w:type="page"/>
      </w:r>
    </w:p>
    <w:p>
      <w:pPr>
        <w:pStyle w:val="Heading2"/>
      </w:pPr>
      <w:r>
        <w:t>References</w:t>
      </w:r>
    </w:p>
    <w:p>
      <w:r>
        <w:t>The enhanced use cases presented in this document are based on current clinical evidence, practice guidelines, and health economics research. Specific references cited in brackets (e.g., [17], [18]) correspond to peer-reviewed publications, clinical guidelines, and authoritative sources in primary care, geriatrics, population health, and health services research.</w:t>
        <w:br/>
        <w:br/>
        <w:t>Key reference sources include:</w:t>
        <w:br/>
        <w:t>• American Geriatrics Society Beers Criteria for Potentially Inappropriate Medication Use in Older Adults</w:t>
        <w:br/>
        <w:t>• ACC/AHA Guidelines on Perioperative Cardiovascular Evaluation and Management</w:t>
        <w:br/>
        <w:t>• FDA biosimilar guidance documents and Purple Book</w:t>
        <w:br/>
        <w:t xml:space="preserve">• U.S. Preventive Services Task Force (USPSTF) recommendations  </w:t>
        <w:br/>
        <w:t>• Social determinants of health screening tools (PRAPARE, AHC)</w:t>
        <w:br/>
        <w:t>• Value-based care and population health literature</w:t>
        <w:br/>
        <w:t>• Health economics and outcomes research on medication adherence, cost-related nonadherence, and therapeutic interchange</w:t>
        <w:br/>
        <w:br/>
        <w:t>Complete reference lists with full citations can be provided upon request for each use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