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CA978" w14:textId="77777777" w:rsidR="007D0E70" w:rsidRDefault="00477D0B">
      <w:pPr>
        <w:pStyle w:val="Heading1"/>
      </w:pPr>
      <w:r>
        <w:t>Commentary on Psalm 1</w:t>
      </w:r>
    </w:p>
    <w:p w14:paraId="51CE16C4" w14:textId="77777777" w:rsidR="007D0E70" w:rsidRDefault="00477D0B">
      <w:pPr>
        <w:pStyle w:val="Heading2"/>
      </w:pPr>
      <w:r>
        <w:t>Psalm 1</w:t>
      </w:r>
    </w:p>
    <w:tbl>
      <w:tblPr>
        <w:tblW w:w="0" w:type="auto"/>
        <w:tblLook w:val="04A0" w:firstRow="1" w:lastRow="0" w:firstColumn="1" w:lastColumn="0" w:noHBand="0" w:noVBand="1"/>
      </w:tblPr>
      <w:tblGrid>
        <w:gridCol w:w="4680"/>
        <w:gridCol w:w="4680"/>
      </w:tblGrid>
      <w:tr w:rsidR="007D0E70" w14:paraId="4872F740" w14:textId="77777777">
        <w:tc>
          <w:tcPr>
            <w:tcW w:w="4680" w:type="dxa"/>
          </w:tcPr>
          <w:p w14:paraId="6A4C438E" w14:textId="77777777" w:rsidR="007D0E70" w:rsidRDefault="00477D0B">
            <w:r>
              <w:rPr>
                <w:b/>
              </w:rPr>
              <w:t xml:space="preserve">1. </w:t>
            </w:r>
            <w:r>
              <w:rPr>
                <w:rtl/>
              </w:rPr>
              <w:t>אַ֥שְֽׁרֵי־הָאִ֗ישׁ אֲשֶׁ֤ר ׀ לֹ֥א הָלַךְ֮ בַּעֲצַ֢ת רְשָׁ֫עִ֥ים וּבְדֶ֣רֶךְ חַ֭טָּאִים לֹ֥א עָמָ֑ד וּבְמוֹשַׁ֥ב לֵ֝צִ֗ים לֹ֣א יָשָֽׁב׃</w:t>
            </w:r>
          </w:p>
        </w:tc>
        <w:tc>
          <w:tcPr>
            <w:tcW w:w="4680" w:type="dxa"/>
          </w:tcPr>
          <w:p w14:paraId="0AC87D13" w14:textId="77777777" w:rsidR="007D0E70" w:rsidRDefault="00477D0B">
            <w:r>
              <w:rPr>
                <w:rFonts w:ascii="Cambria" w:hAnsi="Cambria"/>
              </w:rPr>
              <w:t>Happy is the man who has not followed the counsel of the wicked,</w:t>
            </w:r>
            <w:r>
              <w:rPr>
                <w:rFonts w:ascii="Cambria" w:hAnsi="Cambria"/>
              </w:rPr>
              <w:br/>
              <w:t>or taken the path of sinners,</w:t>
            </w:r>
            <w:r>
              <w:rPr>
                <w:rFonts w:ascii="Cambria" w:hAnsi="Cambria"/>
              </w:rPr>
              <w:br/>
              <w:t>or joined the company of the insolent;</w:t>
            </w:r>
          </w:p>
        </w:tc>
      </w:tr>
      <w:tr w:rsidR="007D0E70" w14:paraId="2D86A3B7" w14:textId="77777777">
        <w:tc>
          <w:tcPr>
            <w:tcW w:w="4680" w:type="dxa"/>
          </w:tcPr>
          <w:p w14:paraId="7D8438AC" w14:textId="77777777" w:rsidR="007D0E70" w:rsidRDefault="00477D0B">
            <w:r>
              <w:rPr>
                <w:b/>
              </w:rPr>
              <w:t xml:space="preserve">2. </w:t>
            </w:r>
            <w:r>
              <w:rPr>
                <w:rtl/>
              </w:rPr>
              <w:t>כִּ֤י אִ֥ם־בְּתוֹרַ֥ת ה׳ חֶ֫פְצ֥וֹ וּֽבְתוֹרָת֥וֹ יֶהְגֶּ֗ה יוֹמָ֥ם וָלָֽיְלָה׃</w:t>
            </w:r>
          </w:p>
        </w:tc>
        <w:tc>
          <w:tcPr>
            <w:tcW w:w="4680" w:type="dxa"/>
          </w:tcPr>
          <w:p w14:paraId="547F2A4D" w14:textId="77777777" w:rsidR="007D0E70" w:rsidRDefault="00477D0B">
            <w:r>
              <w:rPr>
                <w:rFonts w:ascii="Cambria" w:hAnsi="Cambria"/>
              </w:rPr>
              <w:t>rather, the teaching of the LORD is his delight,</w:t>
            </w:r>
            <w:r>
              <w:rPr>
                <w:rFonts w:ascii="Cambria" w:hAnsi="Cambria"/>
              </w:rPr>
              <w:br/>
              <w:t>and he studies that teaching day and night.</w:t>
            </w:r>
          </w:p>
        </w:tc>
      </w:tr>
      <w:tr w:rsidR="007D0E70" w14:paraId="797032FB" w14:textId="77777777">
        <w:tc>
          <w:tcPr>
            <w:tcW w:w="4680" w:type="dxa"/>
          </w:tcPr>
          <w:p w14:paraId="214371DC" w14:textId="77777777" w:rsidR="007D0E70" w:rsidRDefault="00477D0B">
            <w:r>
              <w:rPr>
                <w:b/>
              </w:rPr>
              <w:t xml:space="preserve">3. </w:t>
            </w:r>
            <w:r>
              <w:rPr>
                <w:rtl/>
              </w:rPr>
              <w:t>וְֽהָיָ֗ה כְּעֵץ֮ שָׁת֢וּל עַֽל־פַּלְגֵ֫י־מָ֥יִם אֲשֶׁ֤ר פִּרְי֨וֹ ׀ יִתֵּ֬ן בְּעִתּ֗וֹ וְעָלֵ֥הוּ לֹֽא־יִבּ֑וֹל וְכֹ֖ל אֲשֶׁר־יַעֲשֶׂ֣ה יַצְלִֽיחַ׃</w:t>
            </w:r>
          </w:p>
        </w:tc>
        <w:tc>
          <w:tcPr>
            <w:tcW w:w="4680" w:type="dxa"/>
          </w:tcPr>
          <w:p w14:paraId="3373B840" w14:textId="77777777" w:rsidR="007D0E70" w:rsidRDefault="00477D0B">
            <w:r>
              <w:rPr>
                <w:rFonts w:ascii="Cambria" w:hAnsi="Cambria"/>
              </w:rPr>
              <w:t>He is like a tree planted beside streams of water,</w:t>
            </w:r>
            <w:r>
              <w:rPr>
                <w:rFonts w:ascii="Cambria" w:hAnsi="Cambria"/>
              </w:rPr>
              <w:br/>
              <w:t>which yields its fruit in season,</w:t>
            </w:r>
            <w:r>
              <w:rPr>
                <w:rFonts w:ascii="Cambria" w:hAnsi="Cambria"/>
              </w:rPr>
              <w:br/>
              <w:t>whose foliage never fades,</w:t>
            </w:r>
            <w:r>
              <w:rPr>
                <w:rFonts w:ascii="Cambria" w:hAnsi="Cambria"/>
              </w:rPr>
              <w:br/>
              <w:t>and whatever it produces thrives.</w:t>
            </w:r>
          </w:p>
        </w:tc>
      </w:tr>
      <w:tr w:rsidR="007D0E70" w14:paraId="7380151A" w14:textId="77777777">
        <w:tc>
          <w:tcPr>
            <w:tcW w:w="4680" w:type="dxa"/>
          </w:tcPr>
          <w:p w14:paraId="6060CF2D" w14:textId="77777777" w:rsidR="007D0E70" w:rsidRDefault="00477D0B">
            <w:r>
              <w:rPr>
                <w:b/>
              </w:rPr>
              <w:t xml:space="preserve">4. </w:t>
            </w:r>
            <w:r>
              <w:rPr>
                <w:rtl/>
              </w:rPr>
              <w:t>לֹא־כֵ֥ן הָרְשָׁעִ֑ים כִּ֥י אִם־כַּ֝מֹּ֗ץ אֲֽשֶׁר־תִּדְּפֶ֥נּוּ רֽוּחַ׃</w:t>
            </w:r>
          </w:p>
        </w:tc>
        <w:tc>
          <w:tcPr>
            <w:tcW w:w="4680" w:type="dxa"/>
          </w:tcPr>
          <w:p w14:paraId="7CF8E542" w14:textId="77777777" w:rsidR="007D0E70" w:rsidRDefault="00477D0B">
            <w:r>
              <w:rPr>
                <w:rFonts w:ascii="Cambria" w:hAnsi="Cambria"/>
              </w:rPr>
              <w:t>Not so the wicked;</w:t>
            </w:r>
            <w:r>
              <w:rPr>
                <w:rFonts w:ascii="Cambria" w:hAnsi="Cambria"/>
              </w:rPr>
              <w:br/>
              <w:t>rather, they are like chaff that wind blows away.</w:t>
            </w:r>
          </w:p>
        </w:tc>
      </w:tr>
      <w:tr w:rsidR="007D0E70" w14:paraId="1E66F8F3" w14:textId="77777777">
        <w:tc>
          <w:tcPr>
            <w:tcW w:w="4680" w:type="dxa"/>
          </w:tcPr>
          <w:p w14:paraId="13B677AA" w14:textId="77777777" w:rsidR="007D0E70" w:rsidRDefault="00477D0B">
            <w:r>
              <w:rPr>
                <w:b/>
              </w:rPr>
              <w:t xml:space="preserve">5. </w:t>
            </w:r>
            <w:r>
              <w:rPr>
                <w:rtl/>
              </w:rPr>
              <w:t>עַל־כֵּ֤ן ׀ לֹא־יָקֻ֣מוּ רְ֭שָׁעִים בַּמִּשְׁפָּ֑ט וְ֝חַטָּאִ֗ים בַּעֲדַ֥ת צַדִּיקִֽים׃</w:t>
            </w:r>
          </w:p>
        </w:tc>
        <w:tc>
          <w:tcPr>
            <w:tcW w:w="4680" w:type="dxa"/>
          </w:tcPr>
          <w:p w14:paraId="5A1979EA" w14:textId="77777777" w:rsidR="007D0E70" w:rsidRDefault="00477D0B">
            <w:r>
              <w:rPr>
                <w:rFonts w:ascii="Cambria" w:hAnsi="Cambria"/>
              </w:rPr>
              <w:t>Therefore the wicked will not survive judgment,</w:t>
            </w:r>
            <w:r>
              <w:rPr>
                <w:rFonts w:ascii="Cambria" w:hAnsi="Cambria"/>
              </w:rPr>
              <w:br/>
              <w:t>nor will sinners, in the assembly of the righteous.</w:t>
            </w:r>
          </w:p>
        </w:tc>
      </w:tr>
      <w:tr w:rsidR="007D0E70" w14:paraId="49C916C4" w14:textId="77777777">
        <w:tc>
          <w:tcPr>
            <w:tcW w:w="4680" w:type="dxa"/>
          </w:tcPr>
          <w:p w14:paraId="6F694E2D" w14:textId="77777777" w:rsidR="007D0E70" w:rsidRDefault="00477D0B">
            <w:r>
              <w:rPr>
                <w:b/>
              </w:rPr>
              <w:t xml:space="preserve">6. </w:t>
            </w:r>
            <w:r>
              <w:rPr>
                <w:rtl/>
              </w:rPr>
              <w:t>כִּֽי־יוֹדֵ֣עַ ה׳ דֶּ֣רֶךְ צַדִּיקִ֑ים וְדֶ֖רֶךְ רְשָׁעִ֣ים תֹּאבֵֽד׃ {פ}</w:t>
            </w:r>
          </w:p>
        </w:tc>
        <w:tc>
          <w:tcPr>
            <w:tcW w:w="4680" w:type="dxa"/>
          </w:tcPr>
          <w:p w14:paraId="35E914A0" w14:textId="77777777" w:rsidR="007D0E70" w:rsidRDefault="00477D0B">
            <w:r>
              <w:rPr>
                <w:rFonts w:ascii="Cambria" w:hAnsi="Cambria"/>
              </w:rPr>
              <w:t>For the LORD cherishes the way of the righteous,</w:t>
            </w:r>
            <w:r>
              <w:rPr>
                <w:rFonts w:ascii="Cambria" w:hAnsi="Cambria"/>
              </w:rPr>
              <w:br/>
              <w:t>but the way of the wicked is doomed.</w:t>
            </w:r>
          </w:p>
        </w:tc>
      </w:tr>
    </w:tbl>
    <w:p w14:paraId="427B3279" w14:textId="77777777" w:rsidR="007D0E70" w:rsidRDefault="007D0E70"/>
    <w:p w14:paraId="0B4C1A8F" w14:textId="77777777" w:rsidR="007D0E70" w:rsidRDefault="00477D0B">
      <w:r>
        <w:br w:type="page"/>
      </w:r>
    </w:p>
    <w:p w14:paraId="01A3A82F" w14:textId="77777777" w:rsidR="007D0E70" w:rsidRDefault="00477D0B">
      <w:pPr>
        <w:pStyle w:val="Heading2"/>
      </w:pPr>
      <w:r>
        <w:lastRenderedPageBreak/>
        <w:t>Introduction</w:t>
      </w:r>
    </w:p>
    <w:p w14:paraId="7E77CA71" w14:textId="77777777" w:rsidR="007D0E70" w:rsidRDefault="00477D0B">
      <w:pPr>
        <w:pStyle w:val="BodySans"/>
      </w:pPr>
      <w:r>
        <w:t xml:space="preserve">Psalm 1 is not a prayer. It is a threshold: an invitation to read the Psalter as a schooling in desire. Its first word, </w:t>
      </w:r>
      <w:r>
        <w:t>אַשְׁרֵי</w:t>
      </w:r>
      <w:r>
        <w:t>—“Happy,” “How fortunate”—is not a mood but a verdict. The poem offers a way of life, not a passing feeling, and it does so with the simplest of means: three negations, a delight, two images, and one final claim about God.</w:t>
      </w:r>
    </w:p>
    <w:p w14:paraId="549E5A2B" w14:textId="77777777" w:rsidR="007D0E70" w:rsidRDefault="00477D0B">
      <w:pPr>
        <w:pStyle w:val="BodySans"/>
      </w:pPr>
      <w:r>
        <w:t>The opening line is a study in momentum and resistance: “</w:t>
      </w:r>
      <w:r>
        <w:t>אַשְׁרֵי־הָאִישׁ</w:t>
      </w:r>
      <w:r>
        <w:t xml:space="preserve"> </w:t>
      </w:r>
      <w:r>
        <w:t>אֲשֶׁר</w:t>
      </w:r>
      <w:r>
        <w:t xml:space="preserve"> </w:t>
      </w:r>
      <w:r>
        <w:t>לֹא</w:t>
      </w:r>
      <w:r>
        <w:t xml:space="preserve"> </w:t>
      </w:r>
      <w:r>
        <w:t>הָלַךְ</w:t>
      </w:r>
      <w:r>
        <w:t xml:space="preserve"> …; </w:t>
      </w:r>
      <w:r>
        <w:t>וּבְדֶרֶךְ</w:t>
      </w:r>
      <w:r>
        <w:t xml:space="preserve"> … </w:t>
      </w:r>
      <w:r>
        <w:t>לֹא</w:t>
      </w:r>
      <w:r>
        <w:t xml:space="preserve"> </w:t>
      </w:r>
      <w:r>
        <w:t>עָמָד</w:t>
      </w:r>
      <w:r>
        <w:t xml:space="preserve">; </w:t>
      </w:r>
      <w:r>
        <w:t>וּבְמוֹשַׁב</w:t>
      </w:r>
      <w:r>
        <w:t xml:space="preserve"> … </w:t>
      </w:r>
      <w:r>
        <w:t>לֹא</w:t>
      </w:r>
      <w:r>
        <w:t xml:space="preserve"> </w:t>
      </w:r>
      <w:r>
        <w:t>יָשָׁב</w:t>
      </w:r>
      <w:r>
        <w:t>” (“Happy the man who has not walked …; nor stood …; nor sat …”). The triple “no”—</w:t>
      </w:r>
      <w:r>
        <w:t>לֹא</w:t>
      </w:r>
      <w:r>
        <w:t xml:space="preserve"> … </w:t>
      </w:r>
      <w:r>
        <w:t>לֹא</w:t>
      </w:r>
      <w:r>
        <w:t xml:space="preserve"> … </w:t>
      </w:r>
      <w:r>
        <w:t>לֹא</w:t>
      </w:r>
      <w:r>
        <w:t>—forms an anaphora (a deliberate repetition at the head of lines) that pounds out a boundary. The verbs themselves stage a descent into complicity: walking suggests curiosity; standing, lingering; sitting, belonging. Ibn Ezra and Rashi already saw here a moral gradient. The three settings map the inner life onto social space: “</w:t>
      </w:r>
      <w:r>
        <w:t xml:space="preserve">counsel” </w:t>
      </w:r>
      <w:bdo w:val="ltr">
        <w:r>
          <w:t>(</w:t>
        </w:r>
        <w:r>
          <w:t>הצָעֲ</w:t>
        </w:r>
        <w:r>
          <w:t>)</w:t>
        </w:r>
        <w:r>
          <w:t xml:space="preserve">‬ to “way” </w:t>
        </w:r>
        <w:bdo w:val="ltr">
          <w:r>
            <w:t>(</w:t>
          </w:r>
          <w:r>
            <w:t>ךְרֶדֶּ</w:t>
          </w:r>
          <w:r>
            <w:t>)</w:t>
          </w:r>
          <w:r>
            <w:t xml:space="preserve">‬ to “seat” </w:t>
          </w:r>
          <w:bdo w:val="ltr">
            <w:r>
              <w:t>(</w:t>
            </w:r>
            <w:r>
              <w:t>בשָׁוֹמ</w:t>
            </w:r>
            <w:r>
              <w:t>)</w:t>
            </w:r>
            <w:r>
              <w:t>‬. And the three human types—</w:t>
            </w:r>
            <w:r>
              <w:t>רְשָׁעִים</w:t>
            </w:r>
            <w:r>
              <w:t xml:space="preserve"> (wicked), </w:t>
            </w:r>
            <w:r>
              <w:t>חַטָּאִים</w:t>
            </w:r>
            <w:r>
              <w:t xml:space="preserve"> (sinners), </w:t>
            </w:r>
            <w:r>
              <w:t>לֵצִים</w:t>
            </w:r>
            <w:r>
              <w:t xml:space="preserve"> (scoffers)—end with the most corrosive. The lexicon gloss for </w:t>
            </w:r>
            <w:r>
              <w:t>לֵצִים</w:t>
            </w:r>
            <w:r>
              <w:t xml:space="preserve"> is precise: the incorrigible mocker who rejects correction (cf. Proverbs 9:7–8: “</w:t>
            </w:r>
            <w:r>
              <w:t>מוֹכִיחַ</w:t>
            </w:r>
            <w:r>
              <w:t xml:space="preserve"> </w:t>
            </w:r>
            <w:r>
              <w:t>לֵץ</w:t>
            </w:r>
            <w:r>
              <w:t xml:space="preserve"> </w:t>
            </w:r>
            <w:r>
              <w:t>לֹקֵחַ</w:t>
            </w:r>
            <w:r>
              <w:t xml:space="preserve"> </w:t>
            </w:r>
            <w:r>
              <w:t>לוֹ</w:t>
            </w:r>
            <w:r>
              <w:t xml:space="preserve"> </w:t>
            </w:r>
            <w:r>
              <w:t>קָלוֹן</w:t>
            </w:r>
            <w:r>
              <w:t xml:space="preserve"> … </w:t>
            </w:r>
            <w:r>
              <w:t>אַל־תּוֹכַח</w:t>
            </w:r>
            <w:r>
              <w:t xml:space="preserve"> </w:t>
            </w:r>
            <w:r>
              <w:t>לֵץ</w:t>
            </w:r>
            <w:r>
              <w:t xml:space="preserve"> </w:t>
            </w:r>
            <w:r>
              <w:t>פֶּן־יִשְׂנָאֶךָ</w:t>
            </w:r>
            <w:r>
              <w:t xml:space="preserve">” / “Whoever corrects a scoffer earns abuse… Do not correct a scoffer lest he hate you”). The Greek Septuagint curiously renders “seat of scoffers” as “seat of </w:t>
            </w:r>
            <w:r>
              <w:t>pestilences” (</w:t>
            </w:r>
            <w:r>
              <w:t>ἐ</w:t>
            </w:r>
            <w:r>
              <w:t>π</w:t>
            </w:r>
            <w:r>
              <w:t>ὶ</w:t>
            </w:r>
            <w:r>
              <w:t xml:space="preserve"> καθέδρα λοιμ</w:t>
            </w:r>
            <w:r>
              <w:t>ῶ</w:t>
            </w:r>
            <w:r>
              <w:t>ν), an ancient misapprehension that, if nothing else, reminds us how decisive the Hebrew nuance is.</w:t>
            </w:r>
          </w:bdo>
        </w:bdo>
      </w:bdo>
    </w:p>
    <w:p w14:paraId="59F6186F" w14:textId="77777777" w:rsidR="007D0E70" w:rsidRDefault="00477D0B">
      <w:pPr>
        <w:pStyle w:val="BodySans"/>
      </w:pPr>
      <w:r>
        <w:t>The turn from negation to desire is abrupt and decisive: “</w:t>
      </w:r>
      <w:r>
        <w:t>כִּי</w:t>
      </w:r>
      <w:r>
        <w:t xml:space="preserve"> </w:t>
      </w:r>
      <w:r>
        <w:t>אִם־בְּתוֹרַת</w:t>
      </w:r>
      <w:r>
        <w:t xml:space="preserve"> </w:t>
      </w:r>
      <w:r>
        <w:t>ה׳</w:t>
      </w:r>
      <w:r>
        <w:t xml:space="preserve"> </w:t>
      </w:r>
      <w:r>
        <w:t>חֶפְצוֹ</w:t>
      </w:r>
      <w:r>
        <w:t xml:space="preserve">” (“but rather, his delight is in the teaching of YHWH”). </w:t>
      </w:r>
      <w:r>
        <w:t>חֵפֶץ</w:t>
      </w:r>
      <w:r>
        <w:t xml:space="preserve"> is not duty but appetite. The psalm depicts Torah not as an obligation to endure but as a pleasure to savor. And it specifies the practice: “</w:t>
      </w:r>
      <w:r>
        <w:t>וּבְתוֹרָתוֹ</w:t>
      </w:r>
      <w:r>
        <w:t xml:space="preserve"> </w:t>
      </w:r>
      <w:r>
        <w:t>יֶהְגֶּה</w:t>
      </w:r>
      <w:r>
        <w:t xml:space="preserve"> </w:t>
      </w:r>
      <w:r>
        <w:t>יוֹמָם</w:t>
      </w:r>
      <w:r>
        <w:t xml:space="preserve"> </w:t>
      </w:r>
      <w:r>
        <w:t>וָלָיְלָה</w:t>
      </w:r>
      <w:r>
        <w:t xml:space="preserve">” (“and on his Torah he meditates, day and night”). </w:t>
      </w:r>
      <w:r>
        <w:t>הָגָה</w:t>
      </w:r>
      <w:r>
        <w:t xml:space="preserve"> means to murmur—of lions that “growl” (Isaiah 31:4, “</w:t>
      </w:r>
      <w:r>
        <w:t>כַּאֲשֶׁר</w:t>
      </w:r>
      <w:r>
        <w:t xml:space="preserve"> </w:t>
      </w:r>
      <w:r>
        <w:t>יֶהְגֶּה</w:t>
      </w:r>
      <w:r>
        <w:t xml:space="preserve"> </w:t>
      </w:r>
      <w:r>
        <w:t>הָאַרְיֵה</w:t>
      </w:r>
      <w:r>
        <w:t>”) and of students who read aloud. It is the same verb in Joshua 1:8: “</w:t>
      </w:r>
      <w:r>
        <w:t>לֹא־יָמוּשׁ</w:t>
      </w:r>
      <w:r>
        <w:t xml:space="preserve"> … </w:t>
      </w:r>
      <w:r>
        <w:t>מִפִּיךָ</w:t>
      </w:r>
      <w:r>
        <w:t xml:space="preserve">; </w:t>
      </w:r>
      <w:r>
        <w:t>וְהָגִ</w:t>
      </w:r>
      <w:r>
        <w:t>יתָ</w:t>
      </w:r>
      <w:r>
        <w:t xml:space="preserve"> </w:t>
      </w:r>
      <w:r>
        <w:t>בּוֹ</w:t>
      </w:r>
      <w:r>
        <w:t xml:space="preserve"> </w:t>
      </w:r>
      <w:r>
        <w:t>יוֹמָם</w:t>
      </w:r>
      <w:r>
        <w:t xml:space="preserve"> </w:t>
      </w:r>
      <w:r>
        <w:t>וָלַיְלָה</w:t>
      </w:r>
      <w:r>
        <w:t>” (“This book… shall not depart from your mouth; you shall meditate on it day and night”). The phrase “day and night” is a merism, a figure that names two poles to suggest the whole (as in “heaven and earth”). And a small grammatical shift carries a large theology: from “</w:t>
      </w:r>
      <w:r>
        <w:t>תּוֹרַת</w:t>
      </w:r>
      <w:r>
        <w:t xml:space="preserve"> </w:t>
      </w:r>
      <w:r>
        <w:t>ה׳</w:t>
      </w:r>
      <w:r>
        <w:t>” (“the LORD’s Torah”) to “</w:t>
      </w:r>
      <w:r>
        <w:t>בְּתוֹרָתוֹ</w:t>
      </w:r>
      <w:r>
        <w:t>” (“his Torah”). The Talmud hears a promise: “At first it is called ‘the LORD’s Torah’; after one has labored in it, it is called ‘his Torah’” (Avodah Zarah 19a). Deli</w:t>
      </w:r>
      <w:r>
        <w:t>ght leads to ownership; murmuring becomes indwelling.</w:t>
      </w:r>
    </w:p>
    <w:p w14:paraId="51143AFB" w14:textId="77777777" w:rsidR="007D0E70" w:rsidRDefault="00477D0B">
      <w:pPr>
        <w:pStyle w:val="BodySans"/>
      </w:pPr>
      <w:r>
        <w:t>The images that follow are elemental. The righteous one is “</w:t>
      </w:r>
      <w:r>
        <w:t>כְּעֵץ</w:t>
      </w:r>
      <w:r>
        <w:t xml:space="preserve"> </w:t>
      </w:r>
      <w:r>
        <w:t>שָׁתוּל</w:t>
      </w:r>
      <w:r>
        <w:t xml:space="preserve"> </w:t>
      </w:r>
      <w:r>
        <w:t>עַל־פַּלְגֵי־מָיִם</w:t>
      </w:r>
      <w:r>
        <w:t xml:space="preserve">” (“like a tree planted beside channels of water”). </w:t>
      </w:r>
      <w:r>
        <w:t>שָׁתוּל</w:t>
      </w:r>
      <w:r>
        <w:t xml:space="preserve"> is a passive participle: a tree not self-sown but transplanted, set there by a gardener. The “channels” </w:t>
      </w:r>
      <w:bdo w:val="ltr">
        <w:r>
          <w:t>(</w:t>
        </w:r>
        <w:r>
          <w:t>יגֵלְפַּ</w:t>
        </w:r>
        <w:r>
          <w:t>)</w:t>
        </w:r>
        <w:r>
          <w:t>‬ are divided runnels—irrigation. The result is stability with timing: “</w:t>
        </w:r>
        <w:r>
          <w:t>אֲשֶׁר</w:t>
        </w:r>
        <w:r>
          <w:t xml:space="preserve"> </w:t>
        </w:r>
        <w:r>
          <w:t>פִּרְיוֹ</w:t>
        </w:r>
        <w:r>
          <w:t xml:space="preserve"> </w:t>
        </w:r>
        <w:r>
          <w:t>יִתֵּן</w:t>
        </w:r>
        <w:r>
          <w:t xml:space="preserve"> </w:t>
        </w:r>
        <w:r>
          <w:t>בְּעִתּוֹ</w:t>
        </w:r>
        <w:r>
          <w:t xml:space="preserve">; </w:t>
        </w:r>
        <w:r>
          <w:t>וְעָלֵהוּ</w:t>
        </w:r>
        <w:r>
          <w:t xml:space="preserve"> </w:t>
        </w:r>
        <w:r>
          <w:t>לֹא</w:t>
        </w:r>
        <w:r>
          <w:t xml:space="preserve"> </w:t>
        </w:r>
        <w:r>
          <w:t>יִבּוֹל</w:t>
        </w:r>
        <w:r>
          <w:t xml:space="preserve">; </w:t>
        </w:r>
        <w:r>
          <w:t>וְכֹל</w:t>
        </w:r>
        <w:r>
          <w:t xml:space="preserve"> </w:t>
        </w:r>
        <w:r>
          <w:t>אֲשֶׁר־יַעֲשֶׂה</w:t>
        </w:r>
        <w:r>
          <w:t xml:space="preserve"> </w:t>
        </w:r>
        <w:r>
          <w:t>יַצְלִיחַ</w:t>
        </w:r>
        <w:r>
          <w:t>” (“It yields its fruit in its season; its leaf does not wither; whatever it does prospers”). Jeremiah borrows the image: “</w:t>
        </w:r>
        <w:r>
          <w:t>וְהָיָה</w:t>
        </w:r>
        <w:r>
          <w:t xml:space="preserve"> </w:t>
        </w:r>
        <w:r>
          <w:t>כְּעֵץ</w:t>
        </w:r>
        <w:r>
          <w:t xml:space="preserve"> </w:t>
        </w:r>
        <w:r>
          <w:t>שָׁתוּ</w:t>
        </w:r>
        <w:r>
          <w:t>ל</w:t>
        </w:r>
        <w:r>
          <w:t xml:space="preserve"> </w:t>
        </w:r>
        <w:r>
          <w:t>עַל־מַיִם</w:t>
        </w:r>
        <w:r>
          <w:t xml:space="preserve">… </w:t>
        </w:r>
        <w:r>
          <w:t>וְלֹא</w:t>
        </w:r>
        <w:r>
          <w:t xml:space="preserve"> </w:t>
        </w:r>
        <w:r>
          <w:t>יִדְאָג</w:t>
        </w:r>
        <w:r>
          <w:t xml:space="preserve"> </w:t>
        </w:r>
        <w:r>
          <w:t>בִּשְׁנַת</w:t>
        </w:r>
        <w:r>
          <w:t xml:space="preserve"> </w:t>
        </w:r>
        <w:r>
          <w:t>בַּצֹּרֶת</w:t>
        </w:r>
        <w:r>
          <w:t xml:space="preserve">” (“He shall be like </w:t>
        </w:r>
        <w:r>
          <w:lastRenderedPageBreak/>
          <w:t>a tree planted by water… he shall not worry in a year of drought,” Jeremiah 17:8). Within the Psalter, Psalm 92 completes the picture: “</w:t>
        </w:r>
        <w:r>
          <w:t>שְׁתוּלִים</w:t>
        </w:r>
        <w:r>
          <w:t xml:space="preserve"> </w:t>
        </w:r>
        <w:r>
          <w:t>בְּבֵית</w:t>
        </w:r>
        <w:r>
          <w:t xml:space="preserve"> </w:t>
        </w:r>
        <w:r>
          <w:t>ה׳</w:t>
        </w:r>
        <w:r>
          <w:t xml:space="preserve">… </w:t>
        </w:r>
        <w:r>
          <w:t>צַדִּיק</w:t>
        </w:r>
        <w:r>
          <w:t xml:space="preserve"> </w:t>
        </w:r>
        <w:r>
          <w:t>כַּתָּמָר</w:t>
        </w:r>
        <w:r>
          <w:t xml:space="preserve"> </w:t>
        </w:r>
        <w:r>
          <w:t>יִפְרָח</w:t>
        </w:r>
        <w:r>
          <w:t>” (“Planted in the house of YHWH… the righteous shall flourish like the palm,” 92:14, 13). Psalm 1 hints; Psalm 92 locates: the streams are, ultimately, the Temple precincts—and by extension, the flow of God’s teaching.</w:t>
        </w:r>
      </w:bdo>
    </w:p>
    <w:p w14:paraId="1027952A" w14:textId="77777777" w:rsidR="007D0E70" w:rsidRDefault="00477D0B">
      <w:pPr>
        <w:pStyle w:val="BodySans"/>
      </w:pPr>
      <w:r>
        <w:t>Then, as if to demonstrate how insubstantial the alternative is, the wicked receive half a line: “</w:t>
      </w:r>
      <w:r>
        <w:t>לֹא־כֵן</w:t>
      </w:r>
      <w:r>
        <w:t xml:space="preserve"> </w:t>
      </w:r>
      <w:r>
        <w:t>הָרְשָׁעִים</w:t>
      </w:r>
      <w:r>
        <w:t xml:space="preserve">; </w:t>
      </w:r>
      <w:r>
        <w:t>כִּי</w:t>
      </w:r>
      <w:r>
        <w:t xml:space="preserve"> </w:t>
      </w:r>
      <w:r>
        <w:t>אִם</w:t>
      </w:r>
      <w:r>
        <w:t xml:space="preserve"> </w:t>
      </w:r>
      <w:r>
        <w:t>כַּמֹּץ</w:t>
      </w:r>
      <w:r>
        <w:t xml:space="preserve"> </w:t>
      </w:r>
      <w:r>
        <w:t>אֲשֶׁר־תִּדְּפֶנּוּ</w:t>
      </w:r>
      <w:r>
        <w:t xml:space="preserve"> </w:t>
      </w:r>
      <w:r>
        <w:t>רוּחַ</w:t>
      </w:r>
      <w:r>
        <w:t xml:space="preserve">” (“Not so the wicked; rather, like chaff which the wind drives away”). The brevity performs the point. Chaff </w:t>
      </w:r>
      <w:bdo w:val="ltr">
        <w:r>
          <w:t>(</w:t>
        </w:r>
        <w:r>
          <w:t>ץמֹ</w:t>
        </w:r>
        <w:r>
          <w:t>)</w:t>
        </w:r>
        <w:r>
          <w:t>‬ is threshing-floor waste. Isaiah says, “</w:t>
        </w:r>
        <w:r>
          <w:t>כְּמֹץ</w:t>
        </w:r>
        <w:r>
          <w:t xml:space="preserve"> </w:t>
        </w:r>
        <w:r>
          <w:t>הָרִים</w:t>
        </w:r>
        <w:r>
          <w:t xml:space="preserve"> </w:t>
        </w:r>
        <w:r>
          <w:t>לִפְנֵי־רוּחַ</w:t>
        </w:r>
        <w:r>
          <w:t>” (“like chaff of the mountains before the wind,” 17:13), and a psalm prays, “</w:t>
        </w:r>
        <w:r>
          <w:t>יִהְיוּ</w:t>
        </w:r>
        <w:r>
          <w:t xml:space="preserve"> </w:t>
        </w:r>
        <w:r>
          <w:t>כְּמֹץ</w:t>
        </w:r>
        <w:r>
          <w:t xml:space="preserve"> </w:t>
        </w:r>
        <w:r>
          <w:t>לִפְנֵי־רוּחַ</w:t>
        </w:r>
        <w:r>
          <w:t>” (“let them be like chaff before the wind,” Psalm 35:5). The site, the threshing floor, is a place of judgment; the image is the least “rooted” thing the agr</w:t>
        </w:r>
        <w:r>
          <w:t>arian imagination can summon.</w:t>
        </w:r>
      </w:bdo>
    </w:p>
    <w:p w14:paraId="599227E6" w14:textId="77777777" w:rsidR="007D0E70" w:rsidRDefault="00477D0B">
      <w:pPr>
        <w:pStyle w:val="BodySans"/>
      </w:pPr>
      <w:r>
        <w:t>Verses 5–6 gather the implications in the concrete idiom of the court and the congregation: “</w:t>
      </w:r>
      <w:r>
        <w:t>עַל־כֵּן</w:t>
      </w:r>
      <w:r>
        <w:t xml:space="preserve"> </w:t>
      </w:r>
      <w:r>
        <w:t>לֹא־יָקֻמוּ</w:t>
      </w:r>
      <w:r>
        <w:t xml:space="preserve"> </w:t>
      </w:r>
      <w:r>
        <w:t>רְשָׁעִים</w:t>
      </w:r>
      <w:r>
        <w:t xml:space="preserve"> </w:t>
      </w:r>
      <w:r>
        <w:t>בַּמִּשְׁפָּט</w:t>
      </w:r>
      <w:r>
        <w:t xml:space="preserve">; </w:t>
      </w:r>
      <w:r>
        <w:t>וְחַטָּאִים</w:t>
      </w:r>
      <w:r>
        <w:t xml:space="preserve"> </w:t>
      </w:r>
      <w:r>
        <w:t>בַּעֲדַת</w:t>
      </w:r>
      <w:r>
        <w:t xml:space="preserve"> </w:t>
      </w:r>
      <w:r>
        <w:t>צַדִּיקִים</w:t>
      </w:r>
      <w:r>
        <w:t>” (“Therefore the wicked will not stand in the judgment; nor sinners in the assembly of the righteous”). “Stand” here is legal: “</w:t>
      </w:r>
      <w:r>
        <w:t>עַל־פִּי</w:t>
      </w:r>
      <w:r>
        <w:t xml:space="preserve"> </w:t>
      </w:r>
      <w:r>
        <w:t>שְׁנֵי</w:t>
      </w:r>
      <w:r>
        <w:t xml:space="preserve"> </w:t>
      </w:r>
      <w:r>
        <w:t>עֵדִים</w:t>
      </w:r>
      <w:r>
        <w:t xml:space="preserve">… </w:t>
      </w:r>
      <w:r>
        <w:t>יָקוּם</w:t>
      </w:r>
      <w:r>
        <w:t xml:space="preserve"> </w:t>
      </w:r>
      <w:r>
        <w:t>דָּבָר</w:t>
      </w:r>
      <w:r>
        <w:t xml:space="preserve">” (“on the testimony of two witnesses a matter shall stand,” Deuteronomy 19:15). The “assembly” </w:t>
      </w:r>
      <w:bdo w:val="ltr">
        <w:r>
          <w:t>(</w:t>
        </w:r>
        <w:r>
          <w:t>הדָעֵ</w:t>
        </w:r>
        <w:r>
          <w:t>)</w:t>
        </w:r>
        <w:r>
          <w:t>‬ is the gathered people; elsewhere it is the “great congregation” of worship (Psalm 22:26). The tradition at times hears more: an eschatological exclusion (“Therefo</w:t>
        </w:r>
        <w:r>
          <w:t>re wicked men shall not rise up in the Judgment,” Radak), even debates whether the wicked “stand” at all (Sanhedrin 107b).</w:t>
        </w:r>
      </w:bdo>
    </w:p>
    <w:p w14:paraId="571192DF" w14:textId="77777777" w:rsidR="007D0E70" w:rsidRDefault="00477D0B">
      <w:pPr>
        <w:pStyle w:val="BodySans"/>
      </w:pPr>
      <w:r>
        <w:t>The psalm’s final stroke is both gentle and radical: “</w:t>
      </w:r>
      <w:r>
        <w:t>כִּי־יוֹדֵעַ</w:t>
      </w:r>
      <w:r>
        <w:t xml:space="preserve"> </w:t>
      </w:r>
      <w:r>
        <w:t>ה׳</w:t>
      </w:r>
      <w:r>
        <w:t xml:space="preserve"> </w:t>
      </w:r>
      <w:r>
        <w:t>דֶּרֶךְ</w:t>
      </w:r>
      <w:r>
        <w:t xml:space="preserve"> </w:t>
      </w:r>
      <w:r>
        <w:t>צַדִּיקִים</w:t>
      </w:r>
      <w:r>
        <w:t xml:space="preserve">; </w:t>
      </w:r>
      <w:r>
        <w:t>וְדֶרֶךְ</w:t>
      </w:r>
      <w:r>
        <w:t xml:space="preserve"> </w:t>
      </w:r>
      <w:r>
        <w:t>רְשָׁעִים</w:t>
      </w:r>
      <w:r>
        <w:t xml:space="preserve"> </w:t>
      </w:r>
      <w:r>
        <w:t>תֹּאבֵד</w:t>
      </w:r>
      <w:r>
        <w:t xml:space="preserve">” (“For YHWH knows the way of the righteous; but the way of the wicked will perish”). To “know” </w:t>
      </w:r>
      <w:bdo w:val="ltr">
        <w:r>
          <w:t>(</w:t>
        </w:r>
        <w:r>
          <w:t>עדַיָ</w:t>
        </w:r>
        <w:r>
          <w:t>)</w:t>
        </w:r>
        <w:r>
          <w:t>‬ in covenant speech is not to possess information; it is to recognize and attach. “</w:t>
        </w:r>
        <w:r>
          <w:t>רַק</w:t>
        </w:r>
        <w:r>
          <w:t xml:space="preserve"> </w:t>
        </w:r>
        <w:r>
          <w:t>אֶתְכֶם</w:t>
        </w:r>
        <w:r>
          <w:t xml:space="preserve"> </w:t>
        </w:r>
        <w:r>
          <w:t>יָדַעְתִּי</w:t>
        </w:r>
        <w:r>
          <w:t>” (“You only have I known,” Amos 3:2); “</w:t>
        </w:r>
        <w:r>
          <w:t>כִּי</w:t>
        </w:r>
        <w:r>
          <w:t xml:space="preserve"> </w:t>
        </w:r>
        <w:r>
          <w:t>יְדַעְתִּיו</w:t>
        </w:r>
        <w:r>
          <w:t xml:space="preserve">” (“For I have known him,” Genesis 18:19). God’s knowledge confers stability. The grammar tells: the righteous “way” is the object of God’s active knowing; the wicked “way” perishes </w:t>
        </w:r>
        <w:bdo w:val="ltr">
          <w:r>
            <w:t>(</w:t>
          </w:r>
          <w:r>
            <w:t>דבא</w:t>
          </w:r>
          <w:r>
            <w:t>)</w:t>
          </w:r>
          <w:r>
            <w:t>‬ without an agent. It evaporates. As Malbim puts it, what God “knows” is what endures.</w:t>
          </w:r>
        </w:bdo>
      </w:bdo>
    </w:p>
    <w:p w14:paraId="583C5990" w14:textId="77777777" w:rsidR="007D0E70" w:rsidRDefault="00477D0B">
      <w:pPr>
        <w:pStyle w:val="BodySans"/>
      </w:pPr>
      <w:r>
        <w:t xml:space="preserve">Two final literary touches matter. First, “way” </w:t>
      </w:r>
      <w:bdo w:val="ltr">
        <w:r>
          <w:t>(</w:t>
        </w:r>
        <w:r>
          <w:t>ךְרֶדֶּ</w:t>
        </w:r>
        <w:r>
          <w:t>)</w:t>
        </w:r>
        <w:r>
          <w:t xml:space="preserve">‬ frames the poem (v. 1, v. 6): an inclusio (an envelope structure) that tells you where to look. Second, the verb </w:t>
        </w:r>
        <w:r>
          <w:t>הָגָה</w:t>
        </w:r>
        <w:r>
          <w:t xml:space="preserve"> links Psalm 1 and Psalm 2. Here, “he meditates” </w:t>
        </w:r>
        <w:bdo w:val="ltr">
          <w:r>
            <w:t>(</w:t>
          </w:r>
          <w:r>
            <w:t>הגֶּהְיֶ</w:t>
          </w:r>
          <w:r>
            <w:t>)</w:t>
          </w:r>
          <w:r>
            <w:t xml:space="preserve">‬ on Torah; there, “the nations plot” </w:t>
          </w:r>
          <w:bdo w:val="ltr">
            <w:r>
              <w:t>(</w:t>
            </w:r>
            <w:r>
              <w:t>וּגּהְיֶוְ</w:t>
            </w:r>
            <w:r>
              <w:t>)</w:t>
            </w:r>
            <w:r>
              <w:t>‬ vanity (Psalm 2:1: “</w:t>
            </w:r>
            <w:r>
              <w:t>לָמָּה</w:t>
            </w:r>
            <w:r>
              <w:t xml:space="preserve"> </w:t>
            </w:r>
            <w:r>
              <w:t>רָגְשׁוּ</w:t>
            </w:r>
            <w:r>
              <w:t xml:space="preserve"> </w:t>
            </w:r>
            <w:r>
              <w:t>גוֹיִם</w:t>
            </w:r>
            <w:r>
              <w:t xml:space="preserve">… </w:t>
            </w:r>
            <w:r>
              <w:t>וְיֶהְגּוּ</w:t>
            </w:r>
            <w:r>
              <w:t xml:space="preserve"> </w:t>
            </w:r>
            <w:r>
              <w:t>רִיק</w:t>
            </w:r>
            <w:r>
              <w:t>”). Two meditations. Two outcomes. The Psalter begins by asking you to choose your murmur.</w:t>
            </w:r>
          </w:bdo>
        </w:bdo>
      </w:bdo>
    </w:p>
    <w:p w14:paraId="1E44E060" w14:textId="77777777" w:rsidR="007D0E70" w:rsidRDefault="00477D0B">
      <w:pPr>
        <w:pStyle w:val="BodySans"/>
      </w:pPr>
      <w:r>
        <w:t xml:space="preserve">— </w:t>
      </w:r>
    </w:p>
    <w:p w14:paraId="53608E67" w14:textId="77777777" w:rsidR="007D0E70" w:rsidRDefault="00477D0B">
      <w:pPr>
        <w:pStyle w:val="Heading2"/>
      </w:pPr>
      <w:r>
        <w:lastRenderedPageBreak/>
        <w:t>Modern Jewish Liturgical Use</w:t>
      </w:r>
    </w:p>
    <w:p w14:paraId="3A43E2DB" w14:textId="77777777" w:rsidR="007D0E70" w:rsidRDefault="00477D0B">
      <w:pPr>
        <w:pStyle w:val="Heading4"/>
      </w:pPr>
      <w:r>
        <w:t>Full psalm</w:t>
      </w:r>
    </w:p>
    <w:p w14:paraId="5962B271" w14:textId="77777777" w:rsidR="007D0E70" w:rsidRDefault="00477D0B">
      <w:pPr>
        <w:pStyle w:val="BodySans"/>
      </w:pPr>
      <w:r>
        <w:t>Many communities recite the entire psalm at the opening of Yom Kippur night (Ma’ariv). In Edot HaMizrach, Psalm 1 begins a sequence (Psalms 1–4, 24) with a “</w:t>
      </w:r>
      <w:r>
        <w:t>יְהִי</w:t>
      </w:r>
      <w:r>
        <w:t xml:space="preserve"> </w:t>
      </w:r>
      <w:r>
        <w:t>רָצוֹן</w:t>
      </w:r>
      <w:r>
        <w:t xml:space="preserve">” between sections, situating the Day of Atonement within the psalm’s stark choice of “ways.” Several Ashkenazic rites likewise place Psalm 1 before devotional pieces such as “Shir HaYichud” and “Anim Zemirot.” Its placement on the holiest night underscores the tradition’s reading: judgment </w:t>
      </w:r>
      <w:bdo w:val="ltr">
        <w:r>
          <w:t>(</w:t>
        </w:r>
        <w:r>
          <w:t>טפָּשְׁמִּבַּ</w:t>
        </w:r>
        <w:r>
          <w:t>)</w:t>
        </w:r>
        <w:r>
          <w:t xml:space="preserve">‬, assembly </w:t>
        </w:r>
        <w:bdo w:val="ltr">
          <w:r>
            <w:t>(</w:t>
          </w:r>
          <w:r>
            <w:t>םיקִידִּצַ</w:t>
          </w:r>
          <w:r>
            <w:t xml:space="preserve"> </w:t>
          </w:r>
          <w:r>
            <w:t>תדָעֲ</w:t>
          </w:r>
          <w:r>
            <w:t>)</w:t>
          </w:r>
          <w:r>
            <w:t xml:space="preserve">‬, and divine “knowing” </w:t>
          </w:r>
          <w:bdo w:val="ltr">
            <w:r>
              <w:t>(</w:t>
            </w:r>
            <w:r>
              <w:t>עַדֵוֹי</w:t>
            </w:r>
            <w:r>
              <w:t>)</w:t>
            </w:r>
            <w:r>
              <w:t>‬ are not abstractions but liturgical realities.</w:t>
            </w:r>
          </w:bdo>
        </w:bdo>
      </w:bdo>
    </w:p>
    <w:p w14:paraId="3A646C72" w14:textId="77777777" w:rsidR="007D0E70" w:rsidRDefault="00477D0B">
      <w:pPr>
        <w:pStyle w:val="Heading4"/>
      </w:pPr>
      <w:r>
        <w:t>Key verses</w:t>
      </w:r>
    </w:p>
    <w:p w14:paraId="77F9834A" w14:textId="77777777" w:rsidR="007D0E70" w:rsidRDefault="00477D0B">
      <w:pPr>
        <w:pStyle w:val="BodySans"/>
      </w:pPr>
      <w:r>
        <w:t>Psalm 1:3 — “</w:t>
      </w:r>
      <w:proofErr w:type="spellStart"/>
      <w:r>
        <w:t>וְהָיָה</w:t>
      </w:r>
      <w:proofErr w:type="spellEnd"/>
      <w:r>
        <w:t xml:space="preserve"> </w:t>
      </w:r>
      <w:r>
        <w:t>כְּעֵץ</w:t>
      </w:r>
      <w:r>
        <w:t xml:space="preserve"> </w:t>
      </w:r>
      <w:r>
        <w:t>שָׁתוּל</w:t>
      </w:r>
      <w:r>
        <w:t xml:space="preserve"> </w:t>
      </w:r>
      <w:r>
        <w:t>עַל־פַּלְגֵי</w:t>
      </w:r>
      <w:r>
        <w:t xml:space="preserve"> </w:t>
      </w:r>
      <w:r>
        <w:t>מָיִם</w:t>
      </w:r>
      <w:r>
        <w:t>…” (“He shall be like a tree planted by streams of water…”) In many Edot HaMizrach communities, this verse is woven into the Rosh Hashanah night Kiddush after the plea “</w:t>
      </w:r>
      <w:r>
        <w:t>אָנָּא</w:t>
      </w:r>
      <w:r>
        <w:t xml:space="preserve"> </w:t>
      </w:r>
      <w:r>
        <w:t>ה׳</w:t>
      </w:r>
      <w:r>
        <w:t xml:space="preserve"> </w:t>
      </w:r>
      <w:r>
        <w:t>הַצְלִיחָה</w:t>
      </w:r>
      <w:r>
        <w:t xml:space="preserve"> </w:t>
      </w:r>
      <w:r>
        <w:t>נָא</w:t>
      </w:r>
      <w:r>
        <w:t>” (“Please, LORD, grant success”), functioning as a prooftext for blessing in the new year. In the Tefillat Geshem (Prayer for Rain) on Shemini Atzeret, the chazzan invokes: “</w:t>
      </w:r>
      <w:r>
        <w:t>זְכוֹר</w:t>
      </w:r>
      <w:r>
        <w:t xml:space="preserve"> </w:t>
      </w:r>
      <w:r>
        <w:t>אָב</w:t>
      </w:r>
      <w:r>
        <w:t xml:space="preserve"> </w:t>
      </w:r>
      <w:r>
        <w:t>נִמְשַׁךְ</w:t>
      </w:r>
      <w:r>
        <w:t xml:space="preserve"> </w:t>
      </w:r>
      <w:r>
        <w:t>אַחֲרֶיךָ</w:t>
      </w:r>
      <w:r>
        <w:t xml:space="preserve"> </w:t>
      </w:r>
      <w:r>
        <w:t>כַּמַּיִם</w:t>
      </w:r>
      <w:r>
        <w:t xml:space="preserve">; </w:t>
      </w:r>
      <w:r>
        <w:t>בֵּרַכְתּוֹ</w:t>
      </w:r>
      <w:r>
        <w:t xml:space="preserve"> </w:t>
      </w:r>
      <w:r>
        <w:t>כְּעֵץ</w:t>
      </w:r>
      <w:r>
        <w:t xml:space="preserve"> </w:t>
      </w:r>
      <w:r>
        <w:t>שָׁתוּל</w:t>
      </w:r>
      <w:r>
        <w:t xml:space="preserve"> </w:t>
      </w:r>
      <w:r>
        <w:t>עַל</w:t>
      </w:r>
      <w:r>
        <w:t xml:space="preserve"> </w:t>
      </w:r>
      <w:r>
        <w:t>פַּלְגֵי</w:t>
      </w:r>
      <w:r>
        <w:t xml:space="preserve"> </w:t>
      </w:r>
      <w:r>
        <w:t>מַיִם</w:t>
      </w:r>
      <w:r>
        <w:t>” (“Remember the</w:t>
      </w:r>
      <w:r>
        <w:t xml:space="preserve"> father drawn after You like waters; You blessed him like a tree planted by streams of water”), transposing Psalm 1’s personal flourishing into a communal prayer for rain.</w:t>
      </w:r>
    </w:p>
    <w:p w14:paraId="3A2EA89E" w14:textId="77777777" w:rsidR="007D0E70" w:rsidRDefault="00477D0B">
      <w:pPr>
        <w:pStyle w:val="Heading4"/>
      </w:pPr>
      <w:r>
        <w:t>Phrases</w:t>
      </w:r>
    </w:p>
    <w:p w14:paraId="2B077D42" w14:textId="77777777" w:rsidR="007D0E70" w:rsidRDefault="00477D0B">
      <w:pPr>
        <w:pStyle w:val="BodySans"/>
      </w:pPr>
      <w:r>
        <w:t>Psalm 1:1 — “</w:t>
      </w:r>
      <w:r>
        <w:t>וּבְמוֹשַׁב</w:t>
      </w:r>
      <w:r>
        <w:t xml:space="preserve"> </w:t>
      </w:r>
      <w:r>
        <w:t>לֵצִים</w:t>
      </w:r>
      <w:r>
        <w:t xml:space="preserve"> </w:t>
      </w:r>
      <w:r>
        <w:t>לֹא</w:t>
      </w:r>
      <w:r>
        <w:t xml:space="preserve"> </w:t>
      </w:r>
      <w:r>
        <w:t>יָשָׁב</w:t>
      </w:r>
      <w:r>
        <w:t>” (“nor sat in the seat of scoffers”). In the Shabbat afternoon study of Pirkei Avot, the dictum is recited: “</w:t>
      </w:r>
      <w:r>
        <w:t>שֶׁיּוֹשְׁבִין</w:t>
      </w:r>
      <w:r>
        <w:t xml:space="preserve"> </w:t>
      </w:r>
      <w:r>
        <w:t>וְאֵין</w:t>
      </w:r>
      <w:r>
        <w:t xml:space="preserve"> </w:t>
      </w:r>
      <w:r>
        <w:t>בֵּינֵיהֶם</w:t>
      </w:r>
      <w:r>
        <w:t xml:space="preserve"> </w:t>
      </w:r>
      <w:r>
        <w:t>דִּבְרֵי</w:t>
      </w:r>
      <w:r>
        <w:t xml:space="preserve"> </w:t>
      </w:r>
      <w:r>
        <w:t>תוֹרָה</w:t>
      </w:r>
      <w:r>
        <w:t xml:space="preserve">, </w:t>
      </w:r>
      <w:r>
        <w:t>הֲרֵי</w:t>
      </w:r>
      <w:r>
        <w:t xml:space="preserve"> </w:t>
      </w:r>
      <w:r>
        <w:t>זֶה</w:t>
      </w:r>
      <w:r>
        <w:t xml:space="preserve"> </w:t>
      </w:r>
      <w:r>
        <w:t>מוֹשַׁב</w:t>
      </w:r>
      <w:r>
        <w:t xml:space="preserve"> </w:t>
      </w:r>
      <w:r>
        <w:t>לֵצִים</w:t>
      </w:r>
      <w:r>
        <w:t xml:space="preserve">, </w:t>
      </w:r>
      <w:r>
        <w:t>שֶׁנֶּאֱמַר</w:t>
      </w:r>
      <w:r>
        <w:t xml:space="preserve">: </w:t>
      </w:r>
      <w:r>
        <w:t>וּבְמוֹשַׁב</w:t>
      </w:r>
      <w:r>
        <w:t xml:space="preserve"> </w:t>
      </w:r>
      <w:r>
        <w:t>לֵצִים</w:t>
      </w:r>
      <w:r>
        <w:t xml:space="preserve"> </w:t>
      </w:r>
      <w:r>
        <w:t>לֹא</w:t>
      </w:r>
      <w:r>
        <w:t xml:space="preserve"> </w:t>
      </w:r>
      <w:r>
        <w:t>יָשָׁב</w:t>
      </w:r>
      <w:r>
        <w:t>” (“If people sit together and there are no words of Torah between them, this is a seat of scoffers, as it is said: ‘nor sat in the seat of scoffers’”). The verse becomes an ethic of conversation: Torah talk is not ornament but safeguard.</w:t>
      </w:r>
    </w:p>
    <w:p w14:paraId="595D07DE" w14:textId="77777777" w:rsidR="007D0E70" w:rsidRDefault="00477D0B">
      <w:pPr>
        <w:pStyle w:val="BodySans"/>
      </w:pPr>
      <w:r>
        <w:t>Psalm 1:3 — “</w:t>
      </w:r>
      <w:r>
        <w:t>כְּעֵץ</w:t>
      </w:r>
      <w:r>
        <w:t xml:space="preserve"> </w:t>
      </w:r>
      <w:r>
        <w:t>שָׁתוּל</w:t>
      </w:r>
      <w:r>
        <w:t xml:space="preserve"> </w:t>
      </w:r>
      <w:r>
        <w:t>עַל־פַּלְגֵי</w:t>
      </w:r>
      <w:r>
        <w:t xml:space="preserve"> </w:t>
      </w:r>
      <w:r>
        <w:t>מָיִם</w:t>
      </w:r>
      <w:r>
        <w:t>.” As part of Simchat Torah Hakafot in some Sefardic rites, this phrase appears in sequences of verses and piyyutim praising Torah; the image of rooted, fruiting life is appropriated as a portrait of the community circling the scrolls.</w:t>
      </w:r>
    </w:p>
    <w:p w14:paraId="6103C702" w14:textId="77777777" w:rsidR="007D0E70" w:rsidRDefault="00477D0B">
      <w:pPr>
        <w:pStyle w:val="BodySans"/>
      </w:pPr>
      <w:r>
        <w:lastRenderedPageBreak/>
        <w:t>---</w:t>
      </w:r>
    </w:p>
    <w:p w14:paraId="68F67F20" w14:textId="77777777" w:rsidR="007D0E70" w:rsidRDefault="00477D0B">
      <w:pPr>
        <w:pStyle w:val="Heading2"/>
      </w:pPr>
      <w:r>
        <w:t>Verse-by-Verse Commentary</w:t>
      </w:r>
    </w:p>
    <w:p w14:paraId="5377E1F0" w14:textId="77777777" w:rsidR="007D0E70" w:rsidRDefault="00477D0B">
      <w:pPr>
        <w:pStyle w:val="Heading3"/>
      </w:pPr>
      <w:r>
        <w:t>Verse 1</w:t>
      </w:r>
    </w:p>
    <w:p w14:paraId="3923A2EF" w14:textId="77777777" w:rsidR="007D0E70" w:rsidRDefault="00477D0B">
      <w:pPr>
        <w:pStyle w:val="BodySans"/>
      </w:pPr>
      <w:r>
        <w:t>אַשְׁרֵי־הָאִישׁ</w:t>
      </w:r>
      <w:r>
        <w:t xml:space="preserve"> </w:t>
      </w:r>
      <w:r>
        <w:t>אֲשֶׁר</w:t>
      </w:r>
      <w:r>
        <w:t xml:space="preserve"> </w:t>
      </w:r>
      <w:r>
        <w:t>לֹא</w:t>
      </w:r>
      <w:r>
        <w:t xml:space="preserve"> </w:t>
      </w:r>
      <w:r>
        <w:t>הָלַךְ</w:t>
      </w:r>
      <w:r>
        <w:t xml:space="preserve"> </w:t>
      </w:r>
      <w:r>
        <w:t>בַּעֲצַת</w:t>
      </w:r>
      <w:r>
        <w:t xml:space="preserve"> </w:t>
      </w:r>
      <w:r>
        <w:t>רְשָׁעִים</w:t>
      </w:r>
      <w:r>
        <w:t xml:space="preserve">; </w:t>
      </w:r>
      <w:r>
        <w:t>וּבְדֶרֶךְ</w:t>
      </w:r>
      <w:r>
        <w:t xml:space="preserve"> </w:t>
      </w:r>
      <w:r>
        <w:t>חַטָּאִים</w:t>
      </w:r>
      <w:r>
        <w:t xml:space="preserve"> </w:t>
      </w:r>
      <w:r>
        <w:t>לֹא</w:t>
      </w:r>
      <w:r>
        <w:t xml:space="preserve"> </w:t>
      </w:r>
      <w:r>
        <w:t>עָמָד</w:t>
      </w:r>
      <w:r>
        <w:t xml:space="preserve">; </w:t>
      </w:r>
      <w:r>
        <w:t>וּבְמוֹשַׁב</w:t>
      </w:r>
      <w:r>
        <w:t xml:space="preserve"> </w:t>
      </w:r>
      <w:r>
        <w:t>לֵצִים</w:t>
      </w:r>
      <w:r>
        <w:t xml:space="preserve"> </w:t>
      </w:r>
      <w:r>
        <w:t>לֹא</w:t>
      </w:r>
      <w:r>
        <w:t xml:space="preserve"> </w:t>
      </w:r>
      <w:r>
        <w:t>יָשָׁב׃</w:t>
      </w:r>
    </w:p>
    <w:p w14:paraId="272E7022" w14:textId="77777777" w:rsidR="007D0E70" w:rsidRDefault="00477D0B">
      <w:pPr>
        <w:pStyle w:val="BodySans"/>
      </w:pPr>
      <w:r>
        <w:t xml:space="preserve">The verse is built as a staircase—a three-step anaphora (repeated opening) of </w:t>
      </w:r>
      <w:r>
        <w:t>לֹא</w:t>
      </w:r>
      <w:r>
        <w:t xml:space="preserve"> (“not”), climbing through motion verbs: </w:t>
      </w:r>
      <w:r>
        <w:t>הָלַךְ</w:t>
      </w:r>
      <w:r>
        <w:t xml:space="preserve"> (“walked”), </w:t>
      </w:r>
      <w:r>
        <w:t>עָמָד</w:t>
      </w:r>
      <w:r>
        <w:t xml:space="preserve"> (“stood”), </w:t>
      </w:r>
      <w:r>
        <w:t>יָשָׁב</w:t>
      </w:r>
      <w:r>
        <w:t xml:space="preserve"> (“sat”). The progression is theatrical: first movement toward, then pause within, then residence among. Ibn Ezra reports the classic view that each verb intensifies entanglement; Rashi aligns the social settings accordingly. The three spheres—</w:t>
      </w:r>
      <w:r>
        <w:t>עֲצָה</w:t>
      </w:r>
      <w:r>
        <w:t xml:space="preserve"> (counsel), </w:t>
      </w:r>
      <w:r>
        <w:t>דֶּרֶךְ</w:t>
      </w:r>
      <w:r>
        <w:t xml:space="preserve"> (way), </w:t>
      </w:r>
      <w:r>
        <w:t>מוֹשָׁב</w:t>
      </w:r>
      <w:r>
        <w:t xml:space="preserve"> (seat)—move from the intellectual to the practical to the habitual. The blessed person’s “happiness” is first defined by refusals.</w:t>
      </w:r>
    </w:p>
    <w:p w14:paraId="3B90A2DE" w14:textId="77777777" w:rsidR="007D0E70" w:rsidRDefault="00477D0B">
      <w:pPr>
        <w:pStyle w:val="BodySans"/>
      </w:pPr>
      <w:r>
        <w:t xml:space="preserve">The three human labels sharpen the threat. </w:t>
      </w:r>
      <w:r>
        <w:t>רְשָׁעִים</w:t>
      </w:r>
      <w:r>
        <w:t xml:space="preserve"> (“wicked”) in the Psalter are not hapless sinners; they pursue a path </w:t>
      </w:r>
      <w:bdo w:val="ltr">
        <w:r>
          <w:t>(</w:t>
        </w:r>
        <w:r>
          <w:t>ךְרֶדֶּ</w:t>
        </w:r>
        <w:r>
          <w:t>)</w:t>
        </w:r>
        <w:r>
          <w:t xml:space="preserve">‬ in contest with God. </w:t>
        </w:r>
        <w:r>
          <w:t>חַטָּאִים</w:t>
        </w:r>
        <w:r>
          <w:t xml:space="preserve"> (“sinners”) miss the mark, by impulse or negligence. </w:t>
        </w:r>
        <w:r>
          <w:t>לֵצִים</w:t>
        </w:r>
        <w:r>
          <w:t xml:space="preserve"> (“scoffers”), chiefly in Proverbs, are those who despise correction: “</w:t>
        </w:r>
        <w:r>
          <w:t>אַל־תּוֹכַח</w:t>
        </w:r>
        <w:r>
          <w:t xml:space="preserve"> </w:t>
        </w:r>
        <w:r>
          <w:t>לֵץ</w:t>
        </w:r>
        <w:r>
          <w:t xml:space="preserve"> </w:t>
        </w:r>
        <w:r>
          <w:t>פֶּן־יִשְׂנָאֶךָ</w:t>
        </w:r>
        <w:r>
          <w:t xml:space="preserve">; </w:t>
        </w:r>
        <w:r>
          <w:t>הוֹכַח</w:t>
        </w:r>
        <w:r>
          <w:t xml:space="preserve"> </w:t>
        </w:r>
        <w:r>
          <w:t>לְחָכָם</w:t>
        </w:r>
        <w:r>
          <w:t xml:space="preserve"> </w:t>
        </w:r>
        <w:r>
          <w:t>וְיֶאֱהָבֶךָ</w:t>
        </w:r>
        <w:r>
          <w:t>” (Proverbs 9:8: “Do not reprove a scoffer, lest he hate you; rebuke a wise man, and he will love you”). The Septuagint’s odd “seat of pestilences” (λοιμ</w:t>
        </w:r>
        <w:r>
          <w:t>ῶ</w:t>
        </w:r>
        <w:r>
          <w:t xml:space="preserve">ν) signals an ancient difficulty with </w:t>
        </w:r>
        <w:r>
          <w:t>לֵצִים</w:t>
        </w:r>
        <w:r>
          <w:t>, but the Masoretic reading, anchored by Proverbs, is secure.</w:t>
        </w:r>
      </w:bdo>
    </w:p>
    <w:p w14:paraId="36C4E24F" w14:textId="77777777" w:rsidR="007D0E70" w:rsidRDefault="00477D0B">
      <w:pPr>
        <w:pStyle w:val="BodySans"/>
      </w:pPr>
      <w:r>
        <w:t>“Walk/stand/sit” is the Bible’s idiom for a life’s moral course. “To walk in God’s ways” is the Deuteronomic ideal: “</w:t>
      </w:r>
      <w:r>
        <w:t>לָלֶכֶת</w:t>
      </w:r>
      <w:r>
        <w:t xml:space="preserve"> </w:t>
      </w:r>
      <w:r>
        <w:t>בְּכָל־דְּרָכָיו</w:t>
      </w:r>
      <w:r>
        <w:t>” (Deuteronomy 10:12: “to walk in all His ways”). Conversely, “walking after other gods” marks apostasy: “</w:t>
      </w:r>
      <w:r>
        <w:t>לָלֶכֶת</w:t>
      </w:r>
      <w:r>
        <w:t xml:space="preserve"> </w:t>
      </w:r>
      <w:r>
        <w:t>אַחֲרֵי</w:t>
      </w:r>
      <w:r>
        <w:t xml:space="preserve"> </w:t>
      </w:r>
      <w:r>
        <w:t>אֱלֹקִים</w:t>
      </w:r>
      <w:r>
        <w:t xml:space="preserve"> </w:t>
      </w:r>
      <w:r>
        <w:t>אֲחֵרִים</w:t>
      </w:r>
      <w:r>
        <w:t>” (Deuteronomy 28:14). Psalm 1 domesticates that idiom. “Counsel/way/seat” are not abstractions; they are the places where we think, move, and belong.</w:t>
      </w:r>
    </w:p>
    <w:p w14:paraId="3A2ACB5D" w14:textId="77777777" w:rsidR="007D0E70" w:rsidRDefault="00477D0B">
      <w:pPr>
        <w:pStyle w:val="BodySans"/>
      </w:pPr>
      <w:r>
        <w:t>Sound amplifies sense. Read aloud, the triple negation creates a pulse—</w:t>
      </w:r>
      <w:r>
        <w:t>לֹא</w:t>
      </w:r>
      <w:r>
        <w:t xml:space="preserve"> … </w:t>
      </w:r>
      <w:r>
        <w:t>לֹא</w:t>
      </w:r>
      <w:r>
        <w:t xml:space="preserve"> … </w:t>
      </w:r>
      <w:r>
        <w:t>לֹא</w:t>
      </w:r>
      <w:r>
        <w:t xml:space="preserve">—that hammers in a fence line. The initial </w:t>
      </w:r>
      <w:r>
        <w:t>לֹא</w:t>
      </w:r>
      <w:r>
        <w:t xml:space="preserve"> (and its two echoes) are syntactic posts marking a boundary the blessed one refuses to cross. Classical Jewish pedagogy turned this into positive instruction: the Mishnah (Avot) warns that a table with no words of Torah between companions becomes a “seat of scoffers,” citing our line in full. Psalm 1’s “no” becomes the liturgical yes of purposeful speech.</w:t>
      </w:r>
    </w:p>
    <w:p w14:paraId="16C88063" w14:textId="77777777" w:rsidR="007D0E70" w:rsidRDefault="00477D0B">
      <w:pPr>
        <w:pStyle w:val="BodySans"/>
      </w:pPr>
      <w:r>
        <w:t>Finally, “</w:t>
      </w:r>
      <w:r>
        <w:t>אַשְׁרֵי</w:t>
      </w:r>
      <w:r>
        <w:t>” is plural in form, which Radak reads as a “collection of felicities.” The psalm is not promising a single reward but a way of life that accrues goods—moral, emotional, communal—because it avoids an ecology that corrodes them.</w:t>
      </w:r>
    </w:p>
    <w:p w14:paraId="24F20206" w14:textId="77777777" w:rsidR="007D0E70" w:rsidRDefault="00477D0B">
      <w:pPr>
        <w:pStyle w:val="BodySans"/>
      </w:pPr>
      <w:r>
        <w:t>(Definitions: anaphora = deliberate repetition at the start of clauses; idiom of “walk/stand/sit” = conventional biblical metaphor for conduct.)</w:t>
      </w:r>
    </w:p>
    <w:p w14:paraId="73447286" w14:textId="77777777" w:rsidR="007D0E70" w:rsidRDefault="00477D0B">
      <w:pPr>
        <w:pStyle w:val="Heading3"/>
      </w:pPr>
      <w:r>
        <w:lastRenderedPageBreak/>
        <w:t>Verse 2</w:t>
      </w:r>
    </w:p>
    <w:p w14:paraId="23EA706C" w14:textId="77777777" w:rsidR="007D0E70" w:rsidRDefault="00477D0B">
      <w:pPr>
        <w:pStyle w:val="BodySans"/>
      </w:pPr>
      <w:r>
        <w:t>כִּי</w:t>
      </w:r>
      <w:r>
        <w:t xml:space="preserve"> </w:t>
      </w:r>
      <w:r>
        <w:t>אִם־בְּתוֹרַת</w:t>
      </w:r>
      <w:r>
        <w:t xml:space="preserve"> </w:t>
      </w:r>
      <w:r>
        <w:t>ה׳</w:t>
      </w:r>
      <w:r>
        <w:t xml:space="preserve"> </w:t>
      </w:r>
      <w:r>
        <w:t>חֶפְצוֹ</w:t>
      </w:r>
      <w:r>
        <w:t xml:space="preserve">; </w:t>
      </w:r>
      <w:r>
        <w:t>וּבְתוֹרָתוֹ</w:t>
      </w:r>
      <w:r>
        <w:t xml:space="preserve"> </w:t>
      </w:r>
      <w:r>
        <w:t>יֶהְגֶּה</w:t>
      </w:r>
      <w:r>
        <w:t xml:space="preserve"> </w:t>
      </w:r>
      <w:r>
        <w:t>יוֹמָם</w:t>
      </w:r>
      <w:r>
        <w:t xml:space="preserve"> </w:t>
      </w:r>
      <w:r>
        <w:t>וָלָיְלָה׃</w:t>
      </w:r>
    </w:p>
    <w:p w14:paraId="73E7AEE1" w14:textId="77777777" w:rsidR="007D0E70" w:rsidRDefault="00477D0B">
      <w:pPr>
        <w:pStyle w:val="BodySans"/>
      </w:pPr>
      <w:r>
        <w:t xml:space="preserve">The adversative </w:t>
      </w:r>
      <w:r>
        <w:t>כִּי</w:t>
      </w:r>
      <w:r>
        <w:t xml:space="preserve"> </w:t>
      </w:r>
      <w:r>
        <w:t>אִם</w:t>
      </w:r>
      <w:r>
        <w:t xml:space="preserve"> (“but rather”) pivots from negation to appetite. </w:t>
      </w:r>
      <w:r>
        <w:t>חֵפֶץ</w:t>
      </w:r>
      <w:r>
        <w:t xml:space="preserve"> (“delight, desire”) names an affect, not an obligation. The blessed one’s posture is not stoic avoidance but positive pleasure “in the LORD’s Torah.” The second colon completes the thought (a classic example of what modern scholars call “synthetic parallelism”): what delight sounds like is a murmur. “</w:t>
      </w:r>
      <w:r>
        <w:t>וּבְתוֹרָתוֹ</w:t>
      </w:r>
      <w:r>
        <w:t xml:space="preserve"> </w:t>
      </w:r>
      <w:r>
        <w:t>יֶהְגֶּה</w:t>
      </w:r>
      <w:r>
        <w:t xml:space="preserve">”—the verb </w:t>
      </w:r>
      <w:r>
        <w:t>הָגָה</w:t>
      </w:r>
      <w:r>
        <w:t xml:space="preserve"> is onomatopoetic. Isaiah uses it for a lion’s growl (“</w:t>
      </w:r>
      <w:r>
        <w:t>כַּאֲשֶׁר</w:t>
      </w:r>
      <w:r>
        <w:t xml:space="preserve"> </w:t>
      </w:r>
      <w:r>
        <w:t>יֶהְגֶּה</w:t>
      </w:r>
      <w:r>
        <w:t xml:space="preserve"> </w:t>
      </w:r>
      <w:r>
        <w:t>הָאַרְיֵה</w:t>
      </w:r>
      <w:r>
        <w:t>,” 31:4) and for the necro</w:t>
      </w:r>
      <w:r>
        <w:t>mancer’s mutterings (8:19). In study, the same verb denotes recitation under the breath: “</w:t>
      </w:r>
      <w:r>
        <w:t>לֹא־יָמוּשׁ</w:t>
      </w:r>
      <w:r>
        <w:t xml:space="preserve"> … </w:t>
      </w:r>
      <w:r>
        <w:t>מִפִּיךָ</w:t>
      </w:r>
      <w:r>
        <w:t xml:space="preserve">; </w:t>
      </w:r>
      <w:r>
        <w:t>וְהָגִיתָ</w:t>
      </w:r>
      <w:r>
        <w:t xml:space="preserve"> </w:t>
      </w:r>
      <w:r>
        <w:t>בּוֹ</w:t>
      </w:r>
      <w:r>
        <w:t xml:space="preserve"> </w:t>
      </w:r>
      <w:r>
        <w:t>יוֹמָם</w:t>
      </w:r>
      <w:r>
        <w:t xml:space="preserve"> </w:t>
      </w:r>
      <w:r>
        <w:t>וָלַיְלָה</w:t>
      </w:r>
      <w:r>
        <w:t>” (Joshua 1:8: “This book… shall not depart from your mouth; you shall meditate on it day and night”). Jewish learning was audible; Psalm 1 hears it.</w:t>
      </w:r>
    </w:p>
    <w:p w14:paraId="1A2CF12A" w14:textId="77777777" w:rsidR="007D0E70" w:rsidRDefault="00477D0B">
      <w:pPr>
        <w:pStyle w:val="BodySans"/>
      </w:pPr>
      <w:r>
        <w:t>Two subtle devices enrich the line. First, the merism “day and night” signals scope: not literally every minute, but habitually, regularly. Second, the possessive shift from “</w:t>
      </w:r>
      <w:r>
        <w:t>תּוֹרַת</w:t>
      </w:r>
      <w:r>
        <w:t xml:space="preserve"> </w:t>
      </w:r>
      <w:r>
        <w:t>ה׳</w:t>
      </w:r>
      <w:r>
        <w:t>” to “</w:t>
      </w:r>
      <w:r>
        <w:t>בְּתוֹרָתוֹ</w:t>
      </w:r>
      <w:r>
        <w:t>” (“his Torah”) is theological. The Talmud famously infers: “</w:t>
      </w:r>
      <w:r>
        <w:t>בתחילה</w:t>
      </w:r>
      <w:r>
        <w:t xml:space="preserve"> </w:t>
      </w:r>
      <w:r>
        <w:t>נקראת</w:t>
      </w:r>
      <w:r>
        <w:t xml:space="preserve"> </w:t>
      </w:r>
      <w:r>
        <w:t>תורת</w:t>
      </w:r>
      <w:r>
        <w:t xml:space="preserve"> </w:t>
      </w:r>
      <w:r>
        <w:t>ה׳</w:t>
      </w:r>
      <w:r>
        <w:t xml:space="preserve">; </w:t>
      </w:r>
      <w:r>
        <w:t>ולבסוף</w:t>
      </w:r>
      <w:r>
        <w:t xml:space="preserve"> </w:t>
      </w:r>
      <w:r>
        <w:t>נקראת</w:t>
      </w:r>
      <w:r>
        <w:t xml:space="preserve"> </w:t>
      </w:r>
      <w:r>
        <w:t>תורתו</w:t>
      </w:r>
      <w:r>
        <w:t>” (Avodah Zarah 19a). Delight leads to intimacy; murmuring produces ownership. Meiri notes the same: after one has learned it, “it is called his Torah,” because its words have become his thought-world.</w:t>
      </w:r>
    </w:p>
    <w:p w14:paraId="492CA2D0" w14:textId="77777777" w:rsidR="007D0E70" w:rsidRDefault="00477D0B">
      <w:pPr>
        <w:pStyle w:val="BodySans"/>
      </w:pPr>
      <w:r>
        <w:t>The phrase “</w:t>
      </w:r>
      <w:r>
        <w:t>כִּי</w:t>
      </w:r>
      <w:r>
        <w:t xml:space="preserve"> </w:t>
      </w:r>
      <w:r>
        <w:t>אִם</w:t>
      </w:r>
      <w:r>
        <w:t>” in Hebrew is more than “but”; it is “but on the contrary.” Psalm 1 is not offering a grim austerity. It is a trade: declining the quick hit of scorn yields the slow joy of study. R. Shlomo Alkabetz’s Lecha Dodi later made that liturgical: “</w:t>
      </w:r>
      <w:r>
        <w:t>לִקְרַאת</w:t>
      </w:r>
      <w:r>
        <w:t xml:space="preserve"> </w:t>
      </w:r>
      <w:r>
        <w:t>שַׁבָּת</w:t>
      </w:r>
      <w:r>
        <w:t xml:space="preserve"> </w:t>
      </w:r>
      <w:r>
        <w:t>לְכוּ</w:t>
      </w:r>
      <w:r>
        <w:t xml:space="preserve"> </w:t>
      </w:r>
      <w:r>
        <w:t>וְנֵלְכָה</w:t>
      </w:r>
      <w:r>
        <w:t>”—walk away from work-world cynicism; walk toward a murmured delight.</w:t>
      </w:r>
    </w:p>
    <w:p w14:paraId="506ED523" w14:textId="77777777" w:rsidR="007D0E70" w:rsidRDefault="00477D0B">
      <w:pPr>
        <w:pStyle w:val="BodySans"/>
      </w:pPr>
      <w:r>
        <w:t>(Definitions: synthetic parallelism = a two-part line in which the second half completes or advances the first; merism = naming two extremes to suggest the whole.)</w:t>
      </w:r>
    </w:p>
    <w:p w14:paraId="46F375CF" w14:textId="77777777" w:rsidR="007D0E70" w:rsidRDefault="00477D0B">
      <w:pPr>
        <w:pStyle w:val="Heading3"/>
      </w:pPr>
      <w:r>
        <w:t>Verse 3</w:t>
      </w:r>
    </w:p>
    <w:p w14:paraId="04FB54BA" w14:textId="77777777" w:rsidR="007D0E70" w:rsidRDefault="00477D0B">
      <w:pPr>
        <w:pStyle w:val="BodySans"/>
      </w:pPr>
      <w:r>
        <w:t>וְהָיָה</w:t>
      </w:r>
      <w:r>
        <w:t xml:space="preserve"> </w:t>
      </w:r>
      <w:r>
        <w:t>כְּעֵץ</w:t>
      </w:r>
      <w:r>
        <w:t xml:space="preserve"> </w:t>
      </w:r>
      <w:r>
        <w:t>שָׁתוּל</w:t>
      </w:r>
      <w:r>
        <w:t xml:space="preserve"> </w:t>
      </w:r>
      <w:r>
        <w:t>עַל־פַּלְגֵי־מָיִם</w:t>
      </w:r>
      <w:r>
        <w:t xml:space="preserve">; </w:t>
      </w:r>
      <w:r>
        <w:t>אֲשֶׁר</w:t>
      </w:r>
      <w:r>
        <w:t xml:space="preserve"> </w:t>
      </w:r>
      <w:r>
        <w:t>פִּרְיוֹ</w:t>
      </w:r>
      <w:r>
        <w:t xml:space="preserve"> </w:t>
      </w:r>
      <w:r>
        <w:t>יִתֵּן</w:t>
      </w:r>
      <w:r>
        <w:t xml:space="preserve"> </w:t>
      </w:r>
      <w:r>
        <w:t>בְּעִתּוֹ</w:t>
      </w:r>
      <w:r>
        <w:t xml:space="preserve">; </w:t>
      </w:r>
      <w:r>
        <w:t>וְעָלֵהוּ</w:t>
      </w:r>
      <w:r>
        <w:t xml:space="preserve"> </w:t>
      </w:r>
      <w:r>
        <w:t>לֹא־יִבּוֹל</w:t>
      </w:r>
      <w:r>
        <w:t xml:space="preserve">; </w:t>
      </w:r>
      <w:r>
        <w:t>וְכֹל</w:t>
      </w:r>
      <w:r>
        <w:t xml:space="preserve"> </w:t>
      </w:r>
      <w:r>
        <w:t>אֲשֶׁר־יַעֲשֶׂה</w:t>
      </w:r>
      <w:r>
        <w:t xml:space="preserve"> </w:t>
      </w:r>
      <w:r>
        <w:t>יַצְלִיחַ׃</w:t>
      </w:r>
    </w:p>
    <w:p w14:paraId="38EE24D5" w14:textId="77777777" w:rsidR="007D0E70" w:rsidRDefault="00477D0B">
      <w:pPr>
        <w:pStyle w:val="BodySans"/>
      </w:pPr>
      <w:r>
        <w:t xml:space="preserve">An emblematic simile anchors the psalm’s rhetoric: “like a tree, transplanted beside channels of water.” </w:t>
      </w:r>
      <w:r>
        <w:t>שָׁתוּל</w:t>
      </w:r>
      <w:r>
        <w:t>, as BDB notes, suggests deliberate placement, not wild growth. Jeremiah reproduces it: “</w:t>
      </w:r>
      <w:r>
        <w:t>וְהָיָה</w:t>
      </w:r>
      <w:r>
        <w:t xml:space="preserve"> </w:t>
      </w:r>
      <w:r>
        <w:t>כְּעֵץ</w:t>
      </w:r>
      <w:r>
        <w:t xml:space="preserve"> </w:t>
      </w:r>
      <w:r>
        <w:t>שָׁתוּל</w:t>
      </w:r>
      <w:r>
        <w:t xml:space="preserve"> </w:t>
      </w:r>
      <w:r>
        <w:t>עַל־מַיִם</w:t>
      </w:r>
      <w:r>
        <w:t>” (17:8). Psalm 92 internalizes it to the sanctuary: “</w:t>
      </w:r>
      <w:r>
        <w:t>שְׁתוּלִים</w:t>
      </w:r>
      <w:r>
        <w:t xml:space="preserve"> </w:t>
      </w:r>
      <w:r>
        <w:t>בְּבֵית</w:t>
      </w:r>
      <w:r>
        <w:t xml:space="preserve"> </w:t>
      </w:r>
      <w:r>
        <w:t>ה׳</w:t>
      </w:r>
      <w:r>
        <w:t xml:space="preserve">; </w:t>
      </w:r>
      <w:r>
        <w:t>בְּחַצְרוֹת</w:t>
      </w:r>
      <w:r>
        <w:t xml:space="preserve"> </w:t>
      </w:r>
      <w:r>
        <w:t>אֱלֹקֵינוּ</w:t>
      </w:r>
      <w:r>
        <w:t xml:space="preserve"> </w:t>
      </w:r>
      <w:r>
        <w:t>יַפְרִיחוּ</w:t>
      </w:r>
      <w:r>
        <w:t xml:space="preserve">” (92:14: “Planted in the house of YHWH; they flourish in the courts of our God”). In Psalm 1, the “streams” </w:t>
      </w:r>
      <w:bdo w:val="ltr">
        <w:r>
          <w:t>(</w:t>
        </w:r>
        <w:r>
          <w:t>יגֵלְפַּ</w:t>
        </w:r>
        <w:r>
          <w:t>)</w:t>
        </w:r>
        <w:r>
          <w:t>‬ are probably irrigation channels (cf. Psalm 46:5: “</w:t>
        </w:r>
        <w:r>
          <w:t>נָהָר</w:t>
        </w:r>
        <w:r>
          <w:t xml:space="preserve"> </w:t>
        </w:r>
        <w:r>
          <w:t>פְּלָגָיו</w:t>
        </w:r>
        <w:r>
          <w:t xml:space="preserve"> </w:t>
        </w:r>
        <w:r>
          <w:t>יְשַׂמְּחוּ</w:t>
        </w:r>
        <w:r>
          <w:t xml:space="preserve"> </w:t>
        </w:r>
        <w:r>
          <w:t>עִיר</w:t>
        </w:r>
        <w:r>
          <w:t xml:space="preserve"> </w:t>
        </w:r>
        <w:r>
          <w:t>אֱלֹקִים</w:t>
        </w:r>
        <w:r>
          <w:t xml:space="preserve">”—“A river whose streams gladden God’s city”). The gardener </w:t>
        </w:r>
        <w:r>
          <w:t>is implicit; the agency is God’s.</w:t>
        </w:r>
      </w:bdo>
    </w:p>
    <w:p w14:paraId="2307E13D" w14:textId="77777777" w:rsidR="007D0E70" w:rsidRDefault="00477D0B">
      <w:pPr>
        <w:pStyle w:val="BodySans"/>
      </w:pPr>
      <w:r>
        <w:t>Three clauses unpack the image. First, productivity with timing: “</w:t>
      </w:r>
      <w:r>
        <w:t>יִתֵּן</w:t>
      </w:r>
      <w:r>
        <w:t xml:space="preserve"> </w:t>
      </w:r>
      <w:r>
        <w:t>בְּעִתּוֹ</w:t>
      </w:r>
      <w:r>
        <w:t xml:space="preserve">” (“yields its fruit in its season”). This is not frenetic maximalism but aptness. Radak observes that a rain-fed </w:t>
      </w:r>
      <w:r>
        <w:lastRenderedPageBreak/>
        <w:t>tree delays in drought, but a channel-fed tree fruits on time. Second, unfading vitality: “</w:t>
      </w:r>
      <w:r>
        <w:t>וְעָלֵהוּ</w:t>
      </w:r>
      <w:r>
        <w:t xml:space="preserve"> </w:t>
      </w:r>
      <w:r>
        <w:t>לֹא־יִבּוֹל</w:t>
      </w:r>
      <w:r>
        <w:t xml:space="preserve">” (“its leaf does not wither”). The verb </w:t>
      </w:r>
      <w:r>
        <w:t>נבל</w:t>
      </w:r>
      <w:r>
        <w:t xml:space="preserve"> (“to wither”) elsewhere marks human fragility (“</w:t>
      </w:r>
      <w:r>
        <w:t>וַאֲנִי</w:t>
      </w:r>
      <w:r>
        <w:t xml:space="preserve"> </w:t>
      </w:r>
      <w:r>
        <w:t>כָּעֵשֶׂב</w:t>
      </w:r>
      <w:r>
        <w:t xml:space="preserve"> </w:t>
      </w:r>
      <w:r>
        <w:t>אִיבָשׁ</w:t>
      </w:r>
      <w:r>
        <w:t>,” Psalm 102:12: “I wither like grass”). Here the negation asserts durability without triumphalism. Rabbinic imagination, noticing even the leaves, said</w:t>
      </w:r>
      <w:r>
        <w:t>, “Even the ‘chaff’ of sages is useful—</w:t>
      </w:r>
      <w:r>
        <w:t>שִׂיחָתָן</w:t>
      </w:r>
      <w:r>
        <w:t xml:space="preserve"> </w:t>
      </w:r>
      <w:r>
        <w:t>של</w:t>
      </w:r>
      <w:r>
        <w:t xml:space="preserve"> </w:t>
      </w:r>
      <w:r>
        <w:t>תַּלְמִידֵי</w:t>
      </w:r>
      <w:r>
        <w:t xml:space="preserve"> </w:t>
      </w:r>
      <w:r>
        <w:t>חֲכָמִים</w:t>
      </w:r>
      <w:r>
        <w:t xml:space="preserve"> </w:t>
      </w:r>
      <w:r>
        <w:t>צְרִיכָה</w:t>
      </w:r>
      <w:r>
        <w:t xml:space="preserve"> </w:t>
      </w:r>
      <w:r>
        <w:t>לִמּוּד</w:t>
      </w:r>
      <w:r>
        <w:t>” (Avodah Zarah 19b): even their casual talk enlightens. Third, comprehensive flourishing: “</w:t>
      </w:r>
      <w:r>
        <w:t>וְכֹל</w:t>
      </w:r>
      <w:r>
        <w:t xml:space="preserve"> </w:t>
      </w:r>
      <w:r>
        <w:t>אֲשֶׁר־יַעֲשֶׂה</w:t>
      </w:r>
      <w:r>
        <w:t xml:space="preserve"> </w:t>
      </w:r>
      <w:r>
        <w:t>יַצְלִיחַ</w:t>
      </w:r>
      <w:r>
        <w:t>” (“all that he does prospers”). The idiom recalls Joseph: “</w:t>
      </w:r>
      <w:r>
        <w:t>וַיְהִי</w:t>
      </w:r>
      <w:r>
        <w:t xml:space="preserve"> </w:t>
      </w:r>
      <w:r>
        <w:t>ה׳</w:t>
      </w:r>
      <w:r>
        <w:t xml:space="preserve"> </w:t>
      </w:r>
      <w:r>
        <w:t>אֶת־יוֹסֵף</w:t>
      </w:r>
      <w:r>
        <w:t xml:space="preserve">… </w:t>
      </w:r>
      <w:r>
        <w:t>וְכֹל</w:t>
      </w:r>
      <w:r>
        <w:t xml:space="preserve"> </w:t>
      </w:r>
      <w:r>
        <w:t>אֲשֶׁר</w:t>
      </w:r>
      <w:r>
        <w:t xml:space="preserve"> </w:t>
      </w:r>
      <w:r>
        <w:t>הוּא</w:t>
      </w:r>
      <w:r>
        <w:t xml:space="preserve"> </w:t>
      </w:r>
      <w:r>
        <w:t>עֹשֶׂה</w:t>
      </w:r>
      <w:r>
        <w:t xml:space="preserve"> </w:t>
      </w:r>
      <w:r>
        <w:t>ה׳</w:t>
      </w:r>
      <w:r>
        <w:t xml:space="preserve"> </w:t>
      </w:r>
      <w:r>
        <w:t>מַצְלִיחַ</w:t>
      </w:r>
      <w:r>
        <w:t xml:space="preserve"> </w:t>
      </w:r>
      <w:r>
        <w:t>בְּיָדוֹ</w:t>
      </w:r>
      <w:r>
        <w:t>” (Genesis 39:2–3: “The LORD was with Joseph… and all that he did the LORD made prosper in his hand”). In the world of Psalm 1, success is not luck but rootedness.</w:t>
      </w:r>
    </w:p>
    <w:p w14:paraId="00589D2F" w14:textId="77777777" w:rsidR="007D0E70" w:rsidRDefault="00477D0B">
      <w:pPr>
        <w:pStyle w:val="BodySans"/>
      </w:pPr>
      <w:r>
        <w:t>Liturgically, this image has been recruited for both rain and renewal. In Tefillat Geshem (Shemini Atzeret), the community prays: “</w:t>
      </w:r>
      <w:r>
        <w:t>בֵּרַכְתּוֹ</w:t>
      </w:r>
      <w:r>
        <w:t xml:space="preserve"> </w:t>
      </w:r>
      <w:r>
        <w:t>כְּעֵץ</w:t>
      </w:r>
      <w:r>
        <w:t xml:space="preserve"> </w:t>
      </w:r>
      <w:r>
        <w:t>שָׁתוּל</w:t>
      </w:r>
      <w:r>
        <w:t xml:space="preserve"> </w:t>
      </w:r>
      <w:r>
        <w:t>עַל</w:t>
      </w:r>
      <w:r>
        <w:t xml:space="preserve"> </w:t>
      </w:r>
      <w:r>
        <w:t>פַּלְגֵי</w:t>
      </w:r>
      <w:r>
        <w:t xml:space="preserve"> </w:t>
      </w:r>
      <w:r>
        <w:t>מַיִם</w:t>
      </w:r>
      <w:r>
        <w:t>”—“You blessed him like a tree planted by streams.” In some communities the verse accompanies Rosh Hashanah Kiddush, a blessing at the hinge-point of the year. The point is not prosperity gospel; it is stability: fruit in season, a leaf that does not crisp under heat, work that is not wasted.</w:t>
      </w:r>
    </w:p>
    <w:p w14:paraId="6292B424" w14:textId="77777777" w:rsidR="007D0E70" w:rsidRDefault="00477D0B">
      <w:pPr>
        <w:pStyle w:val="BodySans"/>
      </w:pPr>
      <w:r>
        <w:t>(Definition: emblematic simile = a “this is like that” figure that carries moral or theological freight.)</w:t>
      </w:r>
    </w:p>
    <w:p w14:paraId="3115BF65" w14:textId="77777777" w:rsidR="007D0E70" w:rsidRDefault="00477D0B">
      <w:pPr>
        <w:pStyle w:val="Heading3"/>
      </w:pPr>
      <w:r>
        <w:t>Verse 4</w:t>
      </w:r>
    </w:p>
    <w:p w14:paraId="2A5C4049" w14:textId="77777777" w:rsidR="007D0E70" w:rsidRDefault="00477D0B">
      <w:pPr>
        <w:pStyle w:val="BodySans"/>
      </w:pPr>
      <w:r>
        <w:t>לֹא־כֵן</w:t>
      </w:r>
      <w:r>
        <w:t xml:space="preserve"> </w:t>
      </w:r>
      <w:r>
        <w:t>הָרְשָׁעִים</w:t>
      </w:r>
      <w:r>
        <w:t xml:space="preserve">; </w:t>
      </w:r>
      <w:r>
        <w:t>כִּי</w:t>
      </w:r>
      <w:r>
        <w:t xml:space="preserve"> </w:t>
      </w:r>
      <w:r>
        <w:t>אִם־כַּמֹּץ</w:t>
      </w:r>
      <w:r>
        <w:t xml:space="preserve"> </w:t>
      </w:r>
      <w:r>
        <w:t>אֲשֶׁר־תִּדְּפֶנּוּ</w:t>
      </w:r>
      <w:r>
        <w:t xml:space="preserve"> </w:t>
      </w:r>
      <w:r>
        <w:t>רוּחַ׃</w:t>
      </w:r>
    </w:p>
    <w:p w14:paraId="301B0C02" w14:textId="77777777" w:rsidR="007D0E70" w:rsidRDefault="00477D0B">
      <w:pPr>
        <w:pStyle w:val="BodySans"/>
      </w:pPr>
      <w:r>
        <w:t>The antithesis is total: “Not so the wicked.” No elaboration follows, only a single clause: “like chaff which the wind drives away.” The aesthetic asymmetry—lush arboreal portrait versus bare waste—embodies the theological claim: substance endures; insubstance cannot hold description.</w:t>
      </w:r>
    </w:p>
    <w:p w14:paraId="18A87A40" w14:textId="77777777" w:rsidR="007D0E70" w:rsidRDefault="00477D0B">
      <w:pPr>
        <w:pStyle w:val="BodySans"/>
      </w:pPr>
      <w:r>
        <w:t xml:space="preserve">Chaff </w:t>
      </w:r>
      <w:bdo w:val="ltr">
        <w:r>
          <w:t>(</w:t>
        </w:r>
        <w:r>
          <w:t>ץמֹ</w:t>
        </w:r>
        <w:r>
          <w:t>)</w:t>
        </w:r>
        <w:r>
          <w:t>‬ is a favored biblical vehicle for worthlessness under judgment. Isaiah: “</w:t>
        </w:r>
        <w:r>
          <w:t>כְּמֹץ</w:t>
        </w:r>
        <w:r>
          <w:t xml:space="preserve"> </w:t>
        </w:r>
        <w:r>
          <w:t>הָרִים</w:t>
        </w:r>
        <w:r>
          <w:t xml:space="preserve"> </w:t>
        </w:r>
        <w:r>
          <w:t>לִפְנֵי־רוּחַ</w:t>
        </w:r>
        <w:r>
          <w:t>” (17:13: “like chaff of the mountains before the wind”). Psalms: “</w:t>
        </w:r>
        <w:r>
          <w:t>יִהְיוּ</w:t>
        </w:r>
        <w:r>
          <w:t xml:space="preserve"> </w:t>
        </w:r>
        <w:r>
          <w:t>כְּמֹץ</w:t>
        </w:r>
        <w:r>
          <w:t xml:space="preserve"> </w:t>
        </w:r>
        <w:r>
          <w:t>לִפְנֵי־רוּחַ</w:t>
        </w:r>
        <w:r>
          <w:t xml:space="preserve">” (35:5: “let them be as chaff before the wind”). The threshing floor, where grain is separated from husk, becomes a moral stage: the wicked are weightless. The verb </w:t>
        </w:r>
        <w:r>
          <w:t>נָדַף</w:t>
        </w:r>
        <w:r>
          <w:t xml:space="preserve"> (“drive away, scatter”) underscores ease: nothing must be exerted; the wind does the work.</w:t>
        </w:r>
      </w:bdo>
    </w:p>
    <w:p w14:paraId="1266B4B5" w14:textId="77777777" w:rsidR="007D0E70" w:rsidRDefault="00477D0B">
      <w:pPr>
        <w:pStyle w:val="BodySans"/>
      </w:pPr>
      <w:r>
        <w:t>Radak notes that chaff not only fails to feed; it can injure as it blows—getting in eyes, fouling gardens. Evil in the psalms is never neutral. Yet notice the restraint: there is no gloating, no fire here (contrast Malachi 3:19: “</w:t>
      </w:r>
      <w:r>
        <w:t>כִּי</w:t>
      </w:r>
      <w:r>
        <w:t xml:space="preserve"> </w:t>
      </w:r>
      <w:r>
        <w:t>הִנֵּה</w:t>
      </w:r>
      <w:r>
        <w:t xml:space="preserve"> </w:t>
      </w:r>
      <w:r>
        <w:t>הַיּוֹם</w:t>
      </w:r>
      <w:r>
        <w:t xml:space="preserve"> </w:t>
      </w:r>
      <w:r>
        <w:t>בָּא</w:t>
      </w:r>
      <w:r>
        <w:t xml:space="preserve"> </w:t>
      </w:r>
      <w:r>
        <w:t>בֹּעֵר</w:t>
      </w:r>
      <w:r>
        <w:t xml:space="preserve"> </w:t>
      </w:r>
      <w:r>
        <w:t>כַּתַּנּוּר</w:t>
      </w:r>
      <w:r>
        <w:t xml:space="preserve">… </w:t>
      </w:r>
      <w:r>
        <w:t>וְהָיוּ</w:t>
      </w:r>
      <w:r>
        <w:t xml:space="preserve">… </w:t>
      </w:r>
      <w:r>
        <w:t>קַשׁ</w:t>
      </w:r>
      <w:r>
        <w:t>”—“the day is coming, burning like an oven… they shall be stubble”). Psalm 1’s interest is ontological. One way is real enough to be described; the other falls apart as you look at it.</w:t>
      </w:r>
    </w:p>
    <w:p w14:paraId="092F33DD" w14:textId="77777777" w:rsidR="007D0E70" w:rsidRDefault="00477D0B">
      <w:pPr>
        <w:pStyle w:val="BodySans"/>
      </w:pPr>
      <w:r>
        <w:lastRenderedPageBreak/>
        <w:t xml:space="preserve">Sound again assists: after the gentle liquids of the tree-line, this verse is clipped, with the guttural </w:t>
      </w:r>
      <w:r>
        <w:t>ק</w:t>
      </w:r>
      <w:r>
        <w:t>–</w:t>
      </w:r>
      <w:r>
        <w:t>כ</w:t>
      </w:r>
      <w:r>
        <w:t xml:space="preserve"> (k) in “</w:t>
      </w:r>
      <w:r>
        <w:t>כַּמֹּץ</w:t>
      </w:r>
      <w:r>
        <w:t>” and “</w:t>
      </w:r>
      <w:r>
        <w:t>כִּי</w:t>
      </w:r>
      <w:r>
        <w:t xml:space="preserve"> </w:t>
      </w:r>
      <w:r>
        <w:t>אִם</w:t>
      </w:r>
      <w:r>
        <w:t>,” the sudden stop of the period after “Not so.” The poet has no more to say; that is the point.</w:t>
      </w:r>
    </w:p>
    <w:p w14:paraId="72E549EC" w14:textId="77777777" w:rsidR="007D0E70" w:rsidRDefault="00477D0B">
      <w:pPr>
        <w:pStyle w:val="Heading3"/>
      </w:pPr>
      <w:r>
        <w:t>Verse 5</w:t>
      </w:r>
    </w:p>
    <w:p w14:paraId="6151DC1E" w14:textId="77777777" w:rsidR="007D0E70" w:rsidRDefault="00477D0B">
      <w:pPr>
        <w:pStyle w:val="BodySans"/>
      </w:pPr>
      <w:r>
        <w:t>עַל־כֵּן</w:t>
      </w:r>
      <w:r>
        <w:t xml:space="preserve"> </w:t>
      </w:r>
      <w:r>
        <w:t>לֹא־יָקֻמוּ</w:t>
      </w:r>
      <w:r>
        <w:t xml:space="preserve"> </w:t>
      </w:r>
      <w:r>
        <w:t>רְשָׁעִים</w:t>
      </w:r>
      <w:r>
        <w:t xml:space="preserve"> </w:t>
      </w:r>
      <w:r>
        <w:t>בַּמִּשְׁפָּט</w:t>
      </w:r>
      <w:r>
        <w:t xml:space="preserve">; </w:t>
      </w:r>
      <w:r>
        <w:t>וְחַטָּאִים</w:t>
      </w:r>
      <w:r>
        <w:t xml:space="preserve"> </w:t>
      </w:r>
      <w:r>
        <w:t>בַּעֲדַת</w:t>
      </w:r>
      <w:r>
        <w:t xml:space="preserve"> </w:t>
      </w:r>
      <w:r>
        <w:t>צַדִּיקִים׃</w:t>
      </w:r>
    </w:p>
    <w:p w14:paraId="1C764EA1" w14:textId="77777777" w:rsidR="007D0E70" w:rsidRDefault="00477D0B">
      <w:pPr>
        <w:pStyle w:val="BodySans"/>
      </w:pPr>
      <w:r>
        <w:t xml:space="preserve">“Therefore”—a judgment follows from the images. “The wicked will not stand in the judgment.” </w:t>
      </w:r>
      <w:r>
        <w:t>קוּם</w:t>
      </w:r>
      <w:r>
        <w:t xml:space="preserve"> (“to arise, stand”) is the biblical verb for legal standing: “</w:t>
      </w:r>
      <w:r>
        <w:t>לֹא־יָקוּם</w:t>
      </w:r>
      <w:r>
        <w:t xml:space="preserve"> </w:t>
      </w:r>
      <w:r>
        <w:t>עֵד</w:t>
      </w:r>
      <w:r>
        <w:t xml:space="preserve"> </w:t>
      </w:r>
      <w:r>
        <w:t>אֶחָד</w:t>
      </w:r>
      <w:r>
        <w:t xml:space="preserve">” (Deuteronomy 19:15: “a single witness shall not stand,” i.e., does not establish a case). Here the wicked fail to “stand” when cases are heard. The second clause turns from court to congregation: “nor sinners in the assembly </w:t>
      </w:r>
      <w:bdo w:val="ltr">
        <w:r>
          <w:t>(</w:t>
        </w:r>
        <w:r>
          <w:t>הדָעֵ</w:t>
        </w:r>
        <w:r>
          <w:t>)</w:t>
        </w:r>
        <w:r>
          <w:t xml:space="preserve">‬ of the righteous.” In the Psalter, “assembly” and its twin “congregation” </w:t>
        </w:r>
        <w:bdo w:val="ltr">
          <w:r>
            <w:t>(</w:t>
          </w:r>
          <w:r>
            <w:t>להָקָ</w:t>
          </w:r>
          <w:r>
            <w:t>)</w:t>
          </w:r>
          <w:r>
            <w:t>‬ often mean the worshipping community: “</w:t>
          </w:r>
          <w:r>
            <w:t>אֲהַלֶּלְךָ</w:t>
          </w:r>
          <w:r>
            <w:t xml:space="preserve"> </w:t>
          </w:r>
          <w:r>
            <w:t>בְּקָהָל</w:t>
          </w:r>
          <w:r>
            <w:t xml:space="preserve"> </w:t>
          </w:r>
          <w:r>
            <w:t>רָב</w:t>
          </w:r>
          <w:r>
            <w:t>” (Psalm 22:26: “I will praise You in the</w:t>
          </w:r>
          <w:r>
            <w:t xml:space="preserve"> great congregation”); “</w:t>
          </w:r>
          <w:r>
            <w:t>עֲדַת־קְדֹשִׁים</w:t>
          </w:r>
          <w:r>
            <w:t>” (Psalm 89:6: “assembly of the holy ones”). Psalm 1 uses both layers: forensic and liturgical.</w:t>
          </w:r>
        </w:bdo>
      </w:bdo>
    </w:p>
    <w:p w14:paraId="01B34744" w14:textId="77777777" w:rsidR="007D0E70" w:rsidRDefault="00477D0B">
      <w:pPr>
        <w:pStyle w:val="BodySans"/>
      </w:pPr>
      <w:r>
        <w:t>Medieval exegesis sometimes hears an eschatological overtone. Radak glosses “the Day of Judgment,” understanding “will not rise” in the sense of no share in resurrection. The Talmud stages a debate on precisely this (Sanhedrin 107b), reading our line as excluding both Sodomites and generation of the Flood “from the judgment” and “from the assembly of the righteous.” The psalm itself refuses speculative timetable; its grammar paints the moral: there is a community shaped by Torah-delight, and scoffers do not</w:t>
      </w:r>
      <w:r>
        <w:t xml:space="preserve"> find footing there.</w:t>
      </w:r>
    </w:p>
    <w:p w14:paraId="55C1A7D6" w14:textId="77777777" w:rsidR="007D0E70" w:rsidRDefault="00477D0B">
      <w:pPr>
        <w:pStyle w:val="BodySans"/>
      </w:pPr>
      <w:r>
        <w:t xml:space="preserve">Note that the labels from verse 1 reappear, but not the </w:t>
      </w:r>
      <w:r>
        <w:t>לֵצִים</w:t>
      </w:r>
      <w:r>
        <w:t xml:space="preserve"> (“scoffers”). The scoffer’s penalty, in wisdom literature, is often solitary exclusion (Proverbs 22:10: “</w:t>
      </w:r>
      <w:r>
        <w:t>גָּרֵשׁ</w:t>
      </w:r>
      <w:r>
        <w:t xml:space="preserve"> </w:t>
      </w:r>
      <w:r>
        <w:t>לֵץ</w:t>
      </w:r>
      <w:r>
        <w:t>—</w:t>
      </w:r>
      <w:r>
        <w:t>וַיֵּצֵא</w:t>
      </w:r>
      <w:r>
        <w:t xml:space="preserve"> </w:t>
      </w:r>
      <w:r>
        <w:t>מָדוֹן</w:t>
      </w:r>
      <w:r>
        <w:t>” / “Cast out the scoffer, and strife will go out”). Psalm 1 observes the same sociology: mockery corrodes communal worship.</w:t>
      </w:r>
    </w:p>
    <w:p w14:paraId="01509610" w14:textId="77777777" w:rsidR="007D0E70" w:rsidRDefault="00477D0B">
      <w:pPr>
        <w:pStyle w:val="BodySans"/>
      </w:pPr>
      <w:r>
        <w:t xml:space="preserve">(Definitions: forensic idiom = language drawn from law court; </w:t>
      </w:r>
      <w:r>
        <w:t>עֵדָה</w:t>
      </w:r>
      <w:r>
        <w:t>/</w:t>
      </w:r>
      <w:r>
        <w:t>קָהָל</w:t>
      </w:r>
      <w:r>
        <w:t xml:space="preserve"> = technical terms for gathered community.)</w:t>
      </w:r>
    </w:p>
    <w:p w14:paraId="0B999BB6" w14:textId="77777777" w:rsidR="007D0E70" w:rsidRDefault="00477D0B">
      <w:pPr>
        <w:pStyle w:val="Heading3"/>
      </w:pPr>
      <w:r>
        <w:t>Verse 6</w:t>
      </w:r>
    </w:p>
    <w:p w14:paraId="1EF75BEE" w14:textId="77777777" w:rsidR="007D0E70" w:rsidRDefault="00477D0B">
      <w:pPr>
        <w:pStyle w:val="BodySans"/>
      </w:pPr>
      <w:r>
        <w:t>כִּי־יוֹדֵעַ</w:t>
      </w:r>
      <w:r>
        <w:t xml:space="preserve"> </w:t>
      </w:r>
      <w:r>
        <w:t>ה׳</w:t>
      </w:r>
      <w:r>
        <w:t xml:space="preserve"> </w:t>
      </w:r>
      <w:r>
        <w:t>דֶּרֶךְ</w:t>
      </w:r>
      <w:r>
        <w:t xml:space="preserve"> </w:t>
      </w:r>
      <w:r>
        <w:t>צַדִּיקִים</w:t>
      </w:r>
      <w:r>
        <w:t xml:space="preserve">; </w:t>
      </w:r>
      <w:r>
        <w:t>וְדֶרֶךְ</w:t>
      </w:r>
      <w:r>
        <w:t xml:space="preserve"> </w:t>
      </w:r>
      <w:r>
        <w:t>רְשָׁעִים</w:t>
      </w:r>
      <w:r>
        <w:t xml:space="preserve"> </w:t>
      </w:r>
      <w:r>
        <w:t>תֹּאבֵד׃</w:t>
      </w:r>
    </w:p>
    <w:p w14:paraId="128E6B07" w14:textId="77777777" w:rsidR="007D0E70" w:rsidRDefault="00477D0B">
      <w:pPr>
        <w:pStyle w:val="BodySans"/>
      </w:pPr>
      <w:r>
        <w:t xml:space="preserve">The final “for” grounds the whole psalm in God’s posture. The hinge-verb is “know” </w:t>
      </w:r>
      <w:bdo w:val="ltr">
        <w:r>
          <w:t>(</w:t>
        </w:r>
        <w:r>
          <w:t>עדַיָ</w:t>
        </w:r>
        <w:r>
          <w:t>)</w:t>
        </w:r>
        <w:r>
          <w:t>‬. In covenant parlance, to “know” a person is to recognize and regard them: “</w:t>
        </w:r>
        <w:r>
          <w:t>רַק</w:t>
        </w:r>
        <w:r>
          <w:t xml:space="preserve"> </w:t>
        </w:r>
        <w:r>
          <w:t>אֶתְכֶם</w:t>
        </w:r>
        <w:r>
          <w:t xml:space="preserve"> </w:t>
        </w:r>
        <w:r>
          <w:t>יָדַעְתִּי</w:t>
        </w:r>
        <w:r>
          <w:t>” (Amos 3:2: “You only have I known”) and “</w:t>
        </w:r>
        <w:r>
          <w:t>כִּי</w:t>
        </w:r>
        <w:r>
          <w:t xml:space="preserve"> </w:t>
        </w:r>
        <w:r>
          <w:t>יְדַעְתִּיו</w:t>
        </w:r>
        <w:r>
          <w:t>” (Genesis 18:19: “For I have known him”). Radak glosses: “</w:t>
        </w:r>
        <w:r>
          <w:t>מכיר</w:t>
        </w:r>
        <w:r>
          <w:t xml:space="preserve"> </w:t>
        </w:r>
        <w:r>
          <w:t>ומשגיח</w:t>
        </w:r>
        <w:r>
          <w:t xml:space="preserve"> </w:t>
        </w:r>
        <w:r>
          <w:t>להיטיב</w:t>
        </w:r>
        <w:r>
          <w:t xml:space="preserve"> </w:t>
        </w:r>
        <w:r>
          <w:t>להם</w:t>
        </w:r>
        <w:r>
          <w:t xml:space="preserve">” (“He recognizes and watches to do them </w:t>
        </w:r>
        <w:r>
          <w:lastRenderedPageBreak/>
          <w:t>good”). Malbim heightens the claim: God’s “knowing” adheres to what is eternal; the righteous “way,” joined to God’s life, endures.</w:t>
        </w:r>
      </w:bdo>
    </w:p>
    <w:p w14:paraId="7CACB827" w14:textId="77777777" w:rsidR="007D0E70" w:rsidRDefault="00477D0B">
      <w:pPr>
        <w:pStyle w:val="BodySans"/>
      </w:pPr>
      <w:r>
        <w:t xml:space="preserve">The grammar contrasts elegant agency. The righteous way is the object of God’s active knowing; the wicked way “perishes” </w:t>
      </w:r>
      <w:bdo w:val="ltr">
        <w:r>
          <w:t>(</w:t>
        </w:r>
        <w:r>
          <w:t>דבֵאתֹּ</w:t>
        </w:r>
        <w:r>
          <w:t>)</w:t>
        </w:r>
        <w:r>
          <w:t>‬, an intransitive that assigns no agent. In other words: evil does not need to be smitten to end; it collapses. Psalm 112 observes the same when it says, “</w:t>
        </w:r>
        <w:r>
          <w:t>תַאֲוַת</w:t>
        </w:r>
        <w:r>
          <w:t xml:space="preserve"> </w:t>
        </w:r>
        <w:r>
          <w:t>רְשָׁעִים</w:t>
        </w:r>
        <w:r>
          <w:t xml:space="preserve"> </w:t>
        </w:r>
        <w:r>
          <w:t>תֹּאבֵד</w:t>
        </w:r>
        <w:r>
          <w:t>” (112:10: “The desire of the wicked will perish”). Psalm 1 applies that to a whole derekh, a “way.” The poem’s inclusio—</w:t>
        </w:r>
        <w:r>
          <w:t>דֶּרֶךְ</w:t>
        </w:r>
        <w:r>
          <w:t xml:space="preserve"> appears in v. 1 and twice here—frames the choice and its end. A “way” known by God is a real path; a “way” without that recognition, however viable for a season, comes to nothing.</w:t>
        </w:r>
      </w:bdo>
    </w:p>
    <w:p w14:paraId="0921B91A" w14:textId="77777777" w:rsidR="007D0E70" w:rsidRDefault="00477D0B">
      <w:pPr>
        <w:pStyle w:val="BodySans"/>
      </w:pPr>
      <w:r>
        <w:t xml:space="preserve">One last, quiet juxtaposition situates Psalm 1 beside Psalm 2. The same root </w:t>
      </w:r>
      <w:r>
        <w:t>הָגָה</w:t>
      </w:r>
      <w:r>
        <w:t xml:space="preserve"> (murmur) heads both: here, Torah-delight (1:2); there, politics in revolt (2:1: “</w:t>
      </w:r>
      <w:r>
        <w:t>לָמָּה</w:t>
      </w:r>
      <w:r>
        <w:t xml:space="preserve"> </w:t>
      </w:r>
      <w:r>
        <w:t>רָגְשׁוּ</w:t>
      </w:r>
      <w:r>
        <w:t xml:space="preserve"> </w:t>
      </w:r>
      <w:r>
        <w:t>גוֹיִם</w:t>
      </w:r>
      <w:r>
        <w:t xml:space="preserve">… </w:t>
      </w:r>
      <w:r>
        <w:t>וְיֶהְגּוּ</w:t>
      </w:r>
      <w:r>
        <w:t xml:space="preserve"> </w:t>
      </w:r>
      <w:r>
        <w:t>רִיק</w:t>
      </w:r>
      <w:r>
        <w:t>” / “Why do nations rage… and the peoples plot emptiness?”). The Psalter opens by asking: What will you murmur? Whose “knowing” do you seek? Psalm 1’s answer is minimalist and maximal: choose the way that God attends to—and you will become attendable.</w:t>
      </w:r>
    </w:p>
    <w:p w14:paraId="6DC6DF27" w14:textId="77777777" w:rsidR="007D0E70" w:rsidRDefault="00477D0B">
      <w:pPr>
        <w:pStyle w:val="BodySans"/>
      </w:pPr>
      <w:r>
        <w:t>(Definitions: inclusio = an “envelope” formed by repeating a key term at start and end; intransitive verb = a verb without a direct object; covenant “knowing” = recognition that confers relation, not mere awareness.)</w:t>
      </w:r>
    </w:p>
    <w:p w14:paraId="016BCAAA" w14:textId="77777777" w:rsidR="007D0E70" w:rsidRDefault="00477D0B">
      <w:r>
        <w:br w:type="page"/>
      </w:r>
    </w:p>
    <w:p w14:paraId="1F4A9A07" w14:textId="77777777" w:rsidR="007D0E70" w:rsidRDefault="00477D0B">
      <w:pPr>
        <w:pStyle w:val="Heading2"/>
      </w:pPr>
      <w:r>
        <w:lastRenderedPageBreak/>
        <w:t>Methodological &amp; Bibliographical Summary</w:t>
      </w:r>
    </w:p>
    <w:p w14:paraId="0C03AFDA" w14:textId="77777777" w:rsidR="007D0E70" w:rsidRDefault="00477D0B">
      <w:pPr>
        <w:pStyle w:val="Heading3"/>
      </w:pPr>
      <w:r>
        <w:t>Research &amp; Data Inputs</w:t>
      </w:r>
    </w:p>
    <w:p w14:paraId="047DEABF" w14:textId="77777777" w:rsidR="007D0E70" w:rsidRDefault="00477D0B">
      <w:pPr>
        <w:pStyle w:val="SummaryText"/>
      </w:pPr>
      <w:r>
        <w:rPr>
          <w:b/>
        </w:rPr>
        <w:t>Psalm Verses Analyzed</w:t>
      </w:r>
      <w:r>
        <w:t>: 6</w:t>
      </w:r>
    </w:p>
    <w:p w14:paraId="6DA3411E" w14:textId="77777777" w:rsidR="007D0E70" w:rsidRDefault="00477D0B">
      <w:pPr>
        <w:pStyle w:val="SummaryText"/>
      </w:pPr>
      <w:r>
        <w:rPr>
          <w:b/>
        </w:rPr>
        <w:t>LXX (Septuagint) Texts Reviewed</w:t>
      </w:r>
      <w:r>
        <w:t>: 6</w:t>
      </w:r>
    </w:p>
    <w:p w14:paraId="2B060609" w14:textId="77777777" w:rsidR="007D0E70" w:rsidRDefault="00477D0B">
      <w:pPr>
        <w:pStyle w:val="SummaryText"/>
      </w:pPr>
      <w:r>
        <w:rPr>
          <w:b/>
        </w:rPr>
        <w:t>Phonetic Transcriptions Generated</w:t>
      </w:r>
      <w:r>
        <w:t>: 6</w:t>
      </w:r>
    </w:p>
    <w:p w14:paraId="21225951" w14:textId="77777777" w:rsidR="007D0E70" w:rsidRDefault="00477D0B">
      <w:pPr>
        <w:pStyle w:val="SummaryText"/>
      </w:pPr>
      <w:r>
        <w:rPr>
          <w:b/>
        </w:rPr>
        <w:t>Ugaritic Parallels Reviewed</w:t>
      </w:r>
      <w:r>
        <w:t>: 0</w:t>
      </w:r>
    </w:p>
    <w:p w14:paraId="3DC94E4B" w14:textId="77777777" w:rsidR="007D0E70" w:rsidRDefault="00477D0B">
      <w:pPr>
        <w:pStyle w:val="SummaryText"/>
      </w:pPr>
      <w:r>
        <w:rPr>
          <w:b/>
        </w:rPr>
        <w:t>Lexicon Entries (BDB/Klein) Reviewed</w:t>
      </w:r>
      <w:r>
        <w:t>: 28</w:t>
      </w:r>
    </w:p>
    <w:p w14:paraId="6ECD733A" w14:textId="77777777" w:rsidR="007D0E70" w:rsidRDefault="00477D0B">
      <w:pPr>
        <w:pStyle w:val="SummaryText"/>
      </w:pPr>
      <w:r>
        <w:rPr>
          <w:b/>
        </w:rPr>
        <w:t>Traditional Commentaries Reviewed</w:t>
      </w:r>
      <w:r>
        <w:t>: 39 (Ibn Ezra (5); Malbim (5); Meiri (6); Metzudat David (6); Radak (6); Rashi (6); Torah Temimah (5))</w:t>
      </w:r>
    </w:p>
    <w:p w14:paraId="5ACA6C0F" w14:textId="77777777" w:rsidR="007D0E70" w:rsidRDefault="00477D0B">
      <w:pPr>
        <w:pStyle w:val="SummaryText"/>
      </w:pPr>
      <w:r>
        <w:rPr>
          <w:b/>
        </w:rPr>
        <w:t>Concordance Entries Reviewed</w:t>
      </w:r>
      <w:r>
        <w:t>: 33</w:t>
      </w:r>
    </w:p>
    <w:p w14:paraId="22A05C2F" w14:textId="77777777" w:rsidR="007D0E70" w:rsidRDefault="00477D0B">
      <w:pPr>
        <w:pStyle w:val="SummaryText"/>
      </w:pPr>
      <w:r>
        <w:rPr>
          <w:b/>
        </w:rPr>
        <w:t>Figurative Language Instances Reviewed</w:t>
      </w:r>
      <w:r>
        <w:t>: 360</w:t>
      </w:r>
    </w:p>
    <w:p w14:paraId="7CFD3DA7" w14:textId="77777777" w:rsidR="007D0E70" w:rsidRDefault="00477D0B">
      <w:pPr>
        <w:pStyle w:val="SummaryText"/>
      </w:pPr>
      <w:r>
        <w:rPr>
          <w:b/>
        </w:rPr>
        <w:t>Rabbi Jonathan Sacks References Reviewed</w:t>
      </w:r>
      <w:r>
        <w:t>: 5</w:t>
      </w:r>
    </w:p>
    <w:p w14:paraId="1A3333EB" w14:textId="0110900D" w:rsidR="007D0E70" w:rsidRDefault="00477D0B">
      <w:pPr>
        <w:pStyle w:val="SummaryText"/>
      </w:pPr>
      <w:r>
        <w:rPr>
          <w:b/>
        </w:rPr>
        <w:t>Similar Psalms Analyzed</w:t>
      </w:r>
      <w:r>
        <w:t>: 1 (Psalm</w:t>
      </w:r>
      <w:r>
        <w:t xml:space="preserve"> 92)</w:t>
      </w:r>
    </w:p>
    <w:p w14:paraId="395B88C7" w14:textId="77777777" w:rsidR="007D0E70" w:rsidRDefault="00477D0B">
      <w:pPr>
        <w:pStyle w:val="SummaryText"/>
      </w:pPr>
      <w:r>
        <w:rPr>
          <w:b/>
        </w:rPr>
        <w:t>Master Editor Prompt Size</w:t>
      </w:r>
      <w:r>
        <w:t>: 288,250 characters</w:t>
      </w:r>
    </w:p>
    <w:p w14:paraId="079AFBEF" w14:textId="77777777" w:rsidR="007D0E70" w:rsidRDefault="00477D0B">
      <w:pPr>
        <w:pStyle w:val="Heading3"/>
      </w:pPr>
      <w:r>
        <w:t>Models Used</w:t>
      </w:r>
    </w:p>
    <w:p w14:paraId="5FBFB7CB" w14:textId="77777777" w:rsidR="007D0E70" w:rsidRDefault="00477D0B">
      <w:pPr>
        <w:pStyle w:val="SummaryText"/>
      </w:pPr>
      <w:r>
        <w:rPr>
          <w:b/>
        </w:rPr>
        <w:t>Structural Analysis (Macro)</w:t>
      </w:r>
      <w:r>
        <w:t>: claude-sonnet-4-5</w:t>
      </w:r>
    </w:p>
    <w:p w14:paraId="58FADAE2" w14:textId="77777777" w:rsidR="007D0E70" w:rsidRDefault="00477D0B">
      <w:pPr>
        <w:pStyle w:val="SummaryText"/>
      </w:pPr>
      <w:r>
        <w:rPr>
          <w:b/>
        </w:rPr>
        <w:t>Verse Discovery (Micro)</w:t>
      </w:r>
      <w:r>
        <w:t>: claude-sonnet-4-5</w:t>
      </w:r>
    </w:p>
    <w:p w14:paraId="2AABFEC6" w14:textId="77777777" w:rsidR="007D0E70" w:rsidRDefault="00477D0B">
      <w:pPr>
        <w:pStyle w:val="SummaryText"/>
      </w:pPr>
      <w:r>
        <w:rPr>
          <w:b/>
        </w:rPr>
        <w:t>Commentary Synthesis</w:t>
      </w:r>
      <w:r>
        <w:t>: claude-sonnet-4-5</w:t>
      </w:r>
    </w:p>
    <w:p w14:paraId="2359B046" w14:textId="77777777" w:rsidR="007D0E70" w:rsidRDefault="00477D0B">
      <w:pPr>
        <w:pStyle w:val="SummaryText"/>
      </w:pPr>
      <w:r>
        <w:rPr>
          <w:b/>
        </w:rPr>
        <w:t>Editorial Review</w:t>
      </w:r>
      <w:r>
        <w:t>: gpt-5</w:t>
      </w:r>
    </w:p>
    <w:p w14:paraId="42CC25B3" w14:textId="77777777" w:rsidR="007D0E70" w:rsidRDefault="00477D0B">
      <w:pPr>
        <w:pStyle w:val="Heading3"/>
      </w:pPr>
      <w:r>
        <w:t>Date Produced</w:t>
      </w:r>
    </w:p>
    <w:p w14:paraId="2CCF2DAD" w14:textId="77777777" w:rsidR="007D0E70" w:rsidRDefault="00477D0B">
      <w:pPr>
        <w:pStyle w:val="SummaryText"/>
      </w:pPr>
      <w:r>
        <w:t>November 16, 2025</w:t>
      </w:r>
    </w:p>
    <w:sectPr w:rsidR="007D0E70"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FE14D" w14:textId="77777777" w:rsidR="00477D0B" w:rsidRDefault="00477D0B">
      <w:pPr>
        <w:spacing w:after="0" w:line="240" w:lineRule="auto"/>
      </w:pPr>
      <w:r>
        <w:separator/>
      </w:r>
    </w:p>
  </w:endnote>
  <w:endnote w:type="continuationSeparator" w:id="0">
    <w:p w14:paraId="42A97CC9" w14:textId="77777777" w:rsidR="00477D0B" w:rsidRDefault="00477D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521A8" w14:textId="549C18DF" w:rsidR="007D0E70" w:rsidRDefault="00477D0B">
    <w:pPr>
      <w:pStyle w:val="Footer"/>
      <w:jc w:val="right"/>
    </w:pPr>
    <w:r>
      <w:fldChar w:fldCharType="begin"/>
    </w:r>
    <w:r>
      <w:instrText>PAGE</w:instrText>
    </w:r>
    <w:r w:rsidR="0008436F">
      <w:fldChar w:fldCharType="separate"/>
    </w:r>
    <w:r w:rsidR="0008436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185DF" w14:textId="77777777" w:rsidR="00477D0B" w:rsidRDefault="00477D0B">
      <w:pPr>
        <w:spacing w:after="0" w:line="240" w:lineRule="auto"/>
      </w:pPr>
      <w:r>
        <w:separator/>
      </w:r>
    </w:p>
  </w:footnote>
  <w:footnote w:type="continuationSeparator" w:id="0">
    <w:p w14:paraId="196CEF89" w14:textId="77777777" w:rsidR="00477D0B" w:rsidRDefault="00477D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8771188">
    <w:abstractNumId w:val="8"/>
  </w:num>
  <w:num w:numId="2" w16cid:durableId="183132109">
    <w:abstractNumId w:val="6"/>
  </w:num>
  <w:num w:numId="3" w16cid:durableId="366368255">
    <w:abstractNumId w:val="5"/>
  </w:num>
  <w:num w:numId="4" w16cid:durableId="2134639004">
    <w:abstractNumId w:val="4"/>
  </w:num>
  <w:num w:numId="5" w16cid:durableId="1939677127">
    <w:abstractNumId w:val="7"/>
  </w:num>
  <w:num w:numId="6" w16cid:durableId="1026910006">
    <w:abstractNumId w:val="3"/>
  </w:num>
  <w:num w:numId="7" w16cid:durableId="1147741119">
    <w:abstractNumId w:val="2"/>
  </w:num>
  <w:num w:numId="8" w16cid:durableId="463546631">
    <w:abstractNumId w:val="1"/>
  </w:num>
  <w:num w:numId="9" w16cid:durableId="1851799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436F"/>
    <w:rsid w:val="0015074B"/>
    <w:rsid w:val="0029639D"/>
    <w:rsid w:val="00326F90"/>
    <w:rsid w:val="00477D0B"/>
    <w:rsid w:val="007D0E70"/>
    <w:rsid w:val="00AA1D8D"/>
    <w:rsid w:val="00AA7420"/>
    <w:rsid w:val="00B47730"/>
    <w:rsid w:val="00CB0664"/>
    <w:rsid w:val="00F10F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633019-F974-4943-9144-30B7DCAA4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3384</Words>
  <Characters>19295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cp:lastPrinted>2025-11-17T03:50:00Z</cp:lastPrinted>
  <dcterms:created xsi:type="dcterms:W3CDTF">2025-11-17T03:55:00Z</dcterms:created>
  <dcterms:modified xsi:type="dcterms:W3CDTF">2025-11-17T03:55:00Z</dcterms:modified>
  <cp:category/>
</cp:coreProperties>
</file>