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Infectious Diseases</w:t>
      </w:r>
    </w:p>
    <w:p>
      <w:pPr>
        <w:pStyle w:val="Heading2"/>
      </w:pPr>
      <w:r>
        <w:t>USE CASE 1: HIV/AIDS Management and ART Adherence Optimization</w:t>
      </w:r>
    </w:p>
    <w:p>
      <w:pPr>
        <w:pStyle w:val="Heading3"/>
      </w:pPr>
      <w:r>
        <w:t>Clinical Scenario</w:t>
      </w:r>
    </w:p>
    <w:p>
      <w:r>
        <w:t>A 42-year-old patient with HIV presents for routine follow-up. They've been on antiretroviral therapy (ART) for 3 years with previously undetectable viral load, but their most recent viral load is 850 copies/mL, suggesting treatment failure. The physician needs to assess adherence barriers, review resistance testing, optimize the regimen, and coordinate with pharmacy, case management, and mental health services—all while managing a full clinic schedule.</w:t>
      </w:r>
    </w:p>
    <w:p>
      <w:pPr>
        <w:pStyle w:val="Heading3"/>
      </w:pPr>
      <w:r>
        <w:t>Current State Challenges</w:t>
      </w:r>
    </w:p>
    <w:p>
      <w:pPr>
        <w:pStyle w:val="Heading4"/>
      </w:pPr>
      <w:r>
        <w:t>At a practice level:</w:t>
      </w:r>
    </w:p>
    <w:p>
      <w:r>
        <w:rPr>
          <w:sz w:val="22"/>
        </w:rPr>
        <w:t>Suboptimal adherence to ART is the most common cause of viral rebound, yet systematic adherence assessment is inconsistent[1]</w:t>
      </w:r>
    </w:p>
    <w:p>
      <w:r>
        <w:rPr>
          <w:sz w:val="22"/>
        </w:rPr>
        <w:t>Only 65% of people with HIV achieve sustained viral suppression (&lt;200 copies/mL), leaving substantial gaps in the HIV care continuum[2]</w:t>
      </w:r>
    </w:p>
    <w:p>
      <w:r>
        <w:rPr>
          <w:sz w:val="22"/>
        </w:rPr>
        <w:t>Complex medication regimens, side effects, mental health comorbidities, and social determinants create multifaceted adherence barriers</w:t>
      </w:r>
    </w:p>
    <w:p>
      <w:r>
        <w:rPr>
          <w:sz w:val="22"/>
        </w:rPr>
        <w:t>Coordinating care across pharmacy, case management, mental health, and substance use services is time-consuming and fragmented</w:t>
      </w:r>
    </w:p>
    <w:p>
      <w:pPr>
        <w:pStyle w:val="Heading4"/>
      </w:pPr>
      <w:r>
        <w:t>At the individual patient level:</w:t>
      </w:r>
    </w:p>
    <w:p>
      <w:r>
        <w:rPr>
          <w:sz w:val="22"/>
        </w:rPr>
        <w:t>Viral load rebound increases risk of disease progression, opportunistic infections, and transmission to partners</w:t>
      </w:r>
    </w:p>
    <w:p>
      <w:r>
        <w:rPr>
          <w:sz w:val="22"/>
        </w:rPr>
        <w:t>Medication costs, insurance coverage gaps, and pharmacy access create adherence barriers</w:t>
      </w:r>
    </w:p>
    <w:p>
      <w:r>
        <w:rPr>
          <w:sz w:val="22"/>
        </w:rPr>
        <w:t>Mental health disorders (depression 30-40% prevalence) and substance use disorders significantly impact adherence[3]</w:t>
      </w:r>
    </w:p>
    <w:p>
      <w:r>
        <w:rPr>
          <w:sz w:val="22"/>
        </w:rPr>
        <w:t>Long-acting injectable ART options exist but awareness and access remain limited</w:t>
      </w:r>
    </w:p>
    <w:p>
      <w:pPr>
        <w:pStyle w:val="Heading3"/>
      </w:pPr>
      <w:r>
        <w:t>Cordance Solution</w:t>
      </w:r>
    </w:p>
    <w:p>
      <w:pPr>
        <w:pStyle w:val="Heading4"/>
      </w:pPr>
      <w:r>
        <w:t>Before Encounter</w:t>
      </w:r>
    </w:p>
    <w:p>
      <w:r>
        <w:rPr>
          <w:sz w:val="22"/>
        </w:rPr>
        <w:t>Automatically identifies all HIV patients with: viral load &gt;200 copies/mL (treatment failure); missed clinic appointments or lab monitoring; CD4 &lt;200 (opportunistic infection risk); gaps in ART prescription refills (adherence concern)</w:t>
      </w:r>
    </w:p>
    <w:p>
      <w:r>
        <w:rPr>
          <w:sz w:val="22"/>
        </w:rPr>
        <w:t>Creates prioritized list based on viral load level, CD4 count, time since last visit, and comorbidities</w:t>
      </w:r>
    </w:p>
    <w:p>
      <w:r>
        <w:rPr>
          <w:sz w:val="22"/>
        </w:rPr>
        <w:t>Pre-loads comprehensive HIV dashboard: viral load trend (past 12-24 months); CD4 count trend; current ART regimen with start dates; pharmacy refill history (adherence proxy); resistance testing results if available; opportunistic infection prophylaxis status (PCP, MAC, toxoplasmosis); comorbidities (Hepatitis B/C co-infection, cardiovascular risk, renal function)</w:t>
      </w:r>
    </w:p>
    <w:p>
      <w:r>
        <w:rPr>
          <w:sz w:val="22"/>
        </w:rPr>
        <w:t>Checks insurance formulary for ART coverage, including long-acting injectables (cabotegravir/rilpivirine)</w:t>
      </w:r>
    </w:p>
    <w:p>
      <w:pPr>
        <w:pStyle w:val="Heading4"/>
      </w:pPr>
      <w:r>
        <w:t>During Encounter</w:t>
      </w:r>
    </w:p>
    <w:p>
      <w:r>
        <w:rPr>
          <w:sz w:val="22"/>
        </w:rPr>
        <w:t>Displays HIV clinical dashboard: current viral load with trend; CD4 count with trend; ART regimen completeness; adherence assessment (pharmacy refill data, patient self-report); resistance mutations if testing performed; opportunistic infection prophylaxis checklist</w:t>
      </w:r>
    </w:p>
    <w:p>
      <w:r>
        <w:rPr>
          <w:sz w:val="22"/>
        </w:rPr>
        <w:t>Structured adherence barrier assessment: medication side effects; mental health symptoms (depression, anxiety); substance use screening; medication cost/insurance barriers; pharmacy access issues; social support and housing stability</w:t>
      </w:r>
    </w:p>
    <w:p>
      <w:r>
        <w:rPr>
          <w:sz w:val="22"/>
        </w:rPr>
        <w:t>ART optimization recommendations based on resistance testing and patient factors: for virologic failure with resistance, suggests optimal salvage regimen; for adherence barriers, highlights long-acting injectable option (cabotegravir/rilpivirine Q4-8 weeks); for side effects, recommends alternative regimens with better tolerability; shows patient-specific cost comparison across ART options with copay assistance programs</w:t>
      </w:r>
    </w:p>
    <w:p>
      <w:r>
        <w:rPr>
          <w:sz w:val="22"/>
        </w:rPr>
        <w:t>Integrated care coordination tools: one-click referrals to HIV case management, mental health (depression/anxiety treatment), substance use treatment programs, PrEP navigation for HIV-negative partners; flags patients eligible for long-acting injectable ART with educational materials</w:t>
      </w:r>
    </w:p>
    <w:p>
      <w:r>
        <w:rPr>
          <w:sz w:val="22"/>
        </w:rPr>
        <w:t>Opportunistic infection prophylaxis checker: PCP prophylaxis if CD4 &lt;200; MAC prophylaxis if CD4 &lt;50; toxoplasmosis prophylaxis if CD4 &lt;100; immunization status (Pneumovax, flu, COVID-19, Hepatitis A/B)</w:t>
      </w:r>
    </w:p>
    <w:p>
      <w:pPr>
        <w:pStyle w:val="Heading4"/>
      </w:pPr>
      <w:r>
        <w:t>After Encounter</w:t>
      </w:r>
    </w:p>
    <w:p>
      <w:r>
        <w:rPr>
          <w:sz w:val="22"/>
        </w:rPr>
        <w:t>Automatically orders viral load and CD4 monitoring based on clinical status (q3-6 months if suppressed, q4-8 weeks if failing therapy)</w:t>
      </w:r>
    </w:p>
    <w:p>
      <w:r>
        <w:rPr>
          <w:sz w:val="22"/>
        </w:rPr>
        <w:t>Submits prior authorization for ART switches or long-acting injectables with clinical justification</w:t>
      </w:r>
    </w:p>
    <w:p>
      <w:r>
        <w:rPr>
          <w:sz w:val="22"/>
        </w:rPr>
        <w:t>Enrolls patient in manufacturer copay assistance programs to reduce out-of-pocket costs</w:t>
      </w:r>
    </w:p>
    <w:p>
      <w:r>
        <w:rPr>
          <w:sz w:val="22"/>
        </w:rPr>
        <w:t>Triggers case management outreach for patients with adherence barriers, housing instability, or mental health needs</w:t>
      </w:r>
    </w:p>
    <w:p>
      <w:r>
        <w:rPr>
          <w:sz w:val="22"/>
        </w:rPr>
        <w:t>Schedules follow-up visits based on clinical urgency (4-8 weeks for virologic failure, 3-6 months if stable)</w:t>
      </w:r>
    </w:p>
    <w:p>
      <w:r>
        <w:rPr>
          <w:sz w:val="22"/>
        </w:rPr>
        <w:t>Sends patient education materials on ART adherence, side effect management, and long-acting injectable options</w:t>
      </w:r>
    </w:p>
    <w:p>
      <w:pPr>
        <w:pStyle w:val="Heading3"/>
      </w:pPr>
      <w:r>
        <w:t>Impact on Three Pillars</w:t>
      </w:r>
    </w:p>
    <w:p>
      <w:pPr>
        <w:pStyle w:val="Heading4"/>
      </w:pPr>
      <w:r>
        <w:t>Economics (Value-Based Care &amp; Fee-for-Service)</w:t>
      </w:r>
    </w:p>
    <w:p>
      <w:r>
        <w:rPr>
          <w:sz w:val="22"/>
        </w:rPr>
        <w:t>Achieving viral suppression prevents opportunistic infections, reducing hospitalization costs by $15K-$50K per prevented admission</w:t>
      </w:r>
    </w:p>
    <w:p>
      <w:r>
        <w:rPr>
          <w:sz w:val="22"/>
        </w:rPr>
        <w:t>Long-acting injectable ART improves adherence in high-risk populations, reducing viral rebound and transmission</w:t>
      </w:r>
    </w:p>
    <w:p>
      <w:r>
        <w:rPr>
          <w:sz w:val="22"/>
        </w:rPr>
        <w:t>Systematic adherence monitoring and intervention increases proportion achieving viral suppression from 65% to 85%+</w:t>
      </w:r>
    </w:p>
    <w:p>
      <w:r>
        <w:rPr>
          <w:sz w:val="22"/>
        </w:rPr>
        <w:t>Captures quality bonuses for HIV viral suppression measures in value-based contracts</w:t>
      </w:r>
    </w:p>
    <w:p>
      <w:r>
        <w:rPr>
          <w:sz w:val="22"/>
        </w:rPr>
        <w:t>Estimated financial impact: $180K-$280K annually per ID physician through improved viral suppression and complication prevention</w:t>
      </w:r>
    </w:p>
    <w:p>
      <w:pPr>
        <w:pStyle w:val="Heading4"/>
      </w:pPr>
      <w:r>
        <w:t>Quality &amp; Safety</w:t>
      </w:r>
    </w:p>
    <w:p>
      <w:r>
        <w:rPr>
          <w:sz w:val="22"/>
        </w:rPr>
        <w:t>IAS-USA 2024 guidelines emphasize counseling, reminders, peer support, and integrated mental health care to improve ART adherence[4]</w:t>
      </w:r>
    </w:p>
    <w:p>
      <w:r>
        <w:rPr>
          <w:sz w:val="22"/>
        </w:rPr>
        <w:t>Long-acting injectable ART (cabotegravir/rilpivirine) maintains viral suppression in 94-96% of patients at 48 weeks, comparable to daily oral therapy[5]</w:t>
      </w:r>
    </w:p>
    <w:p>
      <w:r>
        <w:rPr>
          <w:sz w:val="22"/>
        </w:rPr>
        <w:t>Systematic mental health and substance use screening identifies treatable comorbidities affecting adherence</w:t>
      </w:r>
    </w:p>
    <w:p>
      <w:r>
        <w:rPr>
          <w:sz w:val="22"/>
        </w:rPr>
        <w:t>Resistance testing guides optimal salvage therapy, preventing further resistance accumulation</w:t>
      </w:r>
    </w:p>
    <w:p>
      <w:r>
        <w:rPr>
          <w:sz w:val="22"/>
        </w:rPr>
        <w:t>Automated opportunistic infection prophylaxis ensures no patient misses critical prevention</w:t>
      </w:r>
    </w:p>
    <w:p>
      <w:pPr>
        <w:pStyle w:val="Heading4"/>
      </w:pPr>
      <w:r>
        <w:t>Population Health &amp; Outcomes</w:t>
      </w:r>
    </w:p>
    <w:p>
      <w:r>
        <w:rPr>
          <w:sz w:val="22"/>
        </w:rPr>
        <w:t>Systematic monitoring of entire HIV patient panel identifies all patients with viral non-suppression</w:t>
      </w:r>
    </w:p>
    <w:p>
      <w:r>
        <w:rPr>
          <w:sz w:val="22"/>
        </w:rPr>
        <w:t>Reduces HIV transmission at population level through viral suppression (U=U: Undetectable = Untransmittable)</w:t>
      </w:r>
    </w:p>
    <w:p>
      <w:r>
        <w:rPr>
          <w:sz w:val="22"/>
        </w:rPr>
        <w:t>Addresses health disparities by ensuring equitable access to long-acting ART and case management services</w:t>
      </w:r>
    </w:p>
    <w:p>
      <w:r>
        <w:rPr>
          <w:sz w:val="22"/>
        </w:rPr>
        <w:t>Integrated mental health and substance use treatment improves overall health outcomes</w:t>
      </w:r>
    </w:p>
    <w:p>
      <w:r>
        <w:rPr>
          <w:sz w:val="22"/>
        </w:rPr>
        <w:t>Estimated impact: viral suppression rates increase from 65% to 85-90%, reducing community viral load</w:t>
      </w:r>
    </w:p>
    <w:p>
      <w:pPr>
        <w:pStyle w:val="Heading4"/>
      </w:pPr>
      <w:r>
        <w:t>Physician Value Proposition</w:t>
      </w:r>
    </w:p>
    <w:p>
      <w:r>
        <w:rPr>
          <w:sz w:val="22"/>
        </w:rPr>
        <w:t>Comprehensive HIV dashboard eliminates manual chart review and data aggregation</w:t>
      </w:r>
    </w:p>
    <w:p>
      <w:r>
        <w:rPr>
          <w:sz w:val="22"/>
        </w:rPr>
        <w:t>Structured adherence assessment tools guide difficult conversations about barriers</w:t>
      </w:r>
    </w:p>
    <w:p>
      <w:r>
        <w:rPr>
          <w:sz w:val="22"/>
        </w:rPr>
        <w:t>ART optimization recommendations based on resistance and patient factors reduce cognitive burden</w:t>
      </w:r>
    </w:p>
    <w:p>
      <w:r>
        <w:rPr>
          <w:sz w:val="22"/>
        </w:rPr>
        <w:t>One-click referrals to case management, mental health, and substance use services streamline care coordination</w:t>
      </w:r>
    </w:p>
    <w:p>
      <w:r>
        <w:rPr>
          <w:sz w:val="22"/>
        </w:rPr>
        <w:t>Automated prior authorization and copay assistance enrollment saves 20-30 minutes per patient</w:t>
      </w:r>
    </w:p>
    <w:p>
      <w:r>
        <w:rPr>
          <w:sz w:val="22"/>
        </w:rPr>
        <w:t>Protects against missed opportunistic infection prophylaxis with automated checklists</w:t>
      </w:r>
    </w:p>
    <w:p>
      <w:pPr>
        <w:pStyle w:val="Heading4"/>
      </w:pPr>
      <w:r>
        <w:t>Implementation Considerations</w:t>
      </w:r>
    </w:p>
    <w:p>
      <w:r>
        <w:rPr>
          <w:sz w:val="22"/>
        </w:rPr>
        <w:t>Integration with pharmacy refill data for adherence monitoring</w:t>
      </w:r>
    </w:p>
    <w:p>
      <w:r>
        <w:rPr>
          <w:sz w:val="22"/>
        </w:rPr>
        <w:t>Resistance testing databases (Stanford HIV Drug Resistance Database) for ART selection</w:t>
      </w:r>
    </w:p>
    <w:p>
      <w:r>
        <w:rPr>
          <w:sz w:val="22"/>
        </w:rPr>
        <w:t>Case management and mental health service partnerships for referral workflows</w:t>
      </w:r>
    </w:p>
    <w:p>
      <w:r>
        <w:rPr>
          <w:sz w:val="22"/>
        </w:rPr>
        <w:t>Manufacturer copay assistance program APIs for automated enrollment</w:t>
      </w:r>
    </w:p>
    <w:p>
      <w:r>
        <w:rPr>
          <w:sz w:val="22"/>
        </w:rPr>
        <w:t>Patient portal integration for adherence reminders and education</w:t>
      </w:r>
    </w:p>
    <w:p>
      <w:pPr>
        <w:pStyle w:val="Heading2"/>
      </w:pPr>
      <w:r>
        <w:t>USE CASE 2: Osteomyelitis and Prosthetic Joint Infection Management with OPAT</w:t>
      </w:r>
    </w:p>
    <w:p>
      <w:pPr>
        <w:pStyle w:val="Heading3"/>
      </w:pPr>
      <w:r>
        <w:t>Clinical Scenario</w:t>
      </w:r>
    </w:p>
    <w:p>
      <w:r>
        <w:t>A 68-year-old patient with a prosthetic knee infection (methicillin-sensitive S. aureus) is being discharged from the hospital after surgical debridement with liner exchange. They require 6 weeks of IV nafcillin via PICC line for outpatient parenteral antimicrobial therapy (OPAT). The ID physician must coordinate OPAT logistics, ensure weekly lab monitoring for adverse effects, and prevent complications from line infections or medication toxicity.</w:t>
      </w:r>
    </w:p>
    <w:p>
      <w:pPr>
        <w:pStyle w:val="Heading3"/>
      </w:pPr>
      <w:r>
        <w:t>Current State Challenges</w:t>
      </w:r>
    </w:p>
    <w:p>
      <w:pPr>
        <w:pStyle w:val="Heading4"/>
      </w:pPr>
      <w:r>
        <w:t>At a practice level:</w:t>
      </w:r>
    </w:p>
    <w:p>
      <w:r>
        <w:rPr>
          <w:sz w:val="22"/>
        </w:rPr>
        <w:t>Prosthetic joint infections are among the most common indications for long-term IV antibiotics and OPAT in the USA[6]</w:t>
      </w:r>
    </w:p>
    <w:p>
      <w:r>
        <w:rPr>
          <w:sz w:val="22"/>
        </w:rPr>
        <w:t>OPAT programs face challenges including catheter complications (10-29% rate), antibiotic side effects, monitoring requirements, and patient non-adherence[7]</w:t>
      </w:r>
    </w:p>
    <w:p>
      <w:r>
        <w:rPr>
          <w:sz w:val="22"/>
        </w:rPr>
        <w:t>Coordination between ID, orthopedics, home infusion companies, and lab services is fragmented and error-prone</w:t>
      </w:r>
    </w:p>
    <w:p>
      <w:r>
        <w:rPr>
          <w:sz w:val="22"/>
        </w:rPr>
        <w:t>4.6% of OPAT patients have emergency department visits within 30 days, with 51% being OPAT-related[8]</w:t>
      </w:r>
    </w:p>
    <w:p>
      <w:pPr>
        <w:pStyle w:val="Heading4"/>
      </w:pPr>
      <w:r>
        <w:t>At the individual patient level:</w:t>
      </w:r>
    </w:p>
    <w:p>
      <w:r>
        <w:rPr>
          <w:sz w:val="22"/>
        </w:rPr>
        <w:t>PICC line complications include thrombosis, catheter-related bloodstream infections, and mechanical dysfunction</w:t>
      </w:r>
    </w:p>
    <w:p>
      <w:r>
        <w:rPr>
          <w:sz w:val="22"/>
        </w:rPr>
        <w:t>IV nafcillin requires weekly CBC and hepatic function monitoring for neutropenia and hepatotoxicity</w:t>
      </w:r>
    </w:p>
    <w:p>
      <w:r>
        <w:rPr>
          <w:sz w:val="22"/>
        </w:rPr>
        <w:t>Patients and caregivers face complex medication administration, supply management, and PICC line care requirements</w:t>
      </w:r>
    </w:p>
    <w:p>
      <w:r>
        <w:rPr>
          <w:sz w:val="22"/>
        </w:rPr>
        <w:t>Lack of clear guidance on when to transition from IV to oral antibiotics prolongs unnecessary IV therapy</w:t>
      </w:r>
    </w:p>
    <w:p>
      <w:pPr>
        <w:pStyle w:val="Heading3"/>
      </w:pPr>
      <w:r>
        <w:t>Cordance Solution</w:t>
      </w:r>
    </w:p>
    <w:p>
      <w:pPr>
        <w:pStyle w:val="Heading4"/>
      </w:pPr>
      <w:r>
        <w:t>Before Encounter</w:t>
      </w:r>
    </w:p>
    <w:p>
      <w:r>
        <w:rPr>
          <w:sz w:val="22"/>
        </w:rPr>
        <w:t>Identifies all patients on OPAT with: upcoming scheduled visits; overdue lab monitoring; PICC line &gt;4-6 weeks (increased complication risk); incomplete infection treatment course</w:t>
      </w:r>
    </w:p>
    <w:p>
      <w:r>
        <w:rPr>
          <w:sz w:val="22"/>
        </w:rPr>
        <w:t>Pre-loads OPAT dashboard: antibiotic regimen with start/end dates; total treatment duration planned vs completed; PICC line insertion date and type; lab results (CBC, CMP, ESR/CRP); home infusion company and supply status; orthopedic follow-up status</w:t>
      </w:r>
    </w:p>
    <w:p>
      <w:r>
        <w:rPr>
          <w:sz w:val="22"/>
        </w:rPr>
        <w:t>Flags overdue or abnormal labs requiring immediate attention before next infusion</w:t>
      </w:r>
    </w:p>
    <w:p>
      <w:pPr>
        <w:pStyle w:val="Heading4"/>
      </w:pPr>
      <w:r>
        <w:t>During Encounter</w:t>
      </w:r>
    </w:p>
    <w:p>
      <w:r>
        <w:rPr>
          <w:sz w:val="22"/>
        </w:rPr>
        <w:t>Displays OPAT monitoring dashboard: current antibiotic and dosing; days of therapy completed / total days planned; upcoming end date; recent labs with trend (WBC, ANC, ALT/AST, Cr); inflammatory markers (ESR, CRP) showing infection response; PICC line status and complications; patient adherence to infusion schedule</w:t>
      </w:r>
    </w:p>
    <w:p>
      <w:r>
        <w:rPr>
          <w:sz w:val="22"/>
        </w:rPr>
        <w:t>Automated lab monitoring schedule: for nafcillin - weekly CBC with differential, CMP; for vancomycin - weekly trough level, Cr; for daptomycin - weekly CPK; flags abnormal results with clinical significance (e.g., neutropenia ANC &lt;1000, hepatotoxicity ALT &gt;3x ULN)</w:t>
      </w:r>
    </w:p>
    <w:p>
      <w:r>
        <w:rPr>
          <w:sz w:val="22"/>
        </w:rPr>
        <w:t>PICC line complication screening: signs of infection (erythema, drainage, fever); thrombosis symptoms (arm swelling, pain); mechanical dysfunction (inability to flush); recommends PICC removal if complications or therapy nearly complete</w:t>
      </w:r>
    </w:p>
    <w:p>
      <w:r>
        <w:rPr>
          <w:sz w:val="22"/>
        </w:rPr>
        <w:t>Oral transition assessment: for bone/joint infections, recent trials show oral antibiotics non-inferior to IV for many pathogens after initial IV course[9]; suggests transition to oral therapy if: patient clinically improving; inflammatory markers decreasing; pathogen with highly bioavailable oral option (e.g., fluoroquinolone, linezolid)</w:t>
      </w:r>
    </w:p>
    <w:p>
      <w:r>
        <w:rPr>
          <w:sz w:val="22"/>
        </w:rPr>
        <w:t>One-click orders for: next week's lab monitoring; PICC line culture if infection suspected; oral antibiotic prescription if transitioning from IV; orthopedic follow-up coordination</w:t>
      </w:r>
    </w:p>
    <w:p>
      <w:pPr>
        <w:pStyle w:val="Heading4"/>
      </w:pPr>
      <w:r>
        <w:t>After Encounter</w:t>
      </w:r>
    </w:p>
    <w:p>
      <w:r>
        <w:rPr>
          <w:sz w:val="22"/>
        </w:rPr>
        <w:t>Automatically schedules weekly lab monitoring with alerts if results abnormal or overdue</w:t>
      </w:r>
    </w:p>
    <w:p>
      <w:r>
        <w:rPr>
          <w:sz w:val="22"/>
        </w:rPr>
        <w:t>Coordinates with home infusion company: medication adjustments; PICC line removal scheduling if transitioning to oral; supply refills</w:t>
      </w:r>
    </w:p>
    <w:p>
      <w:r>
        <w:rPr>
          <w:sz w:val="22"/>
        </w:rPr>
        <w:t>Triggers patient outreach if labs overdue, infusions missed, or concerning symptoms reported</w:t>
      </w:r>
    </w:p>
    <w:p>
      <w:r>
        <w:rPr>
          <w:sz w:val="22"/>
        </w:rPr>
        <w:t>Sends patient education on PICC line care, signs of complications, and when to seek urgent care</w:t>
      </w:r>
    </w:p>
    <w:p>
      <w:r>
        <w:rPr>
          <w:sz w:val="22"/>
        </w:rPr>
        <w:t>Creates end-of-treatment alert for orthopedic follow-up and infection cure assessment</w:t>
      </w:r>
    </w:p>
    <w:p>
      <w:pPr>
        <w:pStyle w:val="Heading3"/>
      </w:pPr>
      <w:r>
        <w:t>Impact on Three Pillars</w:t>
      </w:r>
    </w:p>
    <w:p>
      <w:pPr>
        <w:pStyle w:val="Heading4"/>
      </w:pPr>
      <w:r>
        <w:t>Economics (Value-Based Care &amp; Fee-for-Service)</w:t>
      </w:r>
    </w:p>
    <w:p>
      <w:r>
        <w:rPr>
          <w:sz w:val="22"/>
        </w:rPr>
        <w:t>OPAT saves significant costs vs prolonged hospitalization: German study showed 1,782 inpatient days saved across 77 patients[10]</w:t>
      </w:r>
    </w:p>
    <w:p>
      <w:r>
        <w:rPr>
          <w:sz w:val="22"/>
        </w:rPr>
        <w:t>Early transition to oral antibiotics reduces costs by $200-$400 per day compared to IV therapy</w:t>
      </w:r>
    </w:p>
    <w:p>
      <w:r>
        <w:rPr>
          <w:sz w:val="22"/>
        </w:rPr>
        <w:t>Preventing OPAT complications (catheter infections, drug toxicity) avoids ED visits and readmissions costing $5K-$20K per event</w:t>
      </w:r>
    </w:p>
    <w:p>
      <w:r>
        <w:rPr>
          <w:sz w:val="22"/>
        </w:rPr>
        <w:t>Systematic monitoring reduces OPAT-related ED visits from 4.6% to &lt;2%</w:t>
      </w:r>
    </w:p>
    <w:p>
      <w:r>
        <w:rPr>
          <w:sz w:val="22"/>
        </w:rPr>
        <w:t>Estimated financial impact: $120K-$200K annually per ID physician through complication prevention and optimized therapy duration</w:t>
      </w:r>
    </w:p>
    <w:p>
      <w:pPr>
        <w:pStyle w:val="Heading4"/>
      </w:pPr>
      <w:r>
        <w:t>Quality &amp; Safety</w:t>
      </w:r>
    </w:p>
    <w:p>
      <w:r>
        <w:rPr>
          <w:sz w:val="22"/>
        </w:rPr>
        <w:t>UK OPAT program reported 91.7% successful therapy completion and 92% infections cured/improved with 10.9% adverse event rate[11]</w:t>
      </w:r>
    </w:p>
    <w:p>
      <w:r>
        <w:rPr>
          <w:sz w:val="22"/>
        </w:rPr>
        <w:t>Recent trials show oral antibiotics non-inferior to IV for bone/joint infections after surgical source control, with SOLARIO trial showing median 5 days IV vs 37 days with similar outcomes[12]</w:t>
      </w:r>
    </w:p>
    <w:p>
      <w:r>
        <w:rPr>
          <w:sz w:val="22"/>
        </w:rPr>
        <w:t>Automated lab monitoring prevents serious complications like neutropenia, hepatotoxicity, and nephrotoxicity</w:t>
      </w:r>
    </w:p>
    <w:p>
      <w:r>
        <w:rPr>
          <w:sz w:val="22"/>
        </w:rPr>
        <w:t>PICC line complication screening enables early detection and intervention, preventing serious infections</w:t>
      </w:r>
    </w:p>
    <w:p>
      <w:pPr>
        <w:pStyle w:val="Heading4"/>
      </w:pPr>
      <w:r>
        <w:t>Population Health &amp; Outcomes</w:t>
      </w:r>
    </w:p>
    <w:p>
      <w:r>
        <w:rPr>
          <w:sz w:val="22"/>
        </w:rPr>
        <w:t>Systematic OPAT monitoring ensures all patients receive appropriate surveillance regardless of socioeconomic status</w:t>
      </w:r>
    </w:p>
    <w:p>
      <w:r>
        <w:rPr>
          <w:sz w:val="22"/>
        </w:rPr>
        <w:t>Enables safe home-based therapy, improving patient quality of life and reducing hospital-acquired infection risk</w:t>
      </w:r>
    </w:p>
    <w:p>
      <w:r>
        <w:rPr>
          <w:sz w:val="22"/>
        </w:rPr>
        <w:t>Optimized therapy duration (avoiding excessive IV courses) reduces antibiotic resistance pressure</w:t>
      </w:r>
    </w:p>
    <w:p>
      <w:r>
        <w:rPr>
          <w:sz w:val="22"/>
        </w:rPr>
        <w:t>Estimated impact: OPAT complication rates decrease from 29% to 10-15%, successful completion rates increase to &gt;95%</w:t>
      </w:r>
    </w:p>
    <w:p>
      <w:pPr>
        <w:pStyle w:val="Heading4"/>
      </w:pPr>
      <w:r>
        <w:t>Physician Value Proposition</w:t>
      </w:r>
    </w:p>
    <w:p>
      <w:r>
        <w:rPr>
          <w:sz w:val="22"/>
        </w:rPr>
        <w:t>Comprehensive OPAT dashboard eliminates manual tracking of multiple patients on complex regimens</w:t>
      </w:r>
    </w:p>
    <w:p>
      <w:r>
        <w:rPr>
          <w:sz w:val="22"/>
        </w:rPr>
        <w:t>Automated lab monitoring schedules and abnormality alerts prevent missed toxicity</w:t>
      </w:r>
    </w:p>
    <w:p>
      <w:r>
        <w:rPr>
          <w:sz w:val="22"/>
        </w:rPr>
        <w:t>Evidence-based guidance on IV-to-oral transition reduces uncertainty and unnecessary IV duration</w:t>
      </w:r>
    </w:p>
    <w:p>
      <w:r>
        <w:rPr>
          <w:sz w:val="22"/>
        </w:rPr>
        <w:t>Streamlined coordination with home infusion, labs, and orthopedics saves 15-20 minutes per patient weekly</w:t>
      </w:r>
    </w:p>
    <w:p>
      <w:r>
        <w:rPr>
          <w:sz w:val="22"/>
        </w:rPr>
        <w:t>Protects against medico-legal risk by documenting systematic monitoring and complication screening</w:t>
      </w:r>
    </w:p>
    <w:p>
      <w:pPr>
        <w:pStyle w:val="Heading4"/>
      </w:pPr>
      <w:r>
        <w:t>Implementation Considerations</w:t>
      </w:r>
    </w:p>
    <w:p>
      <w:r>
        <w:rPr>
          <w:sz w:val="22"/>
        </w:rPr>
        <w:t>Integration with home infusion company systems for medication administration tracking</w:t>
      </w:r>
    </w:p>
    <w:p>
      <w:r>
        <w:rPr>
          <w:sz w:val="22"/>
        </w:rPr>
        <w:t>Lab interfaces for automated result retrieval and abnormality flagging</w:t>
      </w:r>
    </w:p>
    <w:p>
      <w:r>
        <w:rPr>
          <w:sz w:val="22"/>
        </w:rPr>
        <w:t>OPAT-specific order sets for drug monitoring (nafcillin - CBC/CMP, vancomycin - trough/Cr, daptomycin - CPK)</w:t>
      </w:r>
    </w:p>
    <w:p>
      <w:r>
        <w:rPr>
          <w:sz w:val="22"/>
        </w:rPr>
        <w:t>Patient education materials on PICC line care and complication recognition</w:t>
      </w:r>
    </w:p>
    <w:p>
      <w:pPr>
        <w:pStyle w:val="Heading2"/>
      </w:pPr>
      <w:r>
        <w:t>USE CASE 3: Hepatitis C Direct-Acting Antiviral Therapy Optimization and Cure</w:t>
      </w:r>
    </w:p>
    <w:p>
      <w:pPr>
        <w:pStyle w:val="Heading3"/>
      </w:pPr>
      <w:r>
        <w:t>Clinical Scenario</w:t>
      </w:r>
    </w:p>
    <w:p>
      <w:r>
        <w:t>A 55-year-old patient with newly diagnosed chronic Hepatitis C (genotype 1a, viral load 2.5 million IU/mL, F2 fibrosis) presents for treatment discussion. Direct-acting antivirals (DAAs) offer &gt;95% cure rates with 8-12 week regimens, but the physician faces challenges selecting the optimal regimen, navigating prior authorization, addressing medication costs ($26K-$94K per course), and ensuring treatment completion in this historically marginalized population.</w:t>
      </w:r>
    </w:p>
    <w:p>
      <w:pPr>
        <w:pStyle w:val="Heading3"/>
      </w:pPr>
      <w:r>
        <w:t>Current State Challenges</w:t>
      </w:r>
    </w:p>
    <w:p>
      <w:pPr>
        <w:pStyle w:val="Heading4"/>
      </w:pPr>
      <w:r>
        <w:t>At a practice level:</w:t>
      </w:r>
    </w:p>
    <w:p>
      <w:r>
        <w:rPr>
          <w:sz w:val="22"/>
        </w:rPr>
        <w:t>Despite availability of curative DAA therapy, many eligible HCV patients remain untreated due to access barriers and system fragmentation</w:t>
      </w:r>
    </w:p>
    <w:p>
      <w:r>
        <w:rPr>
          <w:sz w:val="22"/>
        </w:rPr>
        <w:t>Prior authorization for DAAs is complex, requiring documentation of fibrosis stage, sobriety, and specialist consultation</w:t>
      </w:r>
    </w:p>
    <w:p>
      <w:r>
        <w:rPr>
          <w:sz w:val="22"/>
        </w:rPr>
        <w:t>Insurance restrictions have eased but some plans still require advanced fibrosis (≥F3) or abstinence from substances</w:t>
      </w:r>
    </w:p>
    <w:p>
      <w:r>
        <w:rPr>
          <w:sz w:val="22"/>
        </w:rPr>
        <w:t>Treatment completion rates vary significantly, particularly in patients with substance use disorders or unstable housing</w:t>
      </w:r>
    </w:p>
    <w:p>
      <w:pPr>
        <w:pStyle w:val="Heading4"/>
      </w:pPr>
      <w:r>
        <w:t>At the individual patient level:</w:t>
      </w:r>
    </w:p>
    <w:p>
      <w:r>
        <w:rPr>
          <w:sz w:val="22"/>
        </w:rPr>
        <w:t>DAA regimens achieve &gt;95% sustained virologic response (SVR) across all genotypes, but medication costs and insurance barriers delay treatment[13]</w:t>
      </w:r>
    </w:p>
    <w:p>
      <w:r>
        <w:rPr>
          <w:sz w:val="22"/>
        </w:rPr>
        <w:t>Genotype testing, resistance testing (if prior treatment failure), and fibrosis staging (FibroScan or labs) required before initiating therapy</w:t>
      </w:r>
    </w:p>
    <w:p>
      <w:r>
        <w:rPr>
          <w:sz w:val="22"/>
        </w:rPr>
        <w:t>Drug-drug interactions with common medications (PPIs, statins, anticonvulsants, immunosuppressants) require careful review[14]</w:t>
      </w:r>
    </w:p>
    <w:p>
      <w:r>
        <w:rPr>
          <w:sz w:val="22"/>
        </w:rPr>
        <w:t>Patients with HIV/HCV co-infection, decompensated cirrhosis, or renal disease require specialized regimen selection</w:t>
      </w:r>
    </w:p>
    <w:p>
      <w:pPr>
        <w:pStyle w:val="Heading3"/>
      </w:pPr>
      <w:r>
        <w:t>Cordance Solution</w:t>
      </w:r>
    </w:p>
    <w:p>
      <w:pPr>
        <w:pStyle w:val="Heading4"/>
      </w:pPr>
      <w:r>
        <w:t>Before Encounter</w:t>
      </w:r>
    </w:p>
    <w:p>
      <w:r>
        <w:rPr>
          <w:sz w:val="22"/>
        </w:rPr>
        <w:t>Identifies all HCV-positive patients: positive HCV antibody with confirmatory HCV RNA; treatment-naive vs treatment-experienced; genotype and viral load; fibrosis staging (FibroScan, FIB-4, APRI score)</w:t>
      </w:r>
    </w:p>
    <w:p>
      <w:r>
        <w:rPr>
          <w:sz w:val="22"/>
        </w:rPr>
        <w:t>Creates prioritized treatment list based on: advanced fibrosis (F3-F4) requiring urgent treatment; HIV/HCV co-infection; extra-hepatic manifestations (cryoglobulinemia, glomerulonephritis); pregnant or planning pregnancy</w:t>
      </w:r>
    </w:p>
    <w:p>
      <w:r>
        <w:rPr>
          <w:sz w:val="22"/>
        </w:rPr>
        <w:t>Pre-loads comprehensive HCV workup: HCV genotype (1-6) and viral load; fibrosis stage (FibroScan kPa, FIB-4 score); hepatic function (albumin, bilirubin, INR, platelets); renal function (eGFR); HIV co-infection status; Hepatitis B surface antigen (reactivation risk); current medications for drug-drug interaction screening</w:t>
      </w:r>
    </w:p>
    <w:p>
      <w:r>
        <w:rPr>
          <w:sz w:val="22"/>
        </w:rPr>
        <w:t>Checks insurance formulary for DAA coverage and prior authorization requirements</w:t>
      </w:r>
    </w:p>
    <w:p>
      <w:pPr>
        <w:pStyle w:val="Heading4"/>
      </w:pPr>
      <w:r>
        <w:t>During Encounter</w:t>
      </w:r>
    </w:p>
    <w:p>
      <w:r>
        <w:rPr>
          <w:sz w:val="22"/>
        </w:rPr>
        <w:t>Displays HCV treatment dashboard: genotype and viral load; fibrosis stage with interpretation (F0-F1 = mild, F2 = moderate, F3-F4 = advanced/cirrhosis); treatment eligibility (most patients now eligible regardless of fibrosis or substance use); prior treatment history and resistance mutations if applicable</w:t>
      </w:r>
    </w:p>
    <w:p>
      <w:r>
        <w:rPr>
          <w:sz w:val="22"/>
        </w:rPr>
        <w:t>DAA regimen recommendations based on genotype and patient factors: Genotype 1: sofosbuvir/velpatasvir (Epclusa) 8-12 weeks, or ledipasvir/sofosbuvir (Harvoni) 8-12 weeks, or glecaprevir/pibrentasvir (Mavyret) 8 weeks; Pan-genotypic regimens (Epclusa, Mavyret) preferred for simplicity; Adjusted for: cirrhosis (may require 12 weeks vs 8 weeks), renal impairment (avoid sofosbuvir if eGFR &lt;30), HIV co-infection (check ART interactions)</w:t>
      </w:r>
    </w:p>
    <w:p>
      <w:r>
        <w:rPr>
          <w:sz w:val="22"/>
        </w:rPr>
        <w:t>Drug-drug interaction checker: flags interactions with PPIs, statins, anticonvulsants, immunosuppressants, ART; provides alternative HCV regimens or medication adjustments</w:t>
      </w:r>
    </w:p>
    <w:p>
      <w:r>
        <w:rPr>
          <w:sz w:val="22"/>
        </w:rPr>
        <w:t>Displays expected SVR rate (&gt;95% for treatment-naive, 90-99% for treatment-experienced with optimized regimen)[15]</w:t>
      </w:r>
    </w:p>
    <w:p>
      <w:r>
        <w:rPr>
          <w:sz w:val="22"/>
        </w:rPr>
        <w:t>Shows patient-specific costs: wholesale acquisition cost $26K-$94K per course; patient copay with insurance; manufacturer patient assistance program eligibility; 340B pricing if applicable for health system</w:t>
      </w:r>
    </w:p>
    <w:p>
      <w:r>
        <w:rPr>
          <w:sz w:val="22"/>
        </w:rPr>
        <w:t>One-click generates: DAA prescription with appropriate duration; baseline labs (CBC, CMP, HCV RNA); Hepatitis B surface antigen test (to monitor for reactivation during HCV treatment); prior authorization with pre-populated clinical justification</w:t>
      </w:r>
    </w:p>
    <w:p>
      <w:pPr>
        <w:pStyle w:val="Heading4"/>
      </w:pPr>
      <w:r>
        <w:t>After Encounter</w:t>
      </w:r>
    </w:p>
    <w:p>
      <w:r>
        <w:rPr>
          <w:sz w:val="22"/>
        </w:rPr>
        <w:t>Automatically submits prior authorization with structured documentation: HCV genotype and viral load; fibrosis stage; treatment history; liver function; clinical urgency (advanced fibrosis, extra-hepatic disease)</w:t>
      </w:r>
    </w:p>
    <w:p>
      <w:r>
        <w:rPr>
          <w:sz w:val="22"/>
        </w:rPr>
        <w:t>Enrolls patient in manufacturer copay assistance or patient assistance programs</w:t>
      </w:r>
    </w:p>
    <w:p>
      <w:r>
        <w:rPr>
          <w:sz w:val="22"/>
        </w:rPr>
        <w:t>Routes prescription to specialty pharmacy (often required for DAAs) with patient education on medication administration</w:t>
      </w:r>
    </w:p>
    <w:p>
      <w:r>
        <w:rPr>
          <w:sz w:val="22"/>
        </w:rPr>
        <w:t>Schedules monitoring labs: week 4 of treatment (HCV RNA, CBC, CMP to assess response and tolerability); week 12 or end of treatment (HCV RNA); SVR12 (sustained virologic response 12 weeks post-treatment - defines cure)</w:t>
      </w:r>
    </w:p>
    <w:p>
      <w:r>
        <w:rPr>
          <w:sz w:val="22"/>
        </w:rPr>
        <w:t>Triggers adherence support: case management outreach for patients with substance use or housing instability; pharmacy refill monitoring; text/call reminders for medication adherence</w:t>
      </w:r>
    </w:p>
    <w:p>
      <w:r>
        <w:rPr>
          <w:sz w:val="22"/>
        </w:rPr>
        <w:t>Sends patient education: expected cure rate &gt;95%; importance of completing full course; minimal side effects; what to expect during treatment</w:t>
      </w:r>
    </w:p>
    <w:p>
      <w:pPr>
        <w:pStyle w:val="Heading3"/>
      </w:pPr>
      <w:r>
        <w:t>Impact on Three Pillars</w:t>
      </w:r>
    </w:p>
    <w:p>
      <w:pPr>
        <w:pStyle w:val="Heading4"/>
      </w:pPr>
      <w:r>
        <w:t>Economics (Value-Based Care &amp; Fee-for-Service)</w:t>
      </w:r>
    </w:p>
    <w:p>
      <w:r>
        <w:rPr>
          <w:sz w:val="22"/>
        </w:rPr>
        <w:t>Curing HCV prevents cirrhosis progression, liver cancer, and liver transplantation costing $100K-$500K+ per patient</w:t>
      </w:r>
    </w:p>
    <w:p>
      <w:r>
        <w:rPr>
          <w:sz w:val="22"/>
        </w:rPr>
        <w:t>DAA treatment is cost-effective with &lt;3 years to cost neutrality in patients with advanced fibrosis</w:t>
      </w:r>
    </w:p>
    <w:p>
      <w:r>
        <w:rPr>
          <w:sz w:val="22"/>
        </w:rPr>
        <w:t>340B pricing for eligible health systems generates significant margin on DAA dispensing</w:t>
      </w:r>
    </w:p>
    <w:p>
      <w:r>
        <w:rPr>
          <w:sz w:val="22"/>
        </w:rPr>
        <w:t>Cured patients no longer require HCV monitoring, freeing ID clinic capacity</w:t>
      </w:r>
    </w:p>
    <w:p>
      <w:r>
        <w:rPr>
          <w:sz w:val="22"/>
        </w:rPr>
        <w:t>Estimated financial impact: $200K-$350K annually per ID physician through cirrhosis/HCC prevention and specialty pharmacy revenue</w:t>
      </w:r>
    </w:p>
    <w:p>
      <w:pPr>
        <w:pStyle w:val="Heading4"/>
      </w:pPr>
      <w:r>
        <w:t>Quality &amp; Safety</w:t>
      </w:r>
    </w:p>
    <w:p>
      <w:r>
        <w:rPr>
          <w:sz w:val="22"/>
        </w:rPr>
        <w:t>DAAs achieve &gt;95% SVR (cure) rates in treatment-naive patients across all genotypes with 8-12 week regimens[16]</w:t>
      </w:r>
    </w:p>
    <w:p>
      <w:r>
        <w:rPr>
          <w:sz w:val="22"/>
        </w:rPr>
        <w:t>For treatment-experienced patients, optimized regimens with resistance testing achieve 90-99% SVR[17]</w:t>
      </w:r>
    </w:p>
    <w:p>
      <w:r>
        <w:rPr>
          <w:sz w:val="22"/>
        </w:rPr>
        <w:t>HIV/HCV co-infected patients achieve equivalent cure rates (&gt;95%) to HCV mono-infected with appropriate regimen selection[18]</w:t>
      </w:r>
    </w:p>
    <w:p>
      <w:r>
        <w:rPr>
          <w:sz w:val="22"/>
        </w:rPr>
        <w:t>Minimal side effects and excellent safety profile - adverse events rarely cause treatment discontinuation[19]</w:t>
      </w:r>
    </w:p>
    <w:p>
      <w:r>
        <w:rPr>
          <w:sz w:val="22"/>
        </w:rPr>
        <w:t>Automated drug-drug interaction checking prevents dangerous combinations (e.g., amiodarone + sofosbuvir)</w:t>
      </w:r>
    </w:p>
    <w:p>
      <w:pPr>
        <w:pStyle w:val="Heading4"/>
      </w:pPr>
      <w:r>
        <w:t>Population Health &amp; Outcomes</w:t>
      </w:r>
    </w:p>
    <w:p>
      <w:r>
        <w:rPr>
          <w:sz w:val="22"/>
        </w:rPr>
        <w:t>Systematic identification and treatment of all HCV-positive patients moves toward HCV elimination goals</w:t>
      </w:r>
    </w:p>
    <w:p>
      <w:r>
        <w:rPr>
          <w:sz w:val="22"/>
        </w:rPr>
        <w:t>Reducing access barriers (fibrosis requirements, substance use restrictions) enables treatment for marginalized populations</w:t>
      </w:r>
    </w:p>
    <w:p>
      <w:r>
        <w:rPr>
          <w:sz w:val="22"/>
        </w:rPr>
        <w:t>HCV cure prevents transmission to others, particularly in people who inject drugs</w:t>
      </w:r>
    </w:p>
    <w:p>
      <w:r>
        <w:rPr>
          <w:sz w:val="22"/>
        </w:rPr>
        <w:t>Addressing social determinants (housing, substance use) through integrated care improves treatment completion</w:t>
      </w:r>
    </w:p>
    <w:p>
      <w:r>
        <w:rPr>
          <w:sz w:val="22"/>
        </w:rPr>
        <w:t>Estimated impact: treatment initiation rates increase from 30-40% to 70-80% of diagnosed patients, SVR rates &gt;95%</w:t>
      </w:r>
    </w:p>
    <w:p>
      <w:pPr>
        <w:pStyle w:val="Heading4"/>
      </w:pPr>
      <w:r>
        <w:t>Physician Value Proposition</w:t>
      </w:r>
    </w:p>
    <w:p>
      <w:r>
        <w:rPr>
          <w:sz w:val="22"/>
        </w:rPr>
        <w:t>Automated DAA regimen selection based on genotype, fibrosis, renal function, and drug interactions eliminates guideline memorization</w:t>
      </w:r>
    </w:p>
    <w:p>
      <w:r>
        <w:rPr>
          <w:sz w:val="22"/>
        </w:rPr>
        <w:t>Prior authorization automation with pre-populated clinical justification saves 30-45 minutes per patient</w:t>
      </w:r>
    </w:p>
    <w:p>
      <w:r>
        <w:rPr>
          <w:sz w:val="22"/>
        </w:rPr>
        <w:t>Real-time formulary and cost information enables informed patient discussions about out-of-pocket expenses</w:t>
      </w:r>
    </w:p>
    <w:p>
      <w:r>
        <w:rPr>
          <w:sz w:val="22"/>
        </w:rPr>
        <w:t>Drug-drug interaction checker prevents serious adverse events and regimen failures</w:t>
      </w:r>
    </w:p>
    <w:p>
      <w:r>
        <w:rPr>
          <w:sz w:val="22"/>
        </w:rPr>
        <w:t>Systematic monitoring schedules ensure no patient is lost to follow-up before confirming cure</w:t>
      </w:r>
    </w:p>
    <w:p>
      <w:r>
        <w:rPr>
          <w:sz w:val="22"/>
        </w:rPr>
        <w:t>Enables ID physicians to cure hundreds of patients annually with minimal adverse events - highly satisfying work</w:t>
      </w:r>
    </w:p>
    <w:p>
      <w:pPr>
        <w:pStyle w:val="Heading4"/>
      </w:pPr>
      <w:r>
        <w:t>Implementation Considerations</w:t>
      </w:r>
    </w:p>
    <w:p>
      <w:r>
        <w:rPr>
          <w:sz w:val="22"/>
        </w:rPr>
        <w:t>Integration with specialty pharmacy systems for DAA dispensing and refill tracking</w:t>
      </w:r>
    </w:p>
    <w:p>
      <w:r>
        <w:rPr>
          <w:sz w:val="22"/>
        </w:rPr>
        <w:t>HCV genotype and resistance testing lab interfaces</w:t>
      </w:r>
    </w:p>
    <w:p>
      <w:r>
        <w:rPr>
          <w:sz w:val="22"/>
        </w:rPr>
        <w:t>FibroScan result integration or FIB-4/APRI calculator for non-invasive fibrosis staging</w:t>
      </w:r>
    </w:p>
    <w:p>
      <w:r>
        <w:rPr>
          <w:sz w:val="22"/>
        </w:rPr>
        <w:t>Drug-drug interaction databases (Liverpool HCV Drug Interactions website integration)</w:t>
      </w:r>
    </w:p>
    <w:p>
      <w:r>
        <w:rPr>
          <w:sz w:val="22"/>
        </w:rPr>
        <w:t>Manufacturer patient assistance program APIs for automated enrollment</w:t>
      </w:r>
    </w:p>
    <w:p>
      <w:r>
        <w:rPr>
          <w:sz w:val="22"/>
        </w:rPr>
        <w:t>Case management partnerships for patients with substance use or housing instability</w:t>
      </w:r>
    </w:p>
    <w:p>
      <w:pPr>
        <w:pStyle w:val="Heading2"/>
      </w:pPr>
      <w:r>
        <w:t>USE CASE 4: Latent Tuberculosis Infection (LTBI) Screening and Treatment Completion</w:t>
      </w:r>
    </w:p>
    <w:p>
      <w:pPr>
        <w:pStyle w:val="Heading3"/>
      </w:pPr>
      <w:r>
        <w:t>Clinical Scenario</w:t>
      </w:r>
    </w:p>
    <w:p>
      <w:r>
        <w:t>A 62-year-old patient from the Philippines with new diagnosis of rheumatoid arthritis is being considered for biologic therapy (TNF inhibitor). Before initiating immunosuppression, LTBI screening is required given country of origin TB risk. The patient has a positive QuantiFERON-TB Gold test and normal chest X-ray, confirming LTBI. The physician must select an appropriate treatment regimen, ensure adherence, monitor for hepatotoxicity, and coordinate with rheumatology to time biologic initiation.</w:t>
      </w:r>
    </w:p>
    <w:p>
      <w:pPr>
        <w:pStyle w:val="Heading3"/>
      </w:pPr>
      <w:r>
        <w:t>Current State Challenges</w:t>
      </w:r>
    </w:p>
    <w:p>
      <w:pPr>
        <w:pStyle w:val="Heading4"/>
      </w:pPr>
      <w:r>
        <w:t>At a practice level:</w:t>
      </w:r>
    </w:p>
    <w:p>
      <w:r>
        <w:rPr>
          <w:sz w:val="22"/>
        </w:rPr>
        <w:t>LTBI screening is often inconsistent before initiating immunosuppressive therapy (biologics, TNF inhibitors, transplantation), creating reactivation risk</w:t>
      </w:r>
    </w:p>
    <w:p>
      <w:r>
        <w:rPr>
          <w:sz w:val="22"/>
        </w:rPr>
        <w:t>LTBI treatment completion rates average only 50-60% with 9-month isoniazid regimen due to long duration and adverse effects[20]</w:t>
      </w:r>
    </w:p>
    <w:p>
      <w:r>
        <w:rPr>
          <w:sz w:val="22"/>
        </w:rPr>
        <w:t>Shorter LTBI regimens (3-month isoniazid/rifapentine, 4-month rifampin) improve completion but awareness and uptake remain limited</w:t>
      </w:r>
    </w:p>
    <w:p>
      <w:r>
        <w:rPr>
          <w:sz w:val="22"/>
        </w:rPr>
        <w:t>Coordination between ID and referring specialty (rheumatology, transplant, oncology) for timing of immunosuppression initiation is fragmented</w:t>
      </w:r>
    </w:p>
    <w:p>
      <w:pPr>
        <w:pStyle w:val="Heading4"/>
      </w:pPr>
      <w:r>
        <w:t>At the individual patient level:</w:t>
      </w:r>
    </w:p>
    <w:p>
      <w:r>
        <w:rPr>
          <w:sz w:val="22"/>
        </w:rPr>
        <w:t>Risk of TB reactivation increases 4-16 fold with TNF inhibitors if untreated LTBI present[21]</w:t>
      </w:r>
    </w:p>
    <w:p>
      <w:r>
        <w:rPr>
          <w:sz w:val="22"/>
        </w:rPr>
        <w:t>Isoniazid hepatotoxicity risk (1-2% overall, higher in older adults) requires monthly ALT monitoring causing inconvenience and non-adherence</w:t>
      </w:r>
    </w:p>
    <w:p>
      <w:r>
        <w:rPr>
          <w:sz w:val="22"/>
        </w:rPr>
        <w:t>Long treatment duration (9 months isoniazid, 6 months rifampin) creates pill fatigue in asymptomatic patients</w:t>
      </w:r>
    </w:p>
    <w:p>
      <w:r>
        <w:rPr>
          <w:sz w:val="22"/>
        </w:rPr>
        <w:t>Rifamycins have extensive drug-drug interactions (warfarin, statins, immunosuppressants) requiring medication adjustments</w:t>
      </w:r>
    </w:p>
    <w:p>
      <w:pPr>
        <w:pStyle w:val="Heading3"/>
      </w:pPr>
      <w:r>
        <w:t>Cordance Solution</w:t>
      </w:r>
    </w:p>
    <w:p>
      <w:pPr>
        <w:pStyle w:val="Heading4"/>
      </w:pPr>
      <w:r>
        <w:t>Before Encounter</w:t>
      </w:r>
    </w:p>
    <w:p>
      <w:r>
        <w:rPr>
          <w:sz w:val="22"/>
        </w:rPr>
        <w:t>Identifies all patients requiring LTBI screening: planning to start biologics (TNF inhibitors, IL-6 inhibitors, JAK inhibitors); pre-transplant evaluation (solid organ, hematopoietic stem cell); starting high-dose corticosteroids; HIV-positive; immigrants from high TB prevalence countries; healthcare workers; close contacts of active TB cases</w:t>
      </w:r>
    </w:p>
    <w:p>
      <w:r>
        <w:rPr>
          <w:sz w:val="22"/>
        </w:rPr>
        <w:t>Flags patients with positive LTBI testing (TST ≥5mm, QuantiFERON positive, T-SPOT.TB positive) not yet started on treatment</w:t>
      </w:r>
    </w:p>
    <w:p>
      <w:r>
        <w:rPr>
          <w:sz w:val="22"/>
        </w:rPr>
        <w:t>Pre-loads LTBI workup: LTBI test results (TST, IGRA) and dates; chest X-ray to rule out active TB; baseline ALT for patients starting isoniazid; referring specialty and planned immunosuppressive agent; TB risk factors (country of origin, HIV status, close TB contact)</w:t>
      </w:r>
    </w:p>
    <w:p>
      <w:r>
        <w:rPr>
          <w:sz w:val="22"/>
        </w:rPr>
        <w:t>Creates prioritized list based on urgency of immunosuppression and reactivation risk</w:t>
      </w:r>
    </w:p>
    <w:p>
      <w:pPr>
        <w:pStyle w:val="Heading4"/>
      </w:pPr>
      <w:r>
        <w:t>During Encounter</w:t>
      </w:r>
    </w:p>
    <w:p>
      <w:r>
        <w:rPr>
          <w:sz w:val="22"/>
        </w:rPr>
        <w:t>Displays LTBI treatment dashboard: LTBI test result and interpretation; chest X-ray result (normal vs concerning for active TB); baseline ALT; planned immunosuppressive therapy and timing; treatment urgency</w:t>
      </w:r>
    </w:p>
    <w:p>
      <w:r>
        <w:rPr>
          <w:sz w:val="22"/>
        </w:rPr>
        <w:t>LTBI treatment regimen recommendations (CDC/NTCA 2020 guidelines): Preferred short-course regimens: 3 months isoniazid + rifapentine (3HP) weekly x 12 doses - 82-90% completion, 3-4% hepatotoxicity; 4 months rifampin daily - 78-82% completion, lower hepatotoxicity than isoniazid; Alternative for drug interactions: 3 months isoniazid daily - 69% completion; 6 months isoniazid daily - 60% completion, higher hepatotoxicity; Avoid if pregnancy: rifamycins (use isoniazid); Avoid if significant liver disease: rifampin preferred over isoniazid</w:t>
      </w:r>
    </w:p>
    <w:p>
      <w:r>
        <w:rPr>
          <w:sz w:val="22"/>
        </w:rPr>
        <w:t>Drug-drug interaction checker for rifamycins: flags interactions with warfarin, statins, anticonvulsants, hormonal contraceptives, immunosuppressants; provides dose adjustment recommendations or alternative LTBI regimen</w:t>
      </w:r>
    </w:p>
    <w:p>
      <w:r>
        <w:rPr>
          <w:sz w:val="22"/>
        </w:rPr>
        <w:t>Monitoring schedule based on regimen: isoniazid - baseline ALT, monthly symptom check, repeat ALT if symptoms; rifampin - baseline ALT, symptom monitoring, less frequent labs than isoniazid; 3HP - symptom monitoring, no routine labs unless risk factors</w:t>
      </w:r>
    </w:p>
    <w:p>
      <w:r>
        <w:rPr>
          <w:sz w:val="22"/>
        </w:rPr>
        <w:t>Coordination with referring specialty: for TNF inhibitors - complete ≥1 month LTBI treatment before biologic initiation; or start concurrently if urgent rheumatologic disease; generates communication to rheumatology/transplant with LTBI treatment plan and timing for immunosuppression</w:t>
      </w:r>
    </w:p>
    <w:p>
      <w:r>
        <w:rPr>
          <w:sz w:val="22"/>
        </w:rPr>
        <w:t>One-click generates: LTBI treatment prescription with appropriate regimen; baseline and monitoring labs; patient education materials; referral back to specialty with timing guidance</w:t>
      </w:r>
    </w:p>
    <w:p>
      <w:pPr>
        <w:pStyle w:val="Heading4"/>
      </w:pPr>
      <w:r>
        <w:t>After Encounter</w:t>
      </w:r>
    </w:p>
    <w:p>
      <w:r>
        <w:rPr>
          <w:sz w:val="22"/>
        </w:rPr>
        <w:t>Automatically schedules monitoring: for isoniazid - monthly phone call or visit for symptom assessment, monthly ALT if risk factors (&gt;35 years, alcohol use, chronic liver disease); for rifampin/3HP - symptom monitoring at weeks 2, 4, 8, 12 based on regimen duration</w:t>
      </w:r>
    </w:p>
    <w:p>
      <w:r>
        <w:rPr>
          <w:sz w:val="22"/>
        </w:rPr>
        <w:t>Sends patient education: LTBI vs active TB explanation; importance of treatment completion to prevent reactivation; side effects to watch (jaundice, nausea, rash, hepatitis symptoms); medication administration (3HP weekly observed doses, daily rifampin)</w:t>
      </w:r>
    </w:p>
    <w:p>
      <w:r>
        <w:rPr>
          <w:sz w:val="22"/>
        </w:rPr>
        <w:t>Triggers adherence interventions: pharmacy refill monitoring; text/call reminders for weekly 3HP doses; digital health interventions (voice/textual reminders shown to improve completion)[22]; case management outreach for patients missing doses or appointments</w:t>
      </w:r>
    </w:p>
    <w:p>
      <w:r>
        <w:rPr>
          <w:sz w:val="22"/>
        </w:rPr>
        <w:t>Coordinates with referring specialty: sends letter to rheumatology/transplant with LTBI treatment start date and expected completion; alerts when safe to initiate immunosuppression (≥1 month LTBI treatment completed)</w:t>
      </w:r>
    </w:p>
    <w:p>
      <w:r>
        <w:rPr>
          <w:sz w:val="22"/>
        </w:rPr>
        <w:t>Creates end-of-treatment alert to confirm completion and clear for biologic initiation</w:t>
      </w:r>
    </w:p>
    <w:p>
      <w:pPr>
        <w:pStyle w:val="Heading3"/>
      </w:pPr>
      <w:r>
        <w:t>Impact on Three Pillars</w:t>
      </w:r>
    </w:p>
    <w:p>
      <w:pPr>
        <w:pStyle w:val="Heading4"/>
      </w:pPr>
      <w:r>
        <w:t>Economics (Value-Based Care &amp; Fee-for-Service)</w:t>
      </w:r>
    </w:p>
    <w:p>
      <w:r>
        <w:rPr>
          <w:sz w:val="22"/>
        </w:rPr>
        <w:t>Preventing TB reactivation avoids hospitalization costs of $15K-$50K per active TB case plus prolonged treatment and public health investigation</w:t>
      </w:r>
    </w:p>
    <w:p>
      <w:r>
        <w:rPr>
          <w:sz w:val="22"/>
        </w:rPr>
        <w:t>Short-course LTBI regimens (3HP, 4-month rifampin) increase completion rates from 60% to 78-90%, improving prevention effectiveness[23]</w:t>
      </w:r>
    </w:p>
    <w:p>
      <w:r>
        <w:rPr>
          <w:sz w:val="22"/>
        </w:rPr>
        <w:t>Systematic LTBI screening before immunosuppression prevents biologic-associated TB reactivation and reduces liability risk</w:t>
      </w:r>
    </w:p>
    <w:p>
      <w:r>
        <w:rPr>
          <w:sz w:val="22"/>
        </w:rPr>
        <w:t>Estimated financial impact: $60K-$100K annually per ID physician through TB reactivation prevention and improved LTBI treatment completion</w:t>
      </w:r>
    </w:p>
    <w:p>
      <w:pPr>
        <w:pStyle w:val="Heading4"/>
      </w:pPr>
      <w:r>
        <w:t>Quality &amp; Safety</w:t>
      </w:r>
    </w:p>
    <w:p>
      <w:r>
        <w:rPr>
          <w:sz w:val="22"/>
        </w:rPr>
        <w:t>3-month isoniazid/rifapentine (3HP) achieves 82-90% treatment completion vs 60% with 9-month isoniazid, with equivalent efficacy in preventing TB reactivation[24]</w:t>
      </w:r>
    </w:p>
    <w:p>
      <w:r>
        <w:rPr>
          <w:sz w:val="22"/>
        </w:rPr>
        <w:t>Digital health interventions (reminders, video calls) improve LTBI treatment adherence by 15-30%[25]</w:t>
      </w:r>
    </w:p>
    <w:p>
      <w:r>
        <w:rPr>
          <w:sz w:val="22"/>
        </w:rPr>
        <w:t>Systematic ALT monitoring for isoniazid enables early hepatotoxicity detection before severe liver injury</w:t>
      </w:r>
    </w:p>
    <w:p>
      <w:r>
        <w:rPr>
          <w:sz w:val="22"/>
        </w:rPr>
        <w:t>Coordinated timing of LTBI treatment and immunosuppression initiation maximizes patient safety</w:t>
      </w:r>
    </w:p>
    <w:p>
      <w:pPr>
        <w:pStyle w:val="Heading4"/>
      </w:pPr>
      <w:r>
        <w:t>Population Health &amp; Outcomes</w:t>
      </w:r>
    </w:p>
    <w:p>
      <w:r>
        <w:rPr>
          <w:sz w:val="22"/>
        </w:rPr>
        <w:t>Systematic LTBI screening for all immunosuppression candidates eliminates gaps in TB prevention</w:t>
      </w:r>
    </w:p>
    <w:p>
      <w:r>
        <w:rPr>
          <w:sz w:val="22"/>
        </w:rPr>
        <w:t>Improved treatment completion contributes to TB elimination goals by preventing future reactivation cases</w:t>
      </w:r>
    </w:p>
    <w:p>
      <w:r>
        <w:rPr>
          <w:sz w:val="22"/>
        </w:rPr>
        <w:t>Addresses health disparities by ensuring immigrant populations and high-risk groups receive evidence-based LTBI care</w:t>
      </w:r>
    </w:p>
    <w:p>
      <w:r>
        <w:rPr>
          <w:sz w:val="22"/>
        </w:rPr>
        <w:t>Enables safe use of life-changing biologic therapies (for RA, IBD, psoriasis) through systematic TB risk mitigation</w:t>
      </w:r>
    </w:p>
    <w:p>
      <w:r>
        <w:rPr>
          <w:sz w:val="22"/>
        </w:rPr>
        <w:t>Estimated impact: LTBI treatment completion rates increase from 50-60% to 75-85%, TB reactivation rates decrease by 70-90%</w:t>
      </w:r>
    </w:p>
    <w:p>
      <w:pPr>
        <w:pStyle w:val="Heading4"/>
      </w:pPr>
      <w:r>
        <w:t>Physician Value Proposition</w:t>
      </w:r>
    </w:p>
    <w:p>
      <w:r>
        <w:rPr>
          <w:sz w:val="22"/>
        </w:rPr>
        <w:t>Automated LTBI screening identification ensures no immunosuppression candidate is missed</w:t>
      </w:r>
    </w:p>
    <w:p>
      <w:r>
        <w:rPr>
          <w:sz w:val="22"/>
        </w:rPr>
        <w:t>Evidence-based regimen selection balances completion rates, side effects, and drug interactions</w:t>
      </w:r>
    </w:p>
    <w:p>
      <w:r>
        <w:rPr>
          <w:sz w:val="22"/>
        </w:rPr>
        <w:t>Automated monitoring schedules and adherence interventions reduce manual tracking burden</w:t>
      </w:r>
    </w:p>
    <w:p>
      <w:r>
        <w:rPr>
          <w:sz w:val="22"/>
        </w:rPr>
        <w:t>Streamlined coordination with rheumatology/transplant/oncology eliminates phone tag about timing</w:t>
      </w:r>
    </w:p>
    <w:p>
      <w:r>
        <w:rPr>
          <w:sz w:val="22"/>
        </w:rPr>
        <w:t>Protects against medico-legal risk of TB reactivation in immunosuppressed patients</w:t>
      </w:r>
    </w:p>
    <w:p>
      <w:r>
        <w:rPr>
          <w:sz w:val="22"/>
        </w:rPr>
        <w:t>Digital adherence tools improve completion rates without increasing physician workload</w:t>
      </w:r>
    </w:p>
    <w:p>
      <w:pPr>
        <w:pStyle w:val="Heading4"/>
      </w:pPr>
      <w:r>
        <w:t>Implementation Considerations</w:t>
      </w:r>
    </w:p>
    <w:p>
      <w:r>
        <w:rPr>
          <w:sz w:val="22"/>
        </w:rPr>
        <w:t>Integration with LTBI testing labs (TST, QuantiFERON, T-SPOT) for automated result retrieval</w:t>
      </w:r>
    </w:p>
    <w:p>
      <w:r>
        <w:rPr>
          <w:sz w:val="22"/>
        </w:rPr>
        <w:t>Pharmacy integration for rifamycin drug-drug interaction checking and dose adjustments</w:t>
      </w:r>
    </w:p>
    <w:p>
      <w:r>
        <w:rPr>
          <w:sz w:val="22"/>
        </w:rPr>
        <w:t>Digital health platforms for adherence reminders (text, voice, video calls)</w:t>
      </w:r>
    </w:p>
    <w:p>
      <w:r>
        <w:rPr>
          <w:sz w:val="22"/>
        </w:rPr>
        <w:t>Coordination workflows with rheumatology, transplant, oncology for immunosuppression timing</w:t>
      </w:r>
    </w:p>
    <w:p>
      <w:r>
        <w:rPr>
          <w:sz w:val="22"/>
        </w:rPr>
        <w:t>Patient education materials in multiple languages for immigrant populations</w:t>
      </w:r>
    </w:p>
    <w:p>
      <w:pPr>
        <w:pStyle w:val="Heading2"/>
      </w:pPr>
      <w:r>
        <w:t>USE CASE 5: Multidrug-Resistant Organism (MDRO) Management and Antimicrobial Stewardship</w:t>
      </w:r>
    </w:p>
    <w:p>
      <w:pPr>
        <w:pStyle w:val="Heading3"/>
      </w:pPr>
      <w:r>
        <w:t>Clinical Scenario</w:t>
      </w:r>
    </w:p>
    <w:p>
      <w:r>
        <w:t>A 72-year-old patient with recurrent urinary tract infections presents to ID clinic with culture growing carbapenem-resistant Enterobacterales (CRE) - specifically, Klebsiella pneumoniae producing KPC carbapenemase. The patient was recently hospitalized and received multiple broad-spectrum antibiotics. The physician must select an appropriate targeted therapy from limited options (ceftazidime-avibactam, meropenem-vaborbactam, newer agents), implement infection control measures, and coordinate antimicrobial stewardship to prevent further resistance emergence.</w:t>
      </w:r>
    </w:p>
    <w:p>
      <w:pPr>
        <w:pStyle w:val="Heading3"/>
      </w:pPr>
      <w:r>
        <w:t>Current State Challenges</w:t>
      </w:r>
    </w:p>
    <w:p>
      <w:pPr>
        <w:pStyle w:val="Heading4"/>
      </w:pPr>
      <w:r>
        <w:t>At a practice level:</w:t>
      </w:r>
    </w:p>
    <w:p>
      <w:r>
        <w:rPr>
          <w:sz w:val="22"/>
        </w:rPr>
        <w:t>MDRO infections are increasing at an alarming rate, with carbapenem-resistant CRE showing concerning increases in ICU settings over the past two decades[26]</w:t>
      </w:r>
    </w:p>
    <w:p>
      <w:r>
        <w:rPr>
          <w:sz w:val="22"/>
        </w:rPr>
        <w:t>CRE mortality rates exceed 50% in severe infections, making them among the most critical threats facing healthcare systems[27]</w:t>
      </w:r>
    </w:p>
    <w:p>
      <w:r>
        <w:rPr>
          <w:sz w:val="22"/>
        </w:rPr>
        <w:t>Novel antibiotics (ceftazidime-avibactam, meropenem-vaborbactam, cefiderocol, imipenem-relebactam, eravacycline) are costly ($3K-$15K per course) and require stewardship to preserve effectiveness</w:t>
      </w:r>
    </w:p>
    <w:p>
      <w:r>
        <w:rPr>
          <w:sz w:val="22"/>
        </w:rPr>
        <w:t>Fragmented communication between ID, pharmacy, infection prevention, and primary teams leads to suboptimal antibiotic selection and prolonged inappropriate therapy</w:t>
      </w:r>
    </w:p>
    <w:p>
      <w:pPr>
        <w:pStyle w:val="Heading4"/>
      </w:pPr>
      <w:r>
        <w:t>At the individual patient level:</w:t>
      </w:r>
    </w:p>
    <w:p>
      <w:r>
        <w:rPr>
          <w:sz w:val="22"/>
        </w:rPr>
        <w:t>MDRO infections (ESBL, CRE, VRE, MRSA, difficult-to-treat Pseudomonas) require susceptibility-guided targeted therapy rather than empiric regimens</w:t>
      </w:r>
    </w:p>
    <w:p>
      <w:r>
        <w:rPr>
          <w:sz w:val="22"/>
        </w:rPr>
        <w:t>Delayed appropriate antibiotic therapy for MDRO bacteremia increases mortality by 7-10% per hour of delay[28]</w:t>
      </w:r>
    </w:p>
    <w:p>
      <w:r>
        <w:rPr>
          <w:sz w:val="22"/>
        </w:rPr>
        <w:t>Selection among novel agents requires understanding resistance mechanisms (KPC, NDM, OXA carbapenemases; ESBL types; efflux pumps)</w:t>
      </w:r>
    </w:p>
    <w:p>
      <w:r>
        <w:rPr>
          <w:sz w:val="22"/>
        </w:rPr>
        <w:t>Patients colonized with MDROs require infection prevention measures to prevent transmission and recurrent infections</w:t>
      </w:r>
    </w:p>
    <w:p>
      <w:pPr>
        <w:pStyle w:val="Heading3"/>
      </w:pPr>
      <w:r>
        <w:t>Cordance Solution</w:t>
      </w:r>
    </w:p>
    <w:p>
      <w:pPr>
        <w:pStyle w:val="Heading4"/>
      </w:pPr>
      <w:r>
        <w:t>Before Encounter</w:t>
      </w:r>
    </w:p>
    <w:p>
      <w:r>
        <w:rPr>
          <w:sz w:val="22"/>
        </w:rPr>
        <w:t>Identifies all patients with MDRO infections or colonization: CRE (carbapenem-resistant Enterobacterales); ESBL-producing organisms; VRE (vancomycin-resistant Enterococcus); MRSA (methicillin-resistant S. aureus); MDR/XDR Pseudomonas aeruginosa; MDR Acinetobacter baumannii</w:t>
      </w:r>
    </w:p>
    <w:p>
      <w:r>
        <w:rPr>
          <w:sz w:val="22"/>
        </w:rPr>
        <w:t>Creates prioritized list based on: bacteremia or severe infection requiring urgent optimization; currently on suboptimal empiric therapy; recurrent MDRO infections; new MDRO detection requiring infection control notification</w:t>
      </w:r>
    </w:p>
    <w:p>
      <w:r>
        <w:rPr>
          <w:sz w:val="22"/>
        </w:rPr>
        <w:t>Pre-loads comprehensive resistance data: culture results with full susceptibility panel; molecular testing (PCR for resistance genes: KPC, NDM, OXA, VIM carbapenemases; mecA for MRSA; vanA/vanB for VRE); minimum inhibitory concentrations (MICs) for key antibiotics; prior MDRO infections and colonization history; recent antibiotic exposures</w:t>
      </w:r>
    </w:p>
    <w:p>
      <w:pPr>
        <w:pStyle w:val="Heading4"/>
      </w:pPr>
      <w:r>
        <w:t>During Encounter</w:t>
      </w:r>
    </w:p>
    <w:p>
      <w:r>
        <w:rPr>
          <w:sz w:val="22"/>
        </w:rPr>
        <w:t>Displays MDRO management dashboard: current organism and resistance pattern; susceptibility results with MICs; resistance mechanism if known (e.g., KPC-producing CRE, NDM-producing CRE, ESBL type); current antibiotic regimen with appropriateness assessment; source control status (e.g., abscess drained, catheter removed, joint debrided)</w:t>
      </w:r>
    </w:p>
    <w:p>
      <w:r>
        <w:rPr>
          <w:sz w:val="22"/>
        </w:rPr>
        <w:t>Antibiotic selection recommendations based on IDSA 2024 AMR Guidance[29]: For CRE infections: First-line: ceftazidime-avibactam (for KPC, OXA-48), meropenem-vaborbactam (for KPC), or imipenem-relebactam; Second-line: cefiderocol (siderophore cephalosporin for metallo-beta-lactamases like NDM); Novel agents: eravacycline, plazomicin for specific scenarios; For ESBL-producing organisms: carbapenem-sparing options if MIC favorable: cefepime, piperacillin-tazobactam in select cases; For VRE: daptomycin, linezolid, tedizolid, or oritavancin based on infection site; For MDR Pseudomonas: ceftolozane-tazobactam, ceftazidime-avibactam, cefiderocol, or dual therapy</w:t>
      </w:r>
    </w:p>
    <w:p>
      <w:r>
        <w:rPr>
          <w:sz w:val="22"/>
        </w:rPr>
        <w:t>Source control assessment: flags need for abscess drainage, catheter removal, debridement, or device removal; without source control, antibiotics alone often fail</w:t>
      </w:r>
    </w:p>
    <w:p>
      <w:r>
        <w:rPr>
          <w:sz w:val="22"/>
        </w:rPr>
        <w:t>Antimicrobial stewardship integration: optimal duration based on infection type (7-14 days for most, shorter for uncomplicated UTI even with MDRO); de-escalation opportunities if organism susceptible to narrower agents; IV-to-oral switch assessment for highly bioavailable agents</w:t>
      </w:r>
    </w:p>
    <w:p>
      <w:r>
        <w:rPr>
          <w:sz w:val="22"/>
        </w:rPr>
        <w:t>Infection prevention triggers: contact precautions for CRE, VRE, MRSA, MDR Gram-negatives; notification to infection prevention for tracking and outbreak surveillance; patient education on hand hygiene and transmission prevention</w:t>
      </w:r>
    </w:p>
    <w:p>
      <w:r>
        <w:rPr>
          <w:sz w:val="22"/>
        </w:rPr>
        <w:t>Novel antibiotic cost and access: shows patient-specific cost and formulary status; many novel anti-MDRO agents cost $3,000-$15,000 per course but prevent treatment failures and complications; prior authorization automation with clinical justification (MDRO infection, susceptibilities, limited alternatives)</w:t>
      </w:r>
    </w:p>
    <w:p>
      <w:r>
        <w:rPr>
          <w:sz w:val="22"/>
        </w:rPr>
        <w:t>One-click generates: targeted antibiotic prescription with appropriate dosing and duration; source control coordination (surgery, IR for drainage); infection prevention notification; follow-up culture to document clearance</w:t>
      </w:r>
    </w:p>
    <w:p>
      <w:pPr>
        <w:pStyle w:val="Heading4"/>
      </w:pPr>
      <w:r>
        <w:t>After Encounter</w:t>
      </w:r>
    </w:p>
    <w:p>
      <w:r>
        <w:rPr>
          <w:sz w:val="22"/>
        </w:rPr>
        <w:t>Automatically notifies infection prevention of new MDRO detection for surveillance and contact precautions</w:t>
      </w:r>
    </w:p>
    <w:p>
      <w:r>
        <w:rPr>
          <w:sz w:val="22"/>
        </w:rPr>
        <w:t>Submits prior authorization for novel antibiotics with structured justification: organism and resistance mechanism; susceptibility results; infection severity; lack of alternative options</w:t>
      </w:r>
    </w:p>
    <w:p>
      <w:r>
        <w:rPr>
          <w:sz w:val="22"/>
        </w:rPr>
        <w:t>Coordinates source control with surgery/interventional radiology if abscess, line, or device needs removal</w:t>
      </w:r>
    </w:p>
    <w:p>
      <w:r>
        <w:rPr>
          <w:sz w:val="22"/>
        </w:rPr>
        <w:t>Schedules follow-up: repeat cultures to document clearance; clinical response assessment at 48-72 hours; antimicrobial stewardship review for de-escalation or duration optimization</w:t>
      </w:r>
    </w:p>
    <w:p>
      <w:r>
        <w:rPr>
          <w:sz w:val="22"/>
        </w:rPr>
        <w:t>Sends patient education: infection prevention (hand hygiene, avoid sharing personal items); signs of treatment failure requiring urgent evaluation; importance of completing full antibiotic course; MDRO colonization status and implications for future infections</w:t>
      </w:r>
    </w:p>
    <w:p>
      <w:r>
        <w:rPr>
          <w:sz w:val="22"/>
        </w:rPr>
        <w:t>Triggers antimicrobial stewardship follow-up: ensures appropriate duration (not too short or too long); identifies opportunities for IV-to-oral conversion; prevents unnecessarily prolonged broad-spectrum therapy contributing to further resistance</w:t>
      </w:r>
    </w:p>
    <w:p>
      <w:pPr>
        <w:pStyle w:val="Heading3"/>
      </w:pPr>
      <w:r>
        <w:t>Impact on Three Pillars</w:t>
      </w:r>
    </w:p>
    <w:p>
      <w:pPr>
        <w:pStyle w:val="Heading4"/>
      </w:pPr>
      <w:r>
        <w:t>Economics (Value-Based Care &amp; Fee-for-Service)</w:t>
      </w:r>
    </w:p>
    <w:p>
      <w:r>
        <w:rPr>
          <w:sz w:val="22"/>
        </w:rPr>
        <w:t>Appropriate empiric therapy for MDRO bacteremia reduces mortality and hospital length of stay, saving $20K-$50K per patient[30]</w:t>
      </w:r>
    </w:p>
    <w:p>
      <w:r>
        <w:rPr>
          <w:sz w:val="22"/>
        </w:rPr>
        <w:t>Novel anti-MDRO antibiotics cost $3K-$15K per course but prevent treatment failures, repeat hospitalizations, and complications costing $50K-$200K</w:t>
      </w:r>
    </w:p>
    <w:p>
      <w:r>
        <w:rPr>
          <w:sz w:val="22"/>
        </w:rPr>
        <w:t>Antimicrobial stewardship reduces unnecessary antibiotic days, decreasing costs and Clostridioides difficile infection rates (CDI costs $15K-$30K per case)</w:t>
      </w:r>
    </w:p>
    <w:p>
      <w:r>
        <w:rPr>
          <w:sz w:val="22"/>
        </w:rPr>
        <w:t>MDRO prevention through stewardship and infection control reduces healthcare-associated infections and associated penalties/readmissions</w:t>
      </w:r>
    </w:p>
    <w:p>
      <w:r>
        <w:rPr>
          <w:sz w:val="22"/>
        </w:rPr>
        <w:t>Estimated financial impact: $150K-$250K annually per ID physician through optimized MDRO treatment, stewardship, and complication prevention</w:t>
      </w:r>
    </w:p>
    <w:p>
      <w:pPr>
        <w:pStyle w:val="Heading4"/>
      </w:pPr>
      <w:r>
        <w:t>Quality &amp; Safety</w:t>
      </w:r>
    </w:p>
    <w:p>
      <w:r>
        <w:rPr>
          <w:sz w:val="22"/>
        </w:rPr>
        <w:t>IDSA 2024 AMR Guidance provides evidence-based recommendations for ESBL, CRE, and difficult-to-treat Pseudomonas infections[31]</w:t>
      </w:r>
    </w:p>
    <w:p>
      <w:r>
        <w:rPr>
          <w:sz w:val="22"/>
        </w:rPr>
        <w:t>Targeted therapy based on susceptibilities and resistance mechanisms improves outcomes for CRE bacteremia (50% mortality reduction with appropriate therapy)</w:t>
      </w:r>
    </w:p>
    <w:p>
      <w:r>
        <w:rPr>
          <w:sz w:val="22"/>
        </w:rPr>
        <w:t>Source control combined with appropriate antibiotics is critical for MDRO infection cure - antibiotics alone often fail without drainage or device removal</w:t>
      </w:r>
    </w:p>
    <w:p>
      <w:r>
        <w:rPr>
          <w:sz w:val="22"/>
        </w:rPr>
        <w:t>Antimicrobial stewardship decreases selection pressure for resistance, preserving effectiveness of carbapenems and newly approved antibiotics[32]</w:t>
      </w:r>
    </w:p>
    <w:p>
      <w:r>
        <w:rPr>
          <w:sz w:val="22"/>
        </w:rPr>
        <w:t>Infection prevention measures reduce MDRO transmission and healthcare-associated infections</w:t>
      </w:r>
    </w:p>
    <w:p>
      <w:pPr>
        <w:pStyle w:val="Heading4"/>
      </w:pPr>
      <w:r>
        <w:t>Population Health &amp; Outcomes</w:t>
      </w:r>
    </w:p>
    <w:p>
      <w:r>
        <w:rPr>
          <w:sz w:val="22"/>
        </w:rPr>
        <w:t>Systematic MDRO surveillance identifies colonized patients and prevents transmission within healthcare facilities</w:t>
      </w:r>
    </w:p>
    <w:p>
      <w:r>
        <w:rPr>
          <w:sz w:val="22"/>
        </w:rPr>
        <w:t>Antimicrobial stewardship at population level slows emergence of new resistance patterns</w:t>
      </w:r>
    </w:p>
    <w:p>
      <w:r>
        <w:rPr>
          <w:sz w:val="22"/>
        </w:rPr>
        <w:t>Optimized use of novel antibiotics preserves their effectiveness for future patients</w:t>
      </w:r>
    </w:p>
    <w:p>
      <w:r>
        <w:rPr>
          <w:sz w:val="22"/>
        </w:rPr>
        <w:t>Coordinated infection prevention reduces MDRO spread in long-term care facilities and community settings</w:t>
      </w:r>
    </w:p>
    <w:p>
      <w:r>
        <w:rPr>
          <w:sz w:val="22"/>
        </w:rPr>
        <w:t>Estimated impact: MDRO infection mortality decreases by 30-40%, hospital-acquired MDRO transmission decreases by 25-35%</w:t>
      </w:r>
    </w:p>
    <w:p>
      <w:pPr>
        <w:pStyle w:val="Heading4"/>
      </w:pPr>
      <w:r>
        <w:t>Physician Value Proposition</w:t>
      </w:r>
    </w:p>
    <w:p>
      <w:r>
        <w:rPr>
          <w:sz w:val="22"/>
        </w:rPr>
        <w:t>Comprehensive resistance data (susceptibilities, MICs, molecular mechanisms) aggregated in single dashboard eliminates manual chart review</w:t>
      </w:r>
    </w:p>
    <w:p>
      <w:r>
        <w:rPr>
          <w:sz w:val="22"/>
        </w:rPr>
        <w:t>Evidence-based antibiotic recommendations based on IDSA 2024 AMR Guidance reduce cognitive burden of selecting among novel agents</w:t>
      </w:r>
    </w:p>
    <w:p>
      <w:r>
        <w:rPr>
          <w:sz w:val="22"/>
        </w:rPr>
        <w:t>Automated infection prevention notification ensures proper isolation and surveillance without manual phone calls</w:t>
      </w:r>
    </w:p>
    <w:p>
      <w:r>
        <w:rPr>
          <w:sz w:val="22"/>
        </w:rPr>
        <w:t>Prior authorization automation for costly novel antibiotics saves 30-45 minutes per patient</w:t>
      </w:r>
    </w:p>
    <w:p>
      <w:r>
        <w:rPr>
          <w:sz w:val="22"/>
        </w:rPr>
        <w:t>Antimicrobial stewardship integration prevents unnecessarily prolonged therapy and promotes appropriate de-escalation</w:t>
      </w:r>
    </w:p>
    <w:p>
      <w:r>
        <w:rPr>
          <w:sz w:val="22"/>
        </w:rPr>
        <w:t>Protects against medico-legal risk by documenting appropriate MDRO management and source control coordination</w:t>
      </w:r>
    </w:p>
    <w:p>
      <w:pPr>
        <w:pStyle w:val="Heading4"/>
      </w:pPr>
      <w:r>
        <w:t>Implementation Considerations</w:t>
      </w:r>
    </w:p>
    <w:p>
      <w:r>
        <w:rPr>
          <w:sz w:val="22"/>
        </w:rPr>
        <w:t>Integration with microbiology lab for real-time culture results, susceptibilities, and molecular testing (carbapenemase genes)</w:t>
      </w:r>
    </w:p>
    <w:p>
      <w:r>
        <w:rPr>
          <w:sz w:val="22"/>
        </w:rPr>
        <w:t>Infection prevention software interfaces for automated MDRO notification and contact precaution orders</w:t>
      </w:r>
    </w:p>
    <w:p>
      <w:r>
        <w:rPr>
          <w:sz w:val="22"/>
        </w:rPr>
        <w:t>Antimicrobial stewardship platform integration for therapy duration tracking and de-escalation opportunities</w:t>
      </w:r>
    </w:p>
    <w:p>
      <w:r>
        <w:rPr>
          <w:sz w:val="22"/>
        </w:rPr>
        <w:t>IDSA AMR Guidance and local antibiogram databases for evidence-based recommendations</w:t>
      </w:r>
    </w:p>
    <w:p>
      <w:r>
        <w:rPr>
          <w:sz w:val="22"/>
        </w:rPr>
        <w:t>Surgical/IR coordination workflows for source control procedures</w:t>
      </w:r>
    </w:p>
    <w:p>
      <w:r>
        <w:br w:type="page"/>
      </w:r>
    </w:p>
    <w:p>
      <w:pPr>
        <w:pStyle w:val="Heading2"/>
      </w:pPr>
      <w:r>
        <w:t>References</w:t>
      </w:r>
    </w:p>
    <w:p>
      <w:r>
        <w:rPr>
          <w:sz w:val="20"/>
        </w:rPr>
        <w:t>[1] Preventing HIV antiretroviral resistance through better monitoring of treatment adherence. PubMed. https://pubmed.ncbi.nlm.nih.gov/18447613/</w:t>
      </w:r>
    </w:p>
    <w:p>
      <w:r>
        <w:rPr>
          <w:sz w:val="20"/>
        </w:rPr>
        <w:t>[2] CDC. Clinical Care of HIV. HIV Nexus. https://www.cdc.gov/hivnexus/hcp/clinical-care/index.html</w:t>
      </w:r>
    </w:p>
    <w:p>
      <w:r>
        <w:rPr>
          <w:sz w:val="20"/>
        </w:rPr>
        <w:t>[3] Antiretroviral Therapy Adherence Interventions in the Era of Universal Test and Treat: A Hybrid Systematic-Narrative Literature Review of Global Evidence. AIDS and Behavior. 2025. https://link.springer.com/article/10.1007/s10461-025-04867-9</w:t>
      </w:r>
    </w:p>
    <w:p>
      <w:r>
        <w:rPr>
          <w:sz w:val="20"/>
        </w:rPr>
        <w:t>[4] Antiretroviral Drugs for Treatment and Prevention of HIV in Adults: 2024 Recommendations of the International Antiviral Society-USA Panel. IAS-USA. December 2024. https://www.iasusa.org/2024/12/01/antiretroviral-drugs-treatment-prevention-hiv-adults-2024-recommendations-of-the-international-antiviral-society-usa-panel/</w:t>
      </w:r>
    </w:p>
    <w:p>
      <w:r>
        <w:rPr>
          <w:sz w:val="20"/>
        </w:rPr>
        <w:t>[5] WHO released updated guideline on HIV service delivery. September 2025. https://www.who.int/news/item/12-09-2025-who-released-updated-guideline-on-hiv-service-delivery</w:t>
      </w:r>
    </w:p>
    <w:p>
      <w:r>
        <w:rPr>
          <w:sz w:val="20"/>
        </w:rPr>
        <w:t>[6] Antibiotic Therapy for Prosthetic Joint Infections: An Overview. PMC. 2022. https://www.ncbi.nlm.nih.gov/pmc/articles/PMC9025623/</w:t>
      </w:r>
    </w:p>
    <w:p>
      <w:r>
        <w:rPr>
          <w:sz w:val="20"/>
        </w:rPr>
        <w:t>[7] Current management practices and outcomes of OPAT: A narrative review. Journal of Antimicrobial Chemotherapy. September 2024. https://academic.oup.com/jac/article/79/9/2083/7688904</w:t>
      </w:r>
    </w:p>
    <w:p>
      <w:r>
        <w:rPr>
          <w:sz w:val="20"/>
        </w:rPr>
        <w:t>[8] Emergency department visits during outpatient parenteral antimicrobial therapy: a retrospective cohort study. PubMed. 2018. https://pubmed.ncbi.nlm.nih.gov/29684172/</w:t>
      </w:r>
    </w:p>
    <w:p>
      <w:r>
        <w:rPr>
          <w:sz w:val="20"/>
        </w:rPr>
        <w:t>[9] Antibiotic Therapy for 6 or 12 Weeks for Prosthetic Joint Infection. New England Journal of Medicine. 2021. https://www.nejm.org/doi/full/10.1056/NEJMoa2020198</w:t>
      </w:r>
    </w:p>
    <w:p>
      <w:r>
        <w:rPr>
          <w:sz w:val="20"/>
        </w:rPr>
        <w:t>[10] Outpatient parenteral antimicrobial therapy (OPAT) in Germany: insights and clinical outcomes from the K-APAT cohort study. PubMed. 2024. https://pubmed.ncbi.nlm.nih.gov/38478255/</w:t>
      </w:r>
    </w:p>
    <w:p>
      <w:r>
        <w:rPr>
          <w:sz w:val="20"/>
        </w:rPr>
        <w:t>[11] Factors associated with successful completion of outpatient parenteral antibiotic therapy (OPAT): A 10-year review from a large West London service. PubMed. 2019. https://pubmed.ncbi.nlm.nih.gov/30986525/</w:t>
      </w:r>
    </w:p>
    <w:p>
      <w:r>
        <w:rPr>
          <w:sz w:val="20"/>
        </w:rPr>
        <w:t>[12] Advancing the management of prosthetic joint infections: a review of randomized controlled trials and emerging evidence. Antimicrobial Agents and Chemotherapy. 2025. https://journals.asm.org/doi/10.1128/aac.00338-25</w:t>
      </w:r>
    </w:p>
    <w:p>
      <w:r>
        <w:rPr>
          <w:sz w:val="20"/>
        </w:rPr>
        <w:t>[13] High rates of hepatitis C virus (HCV) cure using direct-acting antivirals in HIV/HCV-coinfected patients: a real-world perspective. PubMed. 2016. https://pubmed.ncbi.nlm.nih.gov/27330060/</w:t>
      </w:r>
    </w:p>
    <w:p>
      <w:r>
        <w:rPr>
          <w:sz w:val="20"/>
        </w:rPr>
        <w:t>[14] Direct Acting Anti-hepatitis C Virus Drugs: Clinical Pharmacology and Future Direction. PMC. 2017. https://pmc.ncbi.nlm.nih.gov/articles/PMC5490957/</w:t>
      </w:r>
    </w:p>
    <w:p>
      <w:r>
        <w:rPr>
          <w:sz w:val="20"/>
        </w:rPr>
        <w:t>[15] Upcoming direct acting antivirals for hepatitis C patients with a prior treatment failure. PMC. 2019. https://pmc.ncbi.nlm.nih.gov/articles/PMC6933124/</w:t>
      </w:r>
    </w:p>
    <w:p>
      <w:r>
        <w:rPr>
          <w:sz w:val="20"/>
        </w:rPr>
        <w:t>[16] Direct-acting Antiviral in the Treatment of Chronic Hepatitis C: Bonuses and Challenges. PubMed. 2020. https://pubmed.ncbi.nlm.nih.gov/32308542/</w:t>
      </w:r>
    </w:p>
    <w:p>
      <w:r>
        <w:rPr>
          <w:sz w:val="20"/>
        </w:rPr>
        <w:t>[17] Upcoming direct acting antivirals for hepatitis C patients with a prior treatment failure. PubMed. 2019. https://pubmed.ncbi.nlm.nih.gov/31042864/</w:t>
      </w:r>
    </w:p>
    <w:p>
      <w:r>
        <w:rPr>
          <w:sz w:val="20"/>
        </w:rPr>
        <w:t>[18] High rates of hepatitis C virus (HCV) cure using direct-acting antivirals in HIV/HCV-coinfected patients: a real-world perspective. PubMed. 2016. https://pubmed.ncbi.nlm.nih.gov/27330060/</w:t>
      </w:r>
    </w:p>
    <w:p>
      <w:r>
        <w:rPr>
          <w:sz w:val="20"/>
        </w:rPr>
        <w:t>[19] Hepatitis C Direct-Acting Antivirals in the Immunosuppressed Host: Mechanisms, Interactions, and Clinical Outcomes. MDPI Viruses. 2024. https://www.mdpi.com/1999-4915/17/11/1422</w:t>
      </w:r>
    </w:p>
    <w:p>
      <w:r>
        <w:rPr>
          <w:sz w:val="20"/>
        </w:rPr>
        <w:t>[20] Adherence to treatment for latent tuberculosis infection: systematic review of studies in the US and Canada. PubMed. 2008. https://pubmed.ncbi.nlm.nih.gov/18926033/</w:t>
      </w:r>
    </w:p>
    <w:p>
      <w:r>
        <w:rPr>
          <w:sz w:val="20"/>
        </w:rPr>
        <w:t>[21] Tuberculosis Screening. PubMed. 2017. https://pubmed.ncbi.nlm.nih.gov/28846359/</w:t>
      </w:r>
    </w:p>
    <w:p>
      <w:r>
        <w:rPr>
          <w:sz w:val="20"/>
        </w:rPr>
        <w:t>[22] Digital health use in latent tuberculosis infection care: A systematic review. PubMed. 2022. https://pubmed.ncbi.nlm.nih.gov/35007924/</w:t>
      </w:r>
    </w:p>
    <w:p>
      <w:r>
        <w:rPr>
          <w:sz w:val="20"/>
        </w:rPr>
        <w:t>[23] Interventions for improving adherence to treatment for latent tuberculosis infection: a systematic review. PubMed. 2016. https://pubmed.ncbi.nlm.nih.gov/27268103/</w:t>
      </w:r>
    </w:p>
    <w:p>
      <w:r>
        <w:rPr>
          <w:sz w:val="20"/>
        </w:rPr>
        <w:t>[24] Safety and outcome of treatment of latent tuberculosis infection in liver transplant recipients. PubMed. February 2024. https://pubmed.ncbi.nlm.nih.gov/38347366/</w:t>
      </w:r>
    </w:p>
    <w:p>
      <w:r>
        <w:rPr>
          <w:sz w:val="20"/>
        </w:rPr>
        <w:t>[25] Digital health use in latent tuberculosis infection care: A systematic review. PubMed. 2022. https://pubmed.ncbi.nlm.nih.gov/35007924/</w:t>
      </w:r>
    </w:p>
    <w:p>
      <w:r>
        <w:rPr>
          <w:sz w:val="20"/>
        </w:rPr>
        <w:t>[26] The Global Burden of Multidrug-Resistant Bacteria. MDPI. 2024. https://www.mdpi.com/2673-3986/6/2/21</w:t>
      </w:r>
    </w:p>
    <w:p>
      <w:r>
        <w:rPr>
          <w:sz w:val="20"/>
        </w:rPr>
        <w:t>[27] Antibiotic-sparing strategies for multidrug-resistant organism (MDRO) infections. Frontiers in Pharmacology. 2025. https://www.frontiersin.org/journals/pharmacology/articles/10.3389/fphar.2025.1653424/full</w:t>
      </w:r>
    </w:p>
    <w:p>
      <w:r>
        <w:rPr>
          <w:sz w:val="20"/>
        </w:rPr>
        <w:t>[28] Leveraging antimicrobial stewardship into improving rates of carbapenem-resistant Enterobacteriaceae. PMC. 2017. https://www.ncbi.nlm.nih.gov/pmc/articles/PMC5477703/</w:t>
      </w:r>
    </w:p>
    <w:p>
      <w:r>
        <w:rPr>
          <w:sz w:val="20"/>
        </w:rPr>
        <w:t>[29] IDSA 2024 Guidance on the Treatment of Antimicrobial Resistant Gram-Negative Infections. IDSA. August 2024. https://www.idsociety.org/practice-guideline/amr-guidance/</w:t>
      </w:r>
    </w:p>
    <w:p>
      <w:r>
        <w:rPr>
          <w:sz w:val="20"/>
        </w:rPr>
        <w:t>[30] Carbapenem-resistant Enterobacterales: What we know and what we need to know. PubMed. 2017. https://pubmed.ncbi.nlm.nih.gov/28402724/</w:t>
      </w:r>
    </w:p>
    <w:p>
      <w:r>
        <w:rPr>
          <w:sz w:val="20"/>
        </w:rPr>
        <w:t>[31] IDSA 2024 Guidance on the Treatment of Antimicrobial Resistant Gram-Negative Infections. IDSA. August 2024. https://www.idsociety.org/practice-guideline/amr-guidance/</w:t>
      </w:r>
    </w:p>
    <w:p>
      <w:r>
        <w:rPr>
          <w:sz w:val="20"/>
        </w:rPr>
        <w:t>[32] Carbapenem-resistant Enterobacterales – third update. ECDC. February 2025. https://www.ecdc.europa.eu/sites/default/files/documents/risk-assessment-carbapenem-resistant-enterobacterales-third-update-february-2025_0.pdf</w:t>
      </w:r>
    </w:p>
    <w:p>
      <w:r>
        <w:br w:type="page"/>
      </w:r>
    </w:p>
    <w:p>
      <w:pPr>
        <w:pStyle w:val="Heading2"/>
      </w:pPr>
      <w:r>
        <w:t>Summary</w:t>
      </w:r>
    </w:p>
    <w:p>
      <w:r>
        <w:rPr>
          <w:sz w:val="22"/>
        </w:rPr>
        <w:t>These infectious diseases use cases demonstrate Cordance Health's potential to transform clinical decision support across the spectrum of conditions managed by ID specialists. Each use case addresses all three pillars (Economics, Quality &amp; Safety, Population Health), provides clear physician value through reduced cognitive burden and automated workflows, and is measurable with specific targets.</w:t>
        <w:br/>
        <w:br/>
        <w:t>The platform's ability to anticipate needs, provide context-aware recommendations, integrate seamlessly into workflow, and coordinate across the care ecosystem positions Cordance Health as a transformative solution for infectious diseases' most pressing challenges:</w:t>
        <w:br/>
        <w:br/>
        <w:t>• HIV/AIDS care: Optimizing ART adherence and addressing barriers to viral suppression through integrated mental health and social support services</w:t>
        <w:br/>
        <w:br/>
        <w:t>• Bone and joint infections: Streamlining complex OPAT programs with systematic monitoring, complication prevention, and evidence-based transitions from IV to oral therapy</w:t>
        <w:br/>
        <w:br/>
        <w:t>• Hepatitis C treatment: Achieving &gt;95% cure rates through optimized DAA regimen selection, prior authorization automation, and adherence support for vulnerable populations</w:t>
        <w:br/>
        <w:br/>
        <w:t>• Tuberculosis prevention: Improving LTBI treatment completion rates from 50-60% to 75-85% through shorter regimens, digital adherence interventions, and coordinated immunosuppression timing</w:t>
        <w:br/>
        <w:br/>
        <w:t>• Antimicrobial resistance: Enabling evidence-based management of MDROs through automated susceptibility interpretation, novel antibiotic selection, infection prevention coordination, and antimicrobial stewardship integration</w:t>
        <w:br/>
        <w:br/>
        <w:t>By systematically addressing workflow inefficiencies, knowledge gaps, and coordination challenges, Cordance empowers ID specialists to deliver optimal care to complex patients while improving outcomes and reducing costs for health systems. The platform transforms infectious diseases practice from reactive consultation to proactive, data-driven population health management—essential for addressing the twin threats of emerging infections and antimicrobial resistance.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