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43</w:t>
      </w:r>
    </w:p>
    <w:p>
      <w:pPr>
        <w:pStyle w:val="Heading2"/>
      </w:pPr>
      <w:r>
        <w:t>Psalm 43</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שׇׁפְטֵ֤נִי אֱלֹקִ֨ים ׀ וְרִ֘יבָ֤ה רִיבִ֗י מִגּ֥וֹי לֹֽא־חָסִ֑יד מֵ֤אִישׁ־מִרְמָ֖ה וְעַוְלָ֣ה תְפַלְּטֵֽנִי׃</w:t>
            </w:r>
          </w:p>
        </w:tc>
        <w:tc>
          <w:tcPr>
            <w:tcW w:type="dxa" w:w="4680"/>
          </w:tcPr>
          <w:p>
            <w:r>
              <w:rPr>
                <w:rFonts w:ascii="Cambria" w:hAnsi="Cambria"/>
              </w:rPr>
              <w:t>Vindicate me, O God,</w:t>
              <w:br/>
              <w:t>champion my cause</w:t>
              <w:br/>
              <w:t>against faithless people;</w:t>
              <w:br/>
              <w:t>rescue me from the treacherous, dishonest man.</w:t>
            </w:r>
          </w:p>
        </w:tc>
      </w:tr>
      <w:tr>
        <w:tc>
          <w:tcPr>
            <w:tcW w:type="dxa" w:w="4680"/>
          </w:tcPr>
          <w:p>
            <w:r>
              <w:rPr>
                <w:b/>
                <w:sz w:val="24"/>
                <w:szCs w:val="24"/>
              </w:rPr>
              <w:t xml:space="preserve">2. </w:t>
            </w:r>
            <w:r>
              <w:rPr>
                <w:sz w:val="24"/>
                <w:rtl/>
                <w:szCs w:val="24"/>
              </w:rPr>
              <w:t>כִּי־אַתָּ֤ה ׀ אֱלֹקֵ֣י מָעוּזִּי֮ לָמָ֢ה זְנַ֫חְתָּ֥נִי לָֽמָּה־קֹדֵ֥ר אֶתְהַלֵּ֗ךְ בְּלַ֣חַץ אוֹיֵֽב׃</w:t>
            </w:r>
          </w:p>
        </w:tc>
        <w:tc>
          <w:tcPr>
            <w:tcW w:type="dxa" w:w="4680"/>
          </w:tcPr>
          <w:p>
            <w:r>
              <w:rPr>
                <w:rFonts w:ascii="Cambria" w:hAnsi="Cambria"/>
              </w:rPr>
              <w:t>For You are my God, my stronghold;</w:t>
              <w:br/>
              <w:t>why have You rejected me?</w:t>
              <w:br/>
              <w:t>Why must I walk in gloom,</w:t>
              <w:br/>
              <w:t>oppressed by the enemy?</w:t>
            </w:r>
          </w:p>
        </w:tc>
      </w:tr>
      <w:tr>
        <w:tc>
          <w:tcPr>
            <w:tcW w:type="dxa" w:w="4680"/>
          </w:tcPr>
          <w:p>
            <w:r>
              <w:rPr>
                <w:b/>
                <w:sz w:val="24"/>
                <w:szCs w:val="24"/>
              </w:rPr>
              <w:t xml:space="preserve">3. </w:t>
            </w:r>
            <w:r>
              <w:rPr>
                <w:sz w:val="24"/>
                <w:rtl/>
                <w:szCs w:val="24"/>
              </w:rPr>
              <w:t>שְׁלַח־אוֹרְךָ֣ וַ֭אֲמִתְּךָ הֵ֣מָּה יַנְח֑וּנִי יְבִיא֥וּנִי אֶל־הַֽר־קׇ֝דְשְׁךָ֗ וְאֶל־מִשְׁכְּנוֹתֶֽיךָ׃</w:t>
            </w:r>
          </w:p>
        </w:tc>
        <w:tc>
          <w:tcPr>
            <w:tcW w:type="dxa" w:w="4680"/>
          </w:tcPr>
          <w:p>
            <w:r>
              <w:rPr>
                <w:rFonts w:ascii="Cambria" w:hAnsi="Cambria"/>
              </w:rPr>
              <w:t>Send forth Your light and Your truth;</w:t>
              <w:br/>
              <w:t>they will lead me;</w:t>
              <w:br/>
              <w:t>they will bring me to Your holy mountain,</w:t>
              <w:br/>
              <w:t>to Your dwelling-place,</w:t>
            </w:r>
          </w:p>
        </w:tc>
      </w:tr>
      <w:tr>
        <w:tc>
          <w:tcPr>
            <w:tcW w:type="dxa" w:w="4680"/>
          </w:tcPr>
          <w:p>
            <w:r>
              <w:rPr>
                <w:b/>
                <w:sz w:val="24"/>
                <w:szCs w:val="24"/>
              </w:rPr>
              <w:t xml:space="preserve">4. </w:t>
            </w:r>
            <w:r>
              <w:rPr>
                <w:sz w:val="24"/>
                <w:rtl/>
                <w:szCs w:val="24"/>
              </w:rPr>
              <w:t>וְאָב֤וֹאָה ׀ אֶל־מִזְבַּ֬ח אֱלֹקִ֗ים אֶל־אֵל֮ שִׂמְחַ֢ת גִּ֫ילִ֥י וְאוֹדְךָ֥ בְכִנּ֗וֹר אֱלֹקִ֥ים אֱלֹקָֽי׃</w:t>
            </w:r>
          </w:p>
        </w:tc>
        <w:tc>
          <w:tcPr>
            <w:tcW w:type="dxa" w:w="4680"/>
          </w:tcPr>
          <w:p>
            <w:r>
              <w:rPr>
                <w:rFonts w:ascii="Cambria" w:hAnsi="Cambria"/>
              </w:rPr>
              <w:t>that I may come to the altar of God,</w:t>
              <w:br/>
              <w:t>God, my delight, my joy;</w:t>
              <w:br/>
              <w:t>that I may praise You with the lyre,</w:t>
              <w:br/>
              <w:t>O God, my God.</w:t>
            </w:r>
          </w:p>
        </w:tc>
      </w:tr>
      <w:tr>
        <w:tc>
          <w:tcPr>
            <w:tcW w:type="dxa" w:w="4680"/>
          </w:tcPr>
          <w:p>
            <w:r>
              <w:rPr>
                <w:b/>
                <w:sz w:val="24"/>
                <w:szCs w:val="24"/>
              </w:rPr>
              <w:t xml:space="preserve">5. </w:t>
            </w:r>
            <w:r>
              <w:rPr>
                <w:sz w:val="24"/>
                <w:rtl/>
                <w:szCs w:val="24"/>
              </w:rPr>
              <w:t>מַה־תִּשְׁתּ֬וֹחֲחִ֨י ׀ נַפְשִׁי֮ וּֽמַה־תֶּהֱמִ֢י עָ֫לָ֥י הוֹחִ֣ילִי לֵ֭אלֹקִים כִּי־ע֣וֹד אוֹדֶ֑נּוּ יְשׁוּעֹ֥ת פָּ֝נַ֗י וֵאלֹקָֽי׃ {פ}</w:t>
            </w:r>
          </w:p>
        </w:tc>
        <w:tc>
          <w:tcPr>
            <w:tcW w:type="dxa" w:w="4680"/>
          </w:tcPr>
          <w:p>
            <w:r>
              <w:rPr>
                <w:rFonts w:ascii="Cambria" w:hAnsi="Cambria"/>
              </w:rPr>
              <w:t>Why so downcast, my soul,</w:t>
              <w:br/>
              <w:t>why disquieted within me?</w:t>
              <w:br/>
              <w:t>Have hope in God;</w:t>
              <w:br/>
              <w:t>I will yet praise Him,</w:t>
              <w:br/>
              <w:t>my ever-present help, my God.</w:t>
            </w:r>
          </w:p>
        </w:tc>
      </w:tr>
    </w:tbl>
    <w:p/>
    <w:p>
      <w:r>
        <w:br w:type="page"/>
      </w:r>
    </w:p>
    <w:p>
      <w:pPr>
        <w:pStyle w:val="Heading2"/>
      </w:pPr>
      <w:r>
        <w:t>Introduction</w:t>
      </w:r>
    </w:p>
    <w:p>
      <w:pPr>
        <w:pStyle w:val="BodySans"/>
        <w:bidi w:val="0"/>
      </w:pPr>
      <w:r>
        <w:t xml:space="preserve">Psalm 43 is one of only two psalms in Book II of the Psalter — thirty-one psalms, from 42 to 72 — that carry no superscription. No "For the leader." No "A maskil of the Korahites" (a </w:t>
      </w:r>
      <w:r>
        <w:rPr>
          <w:i/>
        </w:rPr>
        <w:t>maskil</w:t>
      </w:r>
      <w:r>
        <w:t xml:space="preserve"> being a composition whose precise designation remains uncertain, possibly meaning "contemplation" or "skillful song"). Nothing. In a collection where nearly every other psalm has at least some heading, the silence is conspicuous. One simple explanation is also the most consequential: Psalm 43 may have no title because it was never meant to stand alone. It is the third and final stanza of a poem that begins at Psalm 42:2, where a deer pants at dry streambeds and a soul cries out for the living God. What we call "Psalm 43" is how that thirst gets answered.</w:t>
      </w:r>
    </w:p>
    <w:p>
      <w:pPr>
        <w:pStyle w:val="Heading3"/>
      </w:pPr>
      <w:r>
        <w:t>The Three-Act Architecture</w:t>
      </w:r>
    </w:p>
    <w:p>
      <w:pPr>
        <w:pStyle w:val="BodySans"/>
        <w:bidi w:val="0"/>
      </w:pPr>
      <w:r>
        <w:t>Read together, Psalms 42–43 form a single lament in three movements, each closed by the same refrain — a question the psalmist hurls at his own soul, followed by a command:</w:t>
      </w:r>
    </w:p>
    <w:p>
      <w:pPr>
        <w:pStyle w:val="BodySans"/>
        <w:ind w:left="720"/>
        <w:bidi w:val="0"/>
      </w:pPr>
      <w:r>
        <w:rPr>
          <w:rFonts w:ascii="Aptos" w:hAnsi="Aptos"/>
          <w:i/>
          <w:sz w:val="24"/>
        </w:rPr>
        <w:t>‭ישִׁפְנַ יחִחֲוֹתּשְׁתִּ המַ‬... הוֹחִילִי לֵאלֹקִים</w:t>
      </w:r>
    </w:p>
    <w:p>
      <w:pPr>
        <w:pStyle w:val="BodySans"/>
        <w:ind w:left="720"/>
        <w:bidi w:val="0"/>
      </w:pPr>
      <w:r>
        <w:rPr>
          <w:rFonts w:ascii="Aptos" w:hAnsi="Aptos"/>
          <w:i/>
          <w:sz w:val="24"/>
        </w:rPr>
        <w:t>"Why so downcast, my soul?... Have hope in God" (42:6, 42:12, 43:5)</w:t>
      </w:r>
    </w:p>
    <w:p>
      <w:pPr>
        <w:pStyle w:val="BodySans"/>
        <w:bidi w:val="0"/>
      </w:pPr>
      <w:r>
        <w:rPr>
          <w:b/>
          <w:i w:val="0"/>
        </w:rPr>
        <w:t>Stanza 1</w:t>
      </w:r>
      <w:r>
        <w:t xml:space="preserve"> ‭(42:2–6)‬: Thirst, tears, and the memory of festival processions. </w:t>
      </w:r>
      <w:r>
        <w:rPr>
          <w:b/>
          <w:i w:val="0"/>
        </w:rPr>
        <w:t>Stanza 2</w:t>
      </w:r>
      <w:r>
        <w:t xml:space="preserve"> ‭(42:7–12)‬: Geographic exile at the headwaters of the Jordan, cosmic overwhelm — ‭ארֵוֹק םוֹהתְּ לאֶ םוֹהתְּ‬, "deep calls to deep" ‭(42:8)‬ — and the repeated taunt: אַיֵּה אֱלֹקֶיךָ,‎ "Where is your God?" (42:4, 42:11). </w:t>
      </w:r>
      <w:r>
        <w:rPr>
          <w:b/>
          <w:i w:val="0"/>
        </w:rPr>
        <w:t>Stanza 3</w:t>
      </w:r>
      <w:r>
        <w:t xml:space="preserve"> ‭(43:1–5)‬: Juridical petition, divine emissaries dispatched as pilgrimage guides, and the imagined approach to the altar.</w:t>
      </w:r>
    </w:p>
    <w:p>
      <w:pPr>
        <w:pStyle w:val="BodySans"/>
        <w:bidi w:val="0"/>
      </w:pPr>
      <w:r>
        <w:t>The arc bends from animal thirst to cosmic drowning to guided ascent. The evidence for unity is cumulative and, to my mind, decisive. Beyond the missing superscription and the three-fold refrain, a complaint line appears almost verbatim in both stanzas 2 and 3:</w:t>
      </w:r>
    </w:p>
    <w:p>
      <w:pPr>
        <w:pStyle w:val="BodySans"/>
        <w:ind w:left="720"/>
        <w:bidi w:val="0"/>
      </w:pPr>
      <w:r>
        <w:rPr>
          <w:rFonts w:ascii="Aptos" w:hAnsi="Aptos"/>
          <w:i/>
          <w:sz w:val="24"/>
        </w:rPr>
        <w:t xml:space="preserve">Stanza 2: ‭ביֵוֹא ץחַלַבְּ ךְלֵאֵ רדֵקֹ המָּלָ ינִתָּחְכַשְׁ המָלָ‬, "Why have You </w:t>
      </w:r>
      <w:r>
        <w:rPr>
          <w:rFonts w:ascii="Aptos" w:hAnsi="Aptos"/>
          <w:i/>
          <w:sz w:val="24"/>
        </w:rPr>
        <w:t>forgotten</w:t>
      </w:r>
      <w:r>
        <w:rPr>
          <w:rFonts w:ascii="Aptos" w:hAnsi="Aptos"/>
          <w:i/>
          <w:sz w:val="24"/>
        </w:rPr>
        <w:t xml:space="preserve"> me? Why must I walk in gloom, oppressed by the enemy?" ‭(42:10)‬</w:t>
      </w:r>
    </w:p>
    <w:p>
      <w:pPr>
        <w:pStyle w:val="BodySans"/>
        <w:ind w:left="720"/>
        <w:bidi w:val="0"/>
      </w:pPr>
      <w:r>
        <w:rPr>
          <w:rFonts w:ascii="Aptos" w:hAnsi="Aptos"/>
          <w:i/>
          <w:sz w:val="24"/>
        </w:rPr>
        <w:t xml:space="preserve">Stanza 3: ‭ביֵוֹא ץחַלַבְּ ךְלֵּהַתְאֶ רדֵקֹ המָּלָ ינִתָּחְנַזְ המָלָ‬, "Why have You </w:t>
      </w:r>
      <w:r>
        <w:rPr>
          <w:rFonts w:ascii="Aptos" w:hAnsi="Aptos"/>
          <w:i/>
          <w:sz w:val="24"/>
        </w:rPr>
        <w:t>rejected</w:t>
      </w:r>
      <w:r>
        <w:rPr>
          <w:rFonts w:ascii="Aptos" w:hAnsi="Aptos"/>
          <w:i/>
          <w:sz w:val="24"/>
        </w:rPr>
        <w:t xml:space="preserve"> me? Why must I walk in gloom, oppressed by the enemy?" ‭(43:2)‬</w:t>
      </w:r>
    </w:p>
    <w:p>
      <w:pPr>
        <w:pStyle w:val="BodySans"/>
        <w:bidi w:val="0"/>
      </w:pPr>
      <w:r>
        <w:t>The change is surgical. שְׁכַחְתָּנִי,‎ "You have forgotten me," becomes זְנַחְתָּנִי,‎ "You have rejected me" — an escalation from neglect to active repudiation. And the simple אֵלֵךְ,‎ "I walk," intensifies to the reflexive אֶתְהַלֵּךְ,‎ "I walk about habitually," a form suggesting chronic wandering rather than a single dark journey. The poet is not repeating himself. He is tightening the screw.‏</w:t>
      </w:r>
    </w:p>
    <w:p>
      <w:pPr>
        <w:pStyle w:val="BodySans"/>
        <w:bidi w:val="0"/>
      </w:pPr>
      <w:r>
        <w:t>Meiri (1249–1316) saw it plainly:</w:t>
      </w:r>
    </w:p>
    <w:p>
      <w:pPr>
        <w:pStyle w:val="BodySans"/>
        <w:bidi w:val="1"/>
        <w:ind w:left="432" w:right="432"/>
        <w:jc w:val="right"/>
      </w:pPr>
      <w:r>
        <w:rPr>
          <w:rFonts w:ascii="Times New Roman" w:hAnsi="Times New Roman" w:cs="Times New Roman"/>
          <w:sz w:val="26"/>
          <w:szCs w:val="26"/>
        </w:rPr>
        <w:t>מזמור קטן נמשך לזה כאלו הוא דבר אחד</w:t>
      </w:r>
    </w:p>
    <w:p>
      <w:pPr>
        <w:pStyle w:val="BodySans"/>
        <w:bidi w:val="0"/>
      </w:pPr>
      <w:r>
        <w:t>"a small psalm continuous with the preceding one, as if it were a single thing." And Radak observes that the refrain in 43:5 can resume the address to the soul — ‭ישִׁפְנַ יחִחֲוֹתּשְׁתִּ המַ‬, "Why so downcast, my soul?" — without reintroducing the dialogue beforehand, because the earlier stanzas already established it.‏</w:t>
      </w:r>
    </w:p>
    <w:p>
      <w:pPr>
        <w:pStyle w:val="Heading3"/>
      </w:pPr>
      <w:r>
        <w:t>What the Third Stanza Does</w:t>
      </w:r>
    </w:p>
    <w:p>
      <w:pPr>
        <w:pStyle w:val="BodySans"/>
        <w:bidi w:val="0"/>
      </w:pPr>
      <w:r>
        <w:t>Psalm 43 does not simply extend the complaint. It turns it. The first two stanzas named the wound; the third prescribes the cure — and the cure has a structure so precise it reveals a poet thinking architecturally.</w:t>
      </w:r>
    </w:p>
    <w:p>
      <w:pPr>
        <w:pStyle w:val="BodySans"/>
        <w:bidi w:val="0"/>
      </w:pPr>
      <w:r>
        <w:t>Start with the opening verb. שָׁפְטֵנִי אֱלֹקִים,‎ "Vindicate me, O God" ‭(43:1)‬, is not the typical lament opening. Other psalmic cries begin with חָנֵּנִי,‎ "be gracious to me" (Ps 4:2), or הוֹשִׁיעֵנִי,‎ "save me" (Ps 69:2). To say שָׁפְטֵנִי — literally, "judge me" — is to invite scrutiny and expect acquittal. It is a forensic maneuver within a devotional prayer, not merely a generic cry for help. Then, characterizing the enemy by מִרְמָה ("deceit," 43:1), and the psalmist's condition as קֹדֵר ("gloom," 43:2), the poet asks God to send the antidote: אוֹרְךָ וַאֲמִתְּךָ,‎ "Your light and Your truth" ‭(43:3)‬. Ibn Ezra, with his usual concision, caught the correspondence: שלח אורך — ‭ךלהתא רדוק דגנכ‬. ואמתך — ‭המרמ שיאמ דגנכ‬ — "Send Your light — against 'I walk in darkness.' And Your truth — against 'the man of deceit.'" What Ibn Ezra did not note is the inversion. The pairing is chiastic (a crossing pattern in which elements appear in reversed order):‏</w:t>
      </w:r>
    </w:p>
    <w:p>
      <w:pPr>
        <w:pStyle w:val="BodySans"/>
        <w:ind w:left="720"/>
        <w:bidi w:val="0"/>
      </w:pPr>
      <w:r>
        <w:rPr>
          <w:rFonts w:ascii="Aptos" w:hAnsi="Aptos"/>
          <w:b/>
          <w:i/>
          <w:sz w:val="24"/>
        </w:rPr>
        <w:t>A</w:t>
      </w:r>
      <w:r>
        <w:rPr>
          <w:rFonts w:ascii="Aptos" w:hAnsi="Aptos"/>
          <w:i/>
          <w:sz w:val="24"/>
        </w:rPr>
        <w:t xml:space="preserve"> — מִרְמָה,‎ deceit (v. 1) / </w:t>
      </w:r>
      <w:r>
        <w:rPr>
          <w:rFonts w:ascii="Aptos" w:hAnsi="Aptos"/>
          <w:b/>
          <w:i/>
          <w:sz w:val="24"/>
        </w:rPr>
        <w:t>B</w:t>
      </w:r>
      <w:r>
        <w:rPr>
          <w:rFonts w:ascii="Aptos" w:hAnsi="Aptos"/>
          <w:i/>
          <w:sz w:val="24"/>
        </w:rPr>
        <w:t xml:space="preserve"> — קֹדֵר,‎ darkness (v. 2)</w:t>
      </w:r>
    </w:p>
    <w:p>
      <w:pPr>
        <w:pStyle w:val="BodySans"/>
        <w:ind w:left="720"/>
        <w:bidi w:val="0"/>
      </w:pPr>
      <w:r>
        <w:rPr>
          <w:rFonts w:ascii="Aptos" w:hAnsi="Aptos"/>
          <w:b/>
          <w:i/>
          <w:sz w:val="24"/>
        </w:rPr>
        <w:t>B'</w:t>
      </w:r>
      <w:r>
        <w:rPr>
          <w:rFonts w:ascii="Aptos" w:hAnsi="Aptos"/>
          <w:i/>
          <w:sz w:val="24"/>
        </w:rPr>
        <w:t xml:space="preserve"> — אוֹר,‎ light (v. 3) / </w:t>
      </w:r>
      <w:r>
        <w:rPr>
          <w:rFonts w:ascii="Aptos" w:hAnsi="Aptos"/>
          <w:b/>
          <w:i/>
          <w:sz w:val="24"/>
        </w:rPr>
        <w:t>A'</w:t>
      </w:r>
      <w:r>
        <w:rPr>
          <w:rFonts w:ascii="Aptos" w:hAnsi="Aptos"/>
          <w:i/>
          <w:sz w:val="24"/>
        </w:rPr>
        <w:t xml:space="preserve"> — אֶמֶת,‎ truth (v. 3)</w:t>
      </w:r>
    </w:p>
    <w:p>
      <w:pPr>
        <w:pStyle w:val="BodySans"/>
        <w:bidi w:val="0"/>
      </w:pPr>
      <w:r>
        <w:t>Light answers darkness; truth answers deceit. The chiasm implies that the moral and the experiential are intertwined: dishonesty and disorientation belong together. The cure must address both, and in verse 3 it arrives as a pair of dispatched agents — אוֹר and אֶמֶת promoted to independent escorts by the emphatic pronoun הֵמָּה ("they"), a word grammatically unnecessary (the verb יַנְחוּנִי,‎ "they will guide me," already marks a plural subject) but poetically essential. It is not merely "they will guide me" but "</w:t>
      </w:r>
      <w:r>
        <w:rPr>
          <w:i/>
        </w:rPr>
        <w:t>they themselves</w:t>
      </w:r>
      <w:r>
        <w:t xml:space="preserve"> — light and truth, not anything else."</w:t>
      </w:r>
    </w:p>
    <w:p>
      <w:pPr>
        <w:pStyle w:val="BodySans"/>
        <w:bidi w:val="0"/>
      </w:pPr>
      <w:r>
        <w:t xml:space="preserve">Where do they lead? Through a narrowing approach marked by four אֶל prepositions: הַר קׇדְשְׁךָ,‎ "Your holy mountain" → מִשְׁכְּנוֹתֶיךָ,‎ "Your dwelling places" → מִזְבַּח אֱלֹקִים,‎ "the altar of God" → ‭ילִיגִּ תחַמְשִׂ לקֵ‬, "God, my utmost delight" ‭(43:3–4)‬. Landscape narrows to architecture, architecture to cultic furniture, furniture to the divine presence itself. And only here does the psalmist become the subject of a purposeful motion toward God — וְאָבוֹאָה,‎ "that I may come" (a cohortative, a Hebrew verb form expressing resolved will). Earlier he can only say אֶתְהַלֵּךְ,‎ "I walk about in gloom"; elsewhere in verses 1–3 he is the object of every other verb: vindicate </w:t>
      </w:r>
      <w:r>
        <w:rPr>
          <w:i/>
        </w:rPr>
        <w:t>me</w:t>
      </w:r>
      <w:r>
        <w:t xml:space="preserve">, rescue </w:t>
      </w:r>
      <w:r>
        <w:rPr>
          <w:i/>
        </w:rPr>
        <w:t>me</w:t>
      </w:r>
      <w:r>
        <w:t xml:space="preserve">, You rejected </w:t>
      </w:r>
      <w:r>
        <w:rPr>
          <w:i/>
        </w:rPr>
        <w:t>me</w:t>
      </w:r>
      <w:r>
        <w:t xml:space="preserve">, they will guide </w:t>
      </w:r>
      <w:r>
        <w:rPr>
          <w:i/>
        </w:rPr>
        <w:t>me</w:t>
      </w:r>
      <w:r>
        <w:t xml:space="preserve">, bring </w:t>
      </w:r>
      <w:r>
        <w:rPr>
          <w:i/>
        </w:rPr>
        <w:t>me</w:t>
      </w:r>
      <w:r>
        <w:t>. Directed agency awakens only after the escort arrives.</w:t>
      </w:r>
    </w:p>
    <w:p>
      <w:pPr>
        <w:pStyle w:val="BodySans"/>
        <w:bidi w:val="0"/>
      </w:pPr>
      <w:r>
        <w:t>This answers the desperate question posed earlier in the poem: ‭םיקִלֹאֱ ינֵפְּ האֶרָאֵוְ אוֹבאָ יתַמָ‬, "When will I come and appear before the face of God?" ‭(42:3)‬. Same verb — בוא,‎ "come." First as anguished question; finally as willed arrival. You cannot hear the answer without the question.‏</w:t>
      </w:r>
    </w:p>
    <w:p>
      <w:pPr>
        <w:pStyle w:val="Heading3"/>
      </w:pPr>
      <w:r>
        <w:t>Why the Split?</w:t>
      </w:r>
    </w:p>
    <w:p>
      <w:pPr>
        <w:pStyle w:val="BodySans"/>
        <w:bidi w:val="0"/>
      </w:pPr>
      <w:r>
        <w:t xml:space="preserve">If the poem is a unit, why divide it? The refrain at 42:12 sounds terminal — closing with the strong formula ‭יקָלֹאוֵ ינַפָּ תעֹוּשׁיְ‬, "my ever-present help, my God" — and the Masoretic Text (the standard Hebrew text, abbreviated MT) marks it with a פ,‎ a paragraph break. A cantor looking for a stopping point would stop here. Psalm 43's forensic opening, meanwhile, gives it a self-contained arc — petition, complaint, guided approach, praise, self-exhortation — that functions as an independent prayer of approach. The Catholic tradition recognized this, making the psalm (known in Latin as the </w:t>
      </w:r>
      <w:r>
        <w:rPr>
          <w:i/>
        </w:rPr>
        <w:t>Judica me</w:t>
      </w:r>
      <w:r>
        <w:t>, "Judge me") the priest's prayer at the foot of the altar for over a millennium. In Jewish liturgy, the midnight Tikkun Chatzot service preserves the memory of unity: Psalms 42 and 43 are recited sequentially, restoring the original whole.</w:t>
      </w:r>
    </w:p>
    <w:p>
      <w:pPr>
        <w:pStyle w:val="BodySans"/>
        <w:bidi w:val="0"/>
      </w:pPr>
      <w:r>
        <w:t xml:space="preserve">The refrain itself may encode a reason for the split. At 42:6, it closes with יְשׁוּעוֹת פָּנָיו,‎ "salvations of </w:t>
      </w:r>
      <w:r>
        <w:rPr>
          <w:i/>
        </w:rPr>
        <w:t>His</w:t>
      </w:r>
      <w:r>
        <w:t xml:space="preserve"> face" — God's face. At 42:12 and 43:5, it reads יְשׁוּעֹת פָּנַי,‎ "salvations of </w:t>
      </w:r>
      <w:r>
        <w:rPr>
          <w:i/>
        </w:rPr>
        <w:t>my</w:t>
      </w:r>
      <w:r>
        <w:t xml:space="preserve"> face" — the psalmist's. If this variation is deliberate, salvation begins as something belonging to God's turned countenance and ends as something visible on the worshiper's own. Separating the psalms precisely at the moment this shift occurs gives each half its own ending and its own "face."</w:t>
      </w:r>
    </w:p>
    <w:p>
      <w:pPr>
        <w:pStyle w:val="BodySans"/>
        <w:bidi w:val="0"/>
      </w:pPr>
      <w:r>
        <w:t xml:space="preserve">But the poem's deepest claim emerges only in the composite reading. Across seventeen verses, the psalmist never walks to God under his own power. He is </w:t>
      </w:r>
      <w:r>
        <w:rPr>
          <w:i/>
        </w:rPr>
        <w:t>brought</w:t>
      </w:r>
      <w:r>
        <w:t>. The deer pants, the deep roars, the soul sinks — and then light and truth arrive, dispatched from elsewhere, to close the distance between exile and altar. Hope, here, is not a feeling the worshiper summons. It is a command the self issues to the soul — and then waits, downcast, for the escort to arrive.</w:t>
      </w:r>
    </w:p>
    <w:p>
      <w:pPr>
        <w:pStyle w:val="Heading2"/>
      </w:pPr>
      <w:r>
        <w:t>Modern Jewish Liturgical Use</w:t>
      </w:r>
    </w:p>
    <w:p>
      <w:pPr>
        <w:pStyle w:val="Heading4"/>
      </w:pPr>
      <w:r>
        <w:t>Full Psalm</w:t>
      </w:r>
    </w:p>
    <w:p>
      <w:pPr>
        <w:pStyle w:val="BodySans"/>
        <w:bidi w:val="0"/>
      </w:pPr>
      <w:r>
        <w:t>Psalm 43 receives its most complete liturgical treatment in the Tikkun Chatzot ("Midnight Rectification"), specifically within the Tikkun Leah section, as practiced primarily in Edot HaMizrach (Sephardic and Mizrachi) communities. There, all five verses are recited immediately following Psalm 42, restoring the compositional unity the canonical numbering obscures. This midnight service, performed by individuals or small groups on ordinary weeknights (and curtailed on Sabbaths and festivals, when public mourning is inappropriate), mourns the Temple's destruction and the exile of the Divine Presence. The psalmist's plea ‭ינִוּחנְיַ המָּהֵ ךָתְּמִאֲוַ ךָרְוֹא חלַשְׁ‬, "Send Your light and Your truth; they will lead me" ‭(43:3)‬, becomes in this setting not merely a personal petition but an eschatological prayer for Israel's return — the individual voice carrying the collective hope.‏</w:t>
      </w:r>
    </w:p>
    <w:p>
      <w:pPr>
        <w:pStyle w:val="Heading4"/>
      </w:pPr>
      <w:r>
        <w:t>Key Verses and Phrases</w:t>
      </w:r>
    </w:p>
    <w:p>
      <w:pPr>
        <w:pStyle w:val="BodySans"/>
        <w:bidi w:val="0"/>
      </w:pPr>
      <w:r>
        <w:t>The opening petition ‭יבִירִ הבָירִוְ םיקִלֹאֱ ינִטֵפְשָׁ‬, "Vindicate me, O God, champion my cause" ‭(43:1)‬, enters the classical Ashkenazi Yom Kippur Shacharit (morning service) Amidah as a woven citation within the fourth blessing (Kedushat HaYom). There it is embedded in a penitential piyyut (liturgical poem) lamenting persecution: ‭םידִזֵ קשֶׁעֽמֵ ךָיתִארָקְ‬... ‭יבִירִ הבָירִוְ םיקִלֹאֱ ינִטֵפְשָׁ‬, "I called to You from the oppression of the arrogant... Vindicate me, O God, champion my cause." On the day when God sits as Judge of all the earth, the liturgy borrows the psalmist's audacious demand to be judged — but places it alongside confessional language (חָטָאנוּ,‎ "we have sinned"), creating a deliberate tension: the community that confesses guilt simultaneously asks the Judge to become its advocate.‏</w:t>
      </w:r>
    </w:p>
    <w:p>
      <w:pPr>
        <w:pStyle w:val="BodySans"/>
        <w:bidi w:val="0"/>
      </w:pPr>
      <w:r>
        <w:t>The phrase ‭ךָתְּמִאֲוַ ךָרְוֹא חלַשְׁ‬, "Send Your light and Your truth" ‭(43:3)‬, has entered modern liturgy through the Prayer for the State of Israel ‭(הנָידִמְּהַ םוֹלשְׁלִ הלָּפִתְּ)‬, recited in Ashkenazi congregations during the Shabbat and Festival Torah service. The prayer adapts the psalmist's personal plea into a national one:‏</w:t>
      </w:r>
    </w:p>
    <w:p>
      <w:pPr>
        <w:pStyle w:val="BodySans"/>
        <w:bidi w:val="1"/>
        <w:ind w:left="432" w:right="432"/>
        <w:jc w:val="right"/>
      </w:pPr>
      <w:r>
        <w:rPr>
          <w:rFonts w:ascii="Times New Roman" w:hAnsi="Times New Roman" w:cs="Times New Roman"/>
          <w:sz w:val="26"/>
          <w:szCs w:val="26"/>
        </w:rPr>
        <w:t>וּשְׁלַח אוֹרְךָ וַאֲמִתְּךָ לְרָאשֶׁיהָ שָׂרֶיהָ וְיוֹעֲצֶיהָ</w:t>
      </w:r>
    </w:p>
    <w:p>
      <w:pPr>
        <w:pStyle w:val="BodySans"/>
        <w:bidi w:val="0"/>
      </w:pPr>
      <w:r>
        <w:t>"Send Your light and Your truth to her leaders, ministers, and counselors." The psalm's interior pilgrimage becomes a civic supplication — the most public possible reuse of one of the Psalter's most private prayers.</w:t>
      </w:r>
    </w:p>
    <w:p>
      <w:pPr>
        <w:pStyle w:val="BodySans"/>
        <w:bidi w:val="0"/>
      </w:pPr>
      <w:r>
        <w:t>In Edot HaMizrach Yom Kippur rites, the fuller phrase ‭ינִוּחנְיַ המָּהֵ ךָתְּמִאֲוַ ךָרְוֹא חלַשְׁ‬, "Send Your light and Your truth; they will lead me" ‭(43:3)‬, appears within the piyyut cluster surrounding the morning's Pesukei deZimra, framed by the supplication: בְּקָרְאִי עֲנֵנִי... ‭ינִוּחנְיַ המָּהֵ ךָתְּמִאֲוַ ךָרְוֹא חלַשְׁ‬, "When I call, answer me... Send Your light and Your truth; they will lead me." The psalmist's yearning for guidance to God's holy mountain becomes guidance through the ordeal of judgment and confession that defines Yom Kippur morning.‏</w:t>
      </w:r>
    </w:p>
    <w:p>
      <w:pPr>
        <w:pStyle w:val="BodySans"/>
        <w:bidi w:val="0"/>
      </w:pPr>
      <w:r>
        <w:t>The shared refrain — ‭ישִׁפְנַ יחִחֲוֹתּשְׁתִּ המַ‬... הוֹחִילִי לֵאלֹקִים,‎ "Why so downcast, my soul?... Have hope in God" — appears within Edot HaMizrach rites during the Sukkot Musaf (additional) service, where Psalm 42 is designated as a festival psalm and the refrain sounds as the congregation's valedictory word before the day's rejoicing resumes. On a festival defined by both joy and the fragility of the temporary booth, the self-address to a "downcast soul" fits the season's own oscillation between gratitude and exposure.‏</w:t>
      </w:r>
    </w:p>
    <w:p>
      <w:pPr>
        <w:pStyle w:val="Heading2"/>
      </w:pPr>
      <w:r>
        <w:t>Verse-by-Verse Commentary</w:t>
      </w:r>
    </w:p>
    <w:p>
      <w:pPr>
        <w:pStyle w:val="Heading3"/>
      </w:pPr>
      <w:r>
        <w:t>Verse 1</w:t>
      </w:r>
    </w:p>
    <w:p>
      <w:pPr>
        <w:pStyle w:val="BodySans"/>
        <w:bidi w:val="0"/>
      </w:pPr>
      <w:r>
        <w:rPr>
          <w:b w:val="0"/>
          <w:i w:val="0"/>
        </w:rPr>
        <w:t>‭׃ינִטֵלְּפַתְ הלָוְעַוְ המָרְמִ שׁיאִמֵ ;דיסִחָ אלֹ יוֹגּמִ ;יבִירִ הבָירִוְ םיקִלֹאֱ ינִטֵפְשׇׁ‬</w:t>
      </w:r>
    </w:p>
    <w:p>
      <w:pPr>
        <w:pStyle w:val="BodySans"/>
        <w:bidi w:val="0"/>
      </w:pPr>
      <w:r>
        <w:rPr>
          <w:b w:val="0"/>
          <w:i w:val="0"/>
        </w:rPr>
        <w:t xml:space="preserve">The opening verb establishes a register no translation fully captures. English renders שָׁפְטֵנִי as "vindicate me" or "judge me" — the first too narrow, the second too neutral. The Hebrew carries the full weight of both: the psalmist invites the divine tribunal and expects acquittal. Among the Psalter's lament openings — חָנֵּנִי,‎ "be gracious to me" (Ps 4:2); הוֹשִׁיעֵנִי,‎ "save me" (Ps 69:2) — this one presumes innocence, not guilt. It is an act of extraordinary theological confidence: the petitioner wants the case </w:t>
      </w:r>
      <w:r>
        <w:rPr>
          <w:b w:val="0"/>
          <w:i/>
        </w:rPr>
        <w:t>heard</w:t>
      </w:r>
      <w:r>
        <w:rPr>
          <w:b w:val="0"/>
          <w:i w:val="0"/>
        </w:rPr>
        <w:t>.</w:t>
      </w:r>
    </w:p>
    <w:p>
      <w:pPr>
        <w:pStyle w:val="BodySans"/>
        <w:bidi w:val="0"/>
      </w:pPr>
      <w:r>
        <w:rPr>
          <w:b w:val="0"/>
          <w:i w:val="0"/>
        </w:rPr>
        <w:t xml:space="preserve">The next petition intensifies through a construction invisible in translation: וְרִיבָה רִיבִי,‎ "plead my plea." This is a cognate accusative (a verb paired with a noun from the same root), functioning as a totality idiom — not merely "argue for me" but "take over my </w:t>
      </w:r>
      <w:r>
        <w:rPr>
          <w:b w:val="0"/>
          <w:i/>
        </w:rPr>
        <w:t>entire</w:t>
      </w:r>
      <w:r>
        <w:rPr>
          <w:b w:val="0"/>
          <w:i w:val="0"/>
        </w:rPr>
        <w:t xml:space="preserve"> case." Psalm 35:1 deploys the same courtroom root: רִיבָה ה' אֶת יְרִיבַי,‎ "Contend, YHWH, with those who contend with me." And Proverbs 23:11 applies it to the divine kinsman-redeemer: ‭ךְתָּאִ םבָירִ תאֶ בירִיָ אוּה‬, "He will plead their cause against you." The grammar transfers ownership. God is no longer an impartial judge; He is lead counsel.‏</w:t>
      </w:r>
    </w:p>
    <w:p>
      <w:pPr>
        <w:pStyle w:val="BodySans"/>
        <w:bidi w:val="0"/>
      </w:pPr>
      <w:r>
        <w:rPr>
          <w:b w:val="0"/>
          <w:i w:val="0"/>
        </w:rPr>
        <w:t xml:space="preserve">The enemy's identity is deliberately unstable: simultaneously collective — ‭דיסִחָ אלֹ יוֹגּמִ‬, "against a nation devoid of </w:t>
      </w:r>
      <w:r>
        <w:rPr>
          <w:b w:val="0"/>
          <w:i/>
        </w:rPr>
        <w:t>chesed</w:t>
      </w:r>
      <w:r>
        <w:rPr>
          <w:b w:val="0"/>
          <w:i w:val="0"/>
        </w:rPr>
        <w:t xml:space="preserve">" (covenantal loyalty, the Hebrew Bible's term for the faithfulness that sustains relationships) — and individual: ‭הלָוְעַוְ המָרְמִ שׁיאִמֵ‬, "from a man of deceit and injustice." Ibn Ezra reads the shift as rhetorical telescoping, מכלל ומפרט,‎ "from the general to the particular" — the singular may denote the nation's ruler. Radak identifies the nation as the Babylonians: ‭יב םילשומש םיילבב‬, "the Babylonians who rule over me," and adds a theological observation: their defining quality is not that they are wicked but that they are not </w:t>
      </w:r>
      <w:r>
        <w:rPr>
          <w:b w:val="0"/>
          <w:i/>
        </w:rPr>
        <w:t>chasid</w:t>
      </w:r>
      <w:r>
        <w:rPr>
          <w:b w:val="0"/>
          <w:i w:val="0"/>
        </w:rPr>
        <w:t xml:space="preserve"> — they lack the covenantal loyalty that the psalmist wants from God. The negation is precise. Not "evil people" but "a people without </w:t>
      </w:r>
      <w:r>
        <w:rPr>
          <w:b w:val="0"/>
          <w:i/>
        </w:rPr>
        <w:t>chesed</w:t>
      </w:r>
      <w:r>
        <w:rPr>
          <w:b w:val="0"/>
          <w:i w:val="0"/>
        </w:rPr>
        <w:t>."</w:t>
      </w:r>
    </w:p>
    <w:p>
      <w:pPr>
        <w:pStyle w:val="BodySans"/>
        <w:bidi w:val="0"/>
      </w:pPr>
      <w:r>
        <w:rPr>
          <w:b w:val="0"/>
          <w:i w:val="0"/>
        </w:rPr>
        <w:t>The three verbal requests escalate — שָׁפְטֵנִי (vindicate me, judicially), רִיבָה (champion my cause, forensically), תְפַלְּטֵנִי (rescue me, physically). The verb sequence moves from courtroom to battlefield. And the final verb, תְפַלְּטֵנִי,‎ "pull me free," asks not for general help but for extraction from danger.‏</w:t>
      </w:r>
    </w:p>
    <w:p>
      <w:pPr>
        <w:pStyle w:val="BodySans"/>
        <w:bidi w:val="0"/>
      </w:pPr>
      <w:r>
        <w:rPr>
          <w:b w:val="0"/>
          <w:i w:val="0"/>
        </w:rPr>
        <w:t xml:space="preserve">Kafka opens </w:t>
      </w:r>
      <w:r>
        <w:rPr>
          <w:b w:val="0"/>
          <w:i/>
        </w:rPr>
        <w:t>Der Proceß</w:t>
      </w:r>
      <w:r>
        <w:rPr>
          <w:b w:val="0"/>
          <w:i w:val="0"/>
        </w:rPr>
        <w:t xml:space="preserve"> with an uncanny mirror: </w:t>
      </w:r>
      <w:r>
        <w:rPr>
          <w:b w:val="0"/>
          <w:i/>
        </w:rPr>
        <w:t>Jemand mußte Josef K. verleumdet haben, denn ohne daß er etwas Böses getan hätte, wurde er eines Morgens verhaftet</w:t>
      </w:r>
      <w:r>
        <w:rPr>
          <w:b w:val="0"/>
          <w:i w:val="0"/>
        </w:rPr>
        <w:t xml:space="preserve"> — "Someone must have slandered Josef K., for one morning, without having done anything wrong, he was arrested." Both the psalmist and Kafka's protagonist face accusation by deceivers and assert innocence. The difference is the court: the psalmist trusts that the divine judge will sit. Kafka's novel reveals a system in which judgment is perpetually deferred, and the accused never confronts his accuser.</w:t>
      </w:r>
    </w:p>
    <w:p>
      <w:pPr>
        <w:pStyle w:val="Heading3"/>
      </w:pPr>
      <w:r>
        <w:t>Verse 2</w:t>
      </w:r>
    </w:p>
    <w:p>
      <w:pPr>
        <w:pStyle w:val="BodySans"/>
        <w:bidi w:val="0"/>
      </w:pPr>
      <w:r>
        <w:rPr>
          <w:b w:val="0"/>
          <w:i w:val="0"/>
        </w:rPr>
        <w:t>‭׃ביֵוֹא ץחַלַבְּ ךְלֵּהַתְאֶ רדֵקֹ המָּלָ ;ינִתָּחְנַזְ המָלָ ;יזִּוּעמָ יקֵלֹאֱ התָּאַ יכִּ‬</w:t>
      </w:r>
    </w:p>
    <w:p>
      <w:pPr>
        <w:pStyle w:val="BodySans"/>
        <w:bidi w:val="0"/>
      </w:pPr>
      <w:r>
        <w:rPr>
          <w:b w:val="0"/>
          <w:i w:val="0"/>
        </w:rPr>
        <w:t xml:space="preserve">The particle כִּי that opens the verse is the psalm's hinge, and its force is contested. Read causally ("for You are my stronghold"), it grounds the petition in relationship — I can ask You to judge because You are my God. Read concessively ("though You are my stronghold"), it introduces paradox — You are my refuge, </w:t>
      </w:r>
      <w:r>
        <w:rPr>
          <w:b w:val="0"/>
          <w:i/>
        </w:rPr>
        <w:t>and yet</w:t>
      </w:r>
      <w:r>
        <w:rPr>
          <w:b w:val="0"/>
          <w:i w:val="0"/>
        </w:rPr>
        <w:t xml:space="preserve"> You have expelled me. The concessive reading is more powerful, because what follows is an accusation: God is named as אֱלֹקֵי מָעוּזִּי,‎ "God of my stronghold" — literally the fortified enclosure one enters for protection — and then immediately accused of rejection. Other psalms use fortress language too: Psalm 62:3 declares God my מִשְׂגָּב,‎ "haven," and concludes לֹא אֶמּוֹט,‎ "I shall not be shaken." Psalm 31:4 pairs סַלְעִי ("my rock") and מְצוּדָתִי ("my fortress") and asks to be </w:t>
      </w:r>
      <w:r>
        <w:rPr>
          <w:b w:val="0"/>
          <w:i/>
        </w:rPr>
        <w:t>led</w:t>
      </w:r>
      <w:r>
        <w:rPr>
          <w:b w:val="0"/>
          <w:i w:val="0"/>
        </w:rPr>
        <w:t>: תַּנְחֵנִי וּתְנַהֲלֵנִי,‎ "lead me and guide me." In those psalms the fortress holds. In Psalm 43, the fortress has thrown out its occupant.‏</w:t>
      </w:r>
    </w:p>
    <w:p>
      <w:pPr>
        <w:pStyle w:val="BodySans"/>
        <w:bidi w:val="0"/>
      </w:pPr>
      <w:r>
        <w:rPr>
          <w:b w:val="0"/>
          <w:i w:val="0"/>
        </w:rPr>
        <w:t>Malbim draws a careful distinction between this verse and its near-twin at 42:10. There, the psalmist accuses God of שׁכח — forgetting entirely. Here, the accusation is זנח — rejection for the moment. As Malbim puts it: שם... שכח לגמרי... פה... ‭העש יפל חנז‬, "There, He forgot entirely... Here, He rejected temporarily." The root זנח clusters in the Psalter's darkest poems: Psalms 44:10, 60:3, 74:1, 88:15 — all contexts of communal catastrophe. The psalmist borrows the language of national disaster for personal distress, or, more likely, the personal voice carries the national weight.‏</w:t>
      </w:r>
    </w:p>
    <w:p>
      <w:pPr>
        <w:pStyle w:val="BodySans"/>
        <w:bidi w:val="0"/>
      </w:pPr>
      <w:r>
        <w:rPr>
          <w:b w:val="0"/>
          <w:i w:val="0"/>
        </w:rPr>
        <w:t>The double לָמָה ("why... why") creates an anguished anaphora (repeated opening) aimed entirely Godward: the first question is theological — why did You reject me? — and the second experiential — why must I walk in darkness? This double interrogative will be answered by the double מַה in verse 5, but redirected: the same pattern of doubled questioning, shifted from God-directed complaint to self-directed rebuke.‏</w:t>
      </w:r>
    </w:p>
    <w:p>
      <w:pPr>
        <w:pStyle w:val="BodySans"/>
        <w:bidi w:val="0"/>
      </w:pPr>
      <w:r>
        <w:rPr>
          <w:b w:val="0"/>
          <w:i w:val="0"/>
        </w:rPr>
        <w:t>The image of suffering is physical: קֹדֵר אֶתְהַלֵּךְ,‎ "I walk about in gloom." The participle קֹדֵר suggests not merely sadness but a visible state — darkened, soiled, associated with mourning dress (cf. Job 30:28: ‭המָּחַ אלֹבְּ יתִּכְלַּהִ רדֵקֹ‬, "I walked about blackened, but not by the sun"). Gerard Manley Hopkins captured this tactile quality: "I wake and feel the fell of dark, not day" — where "fell" puns on "fierce" and "animal hide," making darkness something worn on the body. The psalmist's קֹדֵר has the same sensory weight. This is not metaphorical sadness. It is a condition you could see across a room.‏</w:t>
      </w:r>
    </w:p>
    <w:p>
      <w:pPr>
        <w:pStyle w:val="Heading3"/>
      </w:pPr>
      <w:r>
        <w:t>Verse 3</w:t>
      </w:r>
    </w:p>
    <w:p>
      <w:pPr>
        <w:pStyle w:val="BodySans"/>
        <w:bidi w:val="0"/>
      </w:pPr>
      <w:r>
        <w:rPr>
          <w:b w:val="0"/>
          <w:i w:val="0"/>
        </w:rPr>
        <w:t>‭׃ךָיתֶוֹנכְּשְׁמִ לאֶוְ ךָשְׁדְקׇ רהַ לאֶ ינִוּאיבִיְ ;ינִוּחנְיַ המָּהֵ ;ךָתְּמִאֲוַ ךָרְוֹא חלַשְׁ‬</w:t>
      </w:r>
    </w:p>
    <w:p>
      <w:pPr>
        <w:pStyle w:val="BodySans"/>
        <w:bidi w:val="0"/>
      </w:pPr>
      <w:r>
        <w:rPr>
          <w:b w:val="0"/>
          <w:i w:val="0"/>
        </w:rPr>
        <w:t>This is the poem's structural pivot — a single imperative, שְׁלַח ("send!"), launching the entire reversal. The verb normally takes concrete objects: messengers, armies, delegations (Genesis 32:4: שָׁלַח מַלְאָכִים,‎ "he sent messengers"). To use it of abstract divine attributes is to personify them — a move Rashi takes to its logical conclusion, identifying אוֹר as the King Messiah (based on Psalm 132:17: ‭יחִישִׁמְלִ רנֵ יתִּכְרַעָ‬, "I have set up a lamp for My anointed") and אֶמֶת as Elijah the prophet, ‭ןמָאֱנֶ איבִנָ יתִּמִאֲ אוּהשֶׁ‬, "who is a true, faithful prophet." Whether or not one accepts the messianic identification, Rashi captured something essential: for him, light and truth are not abstractions but persons.‏</w:t>
      </w:r>
    </w:p>
    <w:p>
      <w:pPr>
        <w:pStyle w:val="BodySans"/>
        <w:bidi w:val="0"/>
      </w:pPr>
      <w:r>
        <w:rPr>
          <w:b w:val="0"/>
          <w:i w:val="0"/>
        </w:rPr>
        <w:t>Behind the pairing may lie an older cultic memory. The Urim and Thummim ‭(םימִּתֻוְ םירִוּא)‬, the priestly oracle objects placed in the breastpiece of judgment (Exodus 28:30:‏</w:t>
      </w:r>
    </w:p>
    <w:p>
      <w:pPr>
        <w:pStyle w:val="BodySans"/>
        <w:bidi w:val="1"/>
        <w:ind w:left="432" w:right="432"/>
        <w:jc w:val="right"/>
      </w:pPr>
      <w:r>
        <w:rPr>
          <w:rFonts w:ascii="Times New Roman" w:hAnsi="Times New Roman" w:cs="Times New Roman"/>
          <w:sz w:val="26"/>
          <w:szCs w:val="26"/>
        </w:rPr>
        <w:t>וְנָתַתָּ אֶל חֹשֶׁן הַמִּשְׁפָּט אֶת הָאוּרִים וְאֶת הַתֻּמִּים</w:t>
      </w:r>
    </w:p>
    <w:p>
      <w:pPr>
        <w:pStyle w:val="BodySans"/>
        <w:bidi w:val="0"/>
      </w:pPr>
      <w:r>
        <w:rPr>
          <w:b w:val="0"/>
          <w:i w:val="0"/>
        </w:rPr>
        <w:t>"You shall put the Urim and the Thummim into the breastpiece of judgment"), share at least a suggestive etymological connection: אוּרִים possibly from אוֹר ("light") and תֻּמִּים from תֹּם ("completeness, integrity," a near-synonym of אֶמֶת). The psalm may be reaching behind the physical objects to the theological principles they embody: divine illumination and divine reliability, sent forth to guide the worshiper home.‏</w:t>
      </w:r>
    </w:p>
    <w:p>
      <w:pPr>
        <w:pStyle w:val="BodySans"/>
        <w:bidi w:val="0"/>
      </w:pPr>
      <w:r>
        <w:rPr>
          <w:b w:val="0"/>
          <w:i w:val="0"/>
        </w:rPr>
        <w:t>The spatial narrowing of the four-fold אֶל ("to, toward") chain maps a temple approach that Ibn Ezra understood concretely. For him, מִשְׁכְּנוֹתֶיךָ — "Your dwelling places," an unexplained plural for a single sanctuary — denotes ‭ישילש תיבב תונבהל תודיתעה תורזעה‬, "the courts that will be built in the Third Temple." The plural, on this reading, reflects the concentric sacred zones of the temple compound: outer courts, inner courts, sanctuary. The psalmist moves through nested layers of holiness, each one closer to the center.‏</w:t>
      </w:r>
    </w:p>
    <w:p>
      <w:pPr>
        <w:pStyle w:val="BodySans"/>
        <w:bidi w:val="0"/>
      </w:pPr>
      <w:r>
        <w:rPr>
          <w:b w:val="0"/>
          <w:i w:val="0"/>
        </w:rPr>
        <w:t xml:space="preserve">The modern Prayer for the State of Israel reinterprets this pilgrimage language with striking boldness. The personal petition — "Send Your light and truth to guide </w:t>
      </w:r>
      <w:r>
        <w:rPr>
          <w:b w:val="0"/>
          <w:i/>
        </w:rPr>
        <w:t>me</w:t>
      </w:r>
      <w:r>
        <w:rPr>
          <w:b w:val="0"/>
          <w:i w:val="0"/>
        </w:rPr>
        <w:t>" — becomes a national one:</w:t>
      </w:r>
    </w:p>
    <w:p>
      <w:pPr>
        <w:pStyle w:val="BodySans"/>
        <w:bidi w:val="1"/>
        <w:ind w:left="432" w:right="432"/>
        <w:jc w:val="right"/>
      </w:pPr>
      <w:r>
        <w:rPr>
          <w:rFonts w:ascii="Times New Roman" w:hAnsi="Times New Roman" w:cs="Times New Roman"/>
          <w:sz w:val="26"/>
          <w:szCs w:val="26"/>
        </w:rPr>
        <w:t>וּשְׁלַח אוֹרְךָ וַאֲמִתְּךָ לְרָאשֶׁיהָ שָׂרֶיהָ וְיוֹעֲצֶיהָ</w:t>
      </w:r>
    </w:p>
    <w:p>
      <w:pPr>
        <w:pStyle w:val="BodySans"/>
        <w:bidi w:val="0"/>
      </w:pPr>
      <w:r>
        <w:rPr>
          <w:b w:val="0"/>
          <w:i w:val="0"/>
        </w:rPr>
        <w:t>"Send Your light and Your truth to her leaders, ministers, and counselors." The psalmist's escort to the altar becomes a prayer for enlightened governance — the most public imaginable reuse of one of the Psalter's most private petitions.</w:t>
      </w:r>
    </w:p>
    <w:p>
      <w:pPr>
        <w:pStyle w:val="BodySans"/>
        <w:bidi w:val="0"/>
      </w:pPr>
      <w:r>
        <w:rPr>
          <w:b w:val="0"/>
          <w:i w:val="0"/>
        </w:rPr>
        <w:t xml:space="preserve">Faiz Ahmed Faiz, writing on the eve of Pakistan's independence amid the carnage of Partition in 1947, offers a dark counterpoint. His "Dawn of Freedom" describes a light that </w:t>
      </w:r>
      <w:r>
        <w:rPr>
          <w:b w:val="0"/>
          <w:i/>
        </w:rPr>
        <w:t>did</w:t>
      </w:r>
      <w:r>
        <w:rPr>
          <w:b w:val="0"/>
          <w:i w:val="0"/>
        </w:rPr>
        <w:t xml:space="preserve"> arrive — but damaged: </w:t>
      </w:r>
      <w:r>
        <w:rPr>
          <w:rFonts w:cs="Times New Roman"/>
          <w:b w:val="0"/>
          <w:i w:val="0"/>
          <w:rtl/>
        </w:rPr>
        <w:t xml:space="preserve">یہ</w:t>
      </w:r>
      <w:r>
        <w:rPr>
          <w:b w:val="0"/>
          <w:i w:val="0"/>
        </w:rPr>
        <w:t xml:space="preserve"> </w:t>
      </w:r>
      <w:r>
        <w:rPr>
          <w:rFonts w:cs="Times New Roman"/>
          <w:b w:val="0"/>
          <w:i w:val="0"/>
          <w:rtl/>
        </w:rPr>
        <w:t xml:space="preserve">داغ</w:t>
      </w:r>
      <w:r>
        <w:rPr>
          <w:b w:val="0"/>
          <w:i w:val="0"/>
        </w:rPr>
        <w:t xml:space="preserve"> </w:t>
      </w:r>
      <w:r>
        <w:rPr>
          <w:rFonts w:cs="Times New Roman"/>
          <w:b w:val="0"/>
          <w:i w:val="0"/>
          <w:rtl/>
        </w:rPr>
        <w:t xml:space="preserve">داغ</w:t>
      </w:r>
      <w:r>
        <w:rPr>
          <w:b w:val="0"/>
          <w:i w:val="0"/>
        </w:rPr>
        <w:t xml:space="preserve"> </w:t>
      </w:r>
      <w:r>
        <w:rPr>
          <w:rFonts w:cs="Times New Roman"/>
          <w:b w:val="0"/>
          <w:i w:val="0"/>
          <w:rtl/>
        </w:rPr>
        <w:t xml:space="preserve">اُجالا،</w:t>
      </w:r>
      <w:r>
        <w:rPr>
          <w:b w:val="0"/>
          <w:i w:val="0"/>
        </w:rPr>
        <w:t xml:space="preserve"> </w:t>
      </w:r>
      <w:r>
        <w:rPr>
          <w:rFonts w:cs="Times New Roman"/>
          <w:b w:val="0"/>
          <w:i w:val="0"/>
          <w:rtl/>
        </w:rPr>
        <w:t xml:space="preserve">یہ</w:t>
      </w:r>
      <w:r>
        <w:rPr>
          <w:b w:val="0"/>
          <w:i w:val="0"/>
        </w:rPr>
        <w:t xml:space="preserve"> </w:t>
      </w:r>
      <w:r>
        <w:rPr>
          <w:rFonts w:cs="Times New Roman"/>
          <w:b w:val="0"/>
          <w:i w:val="0"/>
          <w:rtl/>
        </w:rPr>
        <w:t xml:space="preserve">شب</w:t>
      </w:r>
      <w:r>
        <w:rPr>
          <w:b w:val="0"/>
          <w:i w:val="0"/>
        </w:rPr>
        <w:t xml:space="preserve"> </w:t>
      </w:r>
      <w:r>
        <w:rPr>
          <w:rFonts w:cs="Times New Roman"/>
          <w:b w:val="0"/>
          <w:i w:val="0"/>
          <w:rtl/>
        </w:rPr>
        <w:t xml:space="preserve">گزیدہ</w:t>
      </w:r>
      <w:r>
        <w:rPr>
          <w:b w:val="0"/>
          <w:i w:val="0"/>
        </w:rPr>
        <w:t xml:space="preserve"> </w:t>
      </w:r>
      <w:r>
        <w:rPr>
          <w:rFonts w:cs="Times New Roman"/>
          <w:b w:val="0"/>
          <w:i w:val="0"/>
          <w:rtl/>
        </w:rPr>
        <w:t xml:space="preserve">سحر</w:t>
      </w:r>
      <w:r>
        <w:rPr>
          <w:b w:val="0"/>
          <w:i w:val="0"/>
        </w:rPr>
        <w:t xml:space="preserve"> / </w:t>
      </w:r>
      <w:r>
        <w:rPr>
          <w:rFonts w:cs="Times New Roman"/>
          <w:b w:val="0"/>
          <w:i w:val="0"/>
          <w:rtl/>
        </w:rPr>
        <w:t xml:space="preserve">وہ</w:t>
      </w:r>
      <w:r>
        <w:rPr>
          <w:b w:val="0"/>
          <w:i w:val="0"/>
        </w:rPr>
        <w:t xml:space="preserve"> </w:t>
      </w:r>
      <w:r>
        <w:rPr>
          <w:rFonts w:cs="Times New Roman"/>
          <w:b w:val="0"/>
          <w:i w:val="0"/>
          <w:rtl/>
        </w:rPr>
        <w:t xml:space="preserve">اِنتظار</w:t>
      </w:r>
      <w:r>
        <w:rPr>
          <w:b w:val="0"/>
          <w:i w:val="0"/>
        </w:rPr>
        <w:t xml:space="preserve"> </w:t>
      </w:r>
      <w:r>
        <w:rPr>
          <w:rFonts w:cs="Times New Roman"/>
          <w:b w:val="0"/>
          <w:i w:val="0"/>
          <w:rtl/>
        </w:rPr>
        <w:t xml:space="preserve">تھا</w:t>
      </w:r>
      <w:r>
        <w:rPr>
          <w:b w:val="0"/>
          <w:i w:val="0"/>
        </w:rPr>
        <w:t xml:space="preserve"> </w:t>
      </w:r>
      <w:r>
        <w:rPr>
          <w:rFonts w:cs="Times New Roman"/>
          <w:b w:val="0"/>
          <w:i w:val="0"/>
          <w:rtl/>
        </w:rPr>
        <w:t xml:space="preserve">جس</w:t>
      </w:r>
      <w:r>
        <w:rPr>
          <w:b w:val="0"/>
          <w:i w:val="0"/>
        </w:rPr>
        <w:t xml:space="preserve"> </w:t>
      </w:r>
      <w:r>
        <w:rPr>
          <w:rFonts w:cs="Times New Roman"/>
          <w:b w:val="0"/>
          <w:i w:val="0"/>
          <w:rtl/>
        </w:rPr>
        <w:t xml:space="preserve">کا،</w:t>
      </w:r>
      <w:r>
        <w:rPr>
          <w:b w:val="0"/>
          <w:i w:val="0"/>
        </w:rPr>
        <w:t xml:space="preserve"> </w:t>
      </w:r>
      <w:r>
        <w:rPr>
          <w:rFonts w:cs="Times New Roman"/>
          <w:b w:val="0"/>
          <w:i w:val="0"/>
          <w:rtl/>
        </w:rPr>
        <w:t xml:space="preserve">یہ</w:t>
      </w:r>
      <w:r>
        <w:rPr>
          <w:b w:val="0"/>
          <w:i w:val="0"/>
        </w:rPr>
        <w:t xml:space="preserve"> </w:t>
      </w:r>
      <w:r>
        <w:rPr>
          <w:rFonts w:cs="Times New Roman"/>
          <w:b w:val="0"/>
          <w:i w:val="0"/>
          <w:rtl/>
        </w:rPr>
        <w:t xml:space="preserve">وہ</w:t>
      </w:r>
      <w:r>
        <w:rPr>
          <w:b w:val="0"/>
          <w:i w:val="0"/>
        </w:rPr>
        <w:t xml:space="preserve"> </w:t>
      </w:r>
      <w:r>
        <w:rPr>
          <w:rFonts w:cs="Times New Roman"/>
          <w:b w:val="0"/>
          <w:i w:val="0"/>
          <w:rtl/>
        </w:rPr>
        <w:t xml:space="preserve">سحر</w:t>
      </w:r>
      <w:r>
        <w:rPr>
          <w:b w:val="0"/>
          <w:i w:val="0"/>
        </w:rPr>
        <w:t xml:space="preserve"> </w:t>
      </w:r>
      <w:r>
        <w:rPr>
          <w:rFonts w:cs="Times New Roman"/>
          <w:b w:val="0"/>
          <w:i w:val="0"/>
          <w:rtl/>
        </w:rPr>
        <w:t xml:space="preserve">تو</w:t>
      </w:r>
      <w:r>
        <w:rPr>
          <w:b w:val="0"/>
          <w:i w:val="0"/>
        </w:rPr>
        <w:t xml:space="preserve"> </w:t>
      </w:r>
      <w:r>
        <w:rPr>
          <w:rFonts w:cs="Times New Roman"/>
          <w:b w:val="0"/>
          <w:i w:val="0"/>
          <w:rtl/>
        </w:rPr>
        <w:t xml:space="preserve">نہیں</w:t>
      </w:r>
      <w:r>
        <w:rPr>
          <w:b w:val="0"/>
          <w:i w:val="0"/>
        </w:rPr>
        <w:t xml:space="preserve"> — "This stained, pockmarked light — this night-bitten dawn — the dawn we waited for: this is not that dawn." The psalmist never imagines that divine light might arrive in a compromised state. Faiz inhabits that dreadful possibility — the escort came, but truth did not come with it.</w:t>
      </w:r>
    </w:p>
    <w:p>
      <w:pPr>
        <w:pStyle w:val="Heading3"/>
      </w:pPr>
      <w:r>
        <w:t>Verse 4</w:t>
      </w:r>
    </w:p>
    <w:p>
      <w:pPr>
        <w:pStyle w:val="BodySans"/>
        <w:bidi w:val="0"/>
      </w:pPr>
      <w:r>
        <w:rPr>
          <w:b w:val="0"/>
          <w:i w:val="0"/>
        </w:rPr>
        <w:t>‭׃יקָלֹאֱ םיקִלֹאֱ רוֹנּכִבְ ךָדְוֹאוְ ;ילִיגִּ תחַמְשִׂ לקֵ לאֶ ;םיקִלֹאֱ חבַּזְמִ לאֶ האָוֹבאָוְ‬</w:t>
      </w:r>
    </w:p>
    <w:p>
      <w:pPr>
        <w:pStyle w:val="BodySans"/>
        <w:bidi w:val="0"/>
      </w:pPr>
      <w:r>
        <w:rPr>
          <w:b w:val="0"/>
          <w:i w:val="0"/>
        </w:rPr>
        <w:t>The cohortative וְאָבוֹאָה,‎ "that I may come," marks the grammatical turning point discussed in the introduction. But the verse's most intriguing puzzle lies in the construct chain שִׂמְחַת גִּילִי,‎ rendered in most translations as "my exceeding joy." Both nouns — שִׂמְחָה ("gladness") and גִּיל ("exultation") — denote intense happiness, creating a hendiadys (a figure in which two words express a single intensified concept). God is not merely a source of delight but the delight of delight, joy compounded.‏</w:t>
      </w:r>
    </w:p>
    <w:p>
      <w:pPr>
        <w:pStyle w:val="BodySans"/>
        <w:bidi w:val="0"/>
      </w:pPr>
      <w:r>
        <w:rPr>
          <w:b w:val="0"/>
          <w:i w:val="0"/>
        </w:rPr>
        <w:t xml:space="preserve">The Septuagint (LXX, the ancient Greek translation) reads something entirely different: τὸν εὐφραίνοντα τὴν νεότητά μου, "the one who gladdens my </w:t>
      </w:r>
      <w:r>
        <w:rPr>
          <w:b w:val="0"/>
          <w:i/>
        </w:rPr>
        <w:t>youth</w:t>
      </w:r>
      <w:r>
        <w:rPr>
          <w:b w:val="0"/>
          <w:i w:val="0"/>
        </w:rPr>
        <w:t xml:space="preserve">" — translating גִּיל not as "rejoicing" but as "youth." Is this a mistake? Not necessarily. In Daniel 1:10, the noun גִּיל carries a clearly temporal meaning: ‭םכֶלְיגִכְּ רשׁא םידליה‬, "the youths who are of your age." The cognate Arabic </w:t>
      </w:r>
      <w:r>
        <w:rPr>
          <w:rFonts w:cs="Times New Roman"/>
          <w:b w:val="0"/>
          <w:i w:val="0"/>
          <w:rtl/>
        </w:rPr>
        <w:t xml:space="preserve">جيل</w:t>
      </w:r>
      <w:r>
        <w:rPr>
          <w:b w:val="0"/>
          <w:i w:val="0"/>
        </w:rPr>
        <w:t xml:space="preserve"> (</w:t>
      </w:r>
      <w:r>
        <w:rPr>
          <w:b w:val="0"/>
          <w:i/>
        </w:rPr>
        <w:t>jīl</w:t>
      </w:r>
      <w:r>
        <w:rPr>
          <w:b w:val="0"/>
          <w:i w:val="0"/>
        </w:rPr>
        <w:t xml:space="preserve">) means "generation" or "era." The LXX translators may have accessed a legitimate secondary meaning: not "God, the joy of my rejoicing" but "God, who gladdens my youth." The MT reading is more poetically satisfying — the hendiadys is characteristically psalmic — but the LXX preserves a real semantic possibility that, incidentally, shaped Western liturgy for centuries. The Latin </w:t>
      </w:r>
      <w:r>
        <w:rPr>
          <w:b w:val="0"/>
          <w:i/>
        </w:rPr>
        <w:t>Introibo ad altare Dei, ad Deum qui laetificat juventutem meam</w:t>
      </w:r>
      <w:r>
        <w:rPr>
          <w:b w:val="0"/>
          <w:i w:val="0"/>
        </w:rPr>
        <w:t>, "I will go to the altar of God, to God who gladdens my youth," was recited by Catholic priests at the foot of the altar before every Eucharistic celebration until the reforms of the 1960s. The psalm's imagined approach became the actual approach, enacted daily.</w:t>
      </w:r>
    </w:p>
    <w:p>
      <w:pPr>
        <w:pStyle w:val="BodySans"/>
        <w:bidi w:val="0"/>
      </w:pPr>
      <w:r>
        <w:rPr>
          <w:b w:val="0"/>
          <w:i w:val="0"/>
        </w:rPr>
        <w:t>Three names for God appear in this single verse — אֱלֹקִים,‎ then קֵל,‎ then the possessive אֱלֹקִים אֱלֹקָי,‎ "God, my God" — the densest divine naming in the psalm. The progression tightens: the generic title, the older and more personal divine name, then the intimate possessive. Across the psalm's five verses, these belong to a total of eight אֱלֹקִים/אֵל occurrences (with Psalms 42–43 operating within the Elohistic Psalter, Psalms 42–83, which systematically uses אֱלֹקִים in place of the divine name YHWH). That is a striking density for so short a poem.‏</w:t>
      </w:r>
    </w:p>
    <w:p>
      <w:pPr>
        <w:pStyle w:val="BodySans"/>
        <w:bidi w:val="0"/>
      </w:pPr>
      <w:r>
        <w:rPr>
          <w:b w:val="0"/>
          <w:i w:val="0"/>
        </w:rPr>
        <w:t xml:space="preserve">The כִּנּוֹר ("lyre") — a small, portable stringed instrument, not the large harp of later imagination — should be read against Psalm 137:2, where exiled Israelites hung their instruments on willows: ‭וּניתֵוֹרנֹּכִּ וּנילִתָּ הּכָוֹתבְּ םיבִרָעֲ לעַ‬, "on the willows there we hung up our lyres." There, exile silenced the instrument. Here, the anticipated return restores it. The lyre's appearance before rescue actually arrives is crucial: praise is projected as a </w:t>
      </w:r>
      <w:r>
        <w:rPr>
          <w:b w:val="0"/>
          <w:i/>
        </w:rPr>
        <w:t>theological</w:t>
      </w:r>
      <w:r>
        <w:rPr>
          <w:b w:val="0"/>
          <w:i w:val="0"/>
        </w:rPr>
        <w:t xml:space="preserve"> act, not a response to changed circumstances. Job 30:31 captures the opposite posture: ‭ירִנֹּכִּ לבֶאֵלְ יהִיְוַ‬, "my lyre is turned to mourning." Psalm 43 refuses to let the lyre remain in mourning.‏</w:t>
      </w:r>
    </w:p>
    <w:p>
      <w:pPr>
        <w:pStyle w:val="Heading3"/>
      </w:pPr>
      <w:r>
        <w:t>Verse 5</w:t>
      </w:r>
    </w:p>
    <w:p>
      <w:pPr>
        <w:pStyle w:val="BodySans"/>
        <w:bidi w:val="0"/>
      </w:pPr>
      <w:r>
        <w:rPr>
          <w:b w:val="0"/>
          <w:i w:val="0"/>
        </w:rPr>
        <w:t>‭׃יקָלֹאוֵ ינַפָּ תעֹוּשׁיְ ;וּנּדֶוֹא דוֹע יכִּ ;םיקִלֹאלֵ ילִיחִוֹה ;ילָעָ ימִהֱתֶּ המַוּ ;ישִׁפְנַ יחִחֲוֹתּשְׁתִּ המַ‬</w:t>
      </w:r>
    </w:p>
    <w:p>
      <w:pPr>
        <w:pStyle w:val="BodySans"/>
        <w:bidi w:val="0"/>
      </w:pPr>
      <w:r>
        <w:rPr>
          <w:b w:val="0"/>
          <w:i w:val="0"/>
        </w:rPr>
        <w:t xml:space="preserve">The refrain is the poem's most recognizable feature, but it contains a verb form found nowhere else in the Psalter. תִּשְׁתּוֹחֲחִי is a Hithpolel — a rare variant of the reflexive stem — from the root שׁחח,‎ "to bow down, be low." The reflexive dimension is essential: the soul does not merely </w:t>
      </w:r>
      <w:r>
        <w:rPr>
          <w:b w:val="0"/>
          <w:i/>
        </w:rPr>
        <w:t>become</w:t>
      </w:r>
      <w:r>
        <w:rPr>
          <w:b w:val="0"/>
          <w:i w:val="0"/>
        </w:rPr>
        <w:t xml:space="preserve"> downcast; it </w:t>
      </w:r>
      <w:r>
        <w:rPr>
          <w:b w:val="0"/>
          <w:i/>
        </w:rPr>
        <w:t>bows itself down</w:t>
      </w:r>
      <w:r>
        <w:rPr>
          <w:b w:val="0"/>
          <w:i w:val="0"/>
        </w:rPr>
        <w:t>. There is agency embedded in the despair — a habitual, self-directed sinking — and the imperative הוֹחִילִי,‎ "have hope!" (a causative: "cause yourself to hope"), is the prescribed counter-action. The soul must be ordered to stop what it is doing to itself. Metzudat David captures the split nicely:‏</w:t>
      </w:r>
    </w:p>
    <w:p>
      <w:pPr>
        <w:pStyle w:val="BodySans"/>
        <w:bidi w:val="1"/>
        <w:ind w:left="432" w:right="432"/>
        <w:jc w:val="right"/>
      </w:pPr>
      <w:r>
        <w:rPr>
          <w:rFonts w:ascii="Times New Roman" w:hAnsi="Times New Roman" w:cs="Times New Roman"/>
          <w:sz w:val="26"/>
          <w:szCs w:val="26"/>
        </w:rPr>
        <w:t>כאלו יחזור שוב לנחם נפשו ויאמר לה</w:t>
      </w:r>
    </w:p>
    <w:p>
      <w:pPr>
        <w:pStyle w:val="BodySans"/>
        <w:bidi w:val="0"/>
      </w:pPr>
      <w:r>
        <w:rPr>
          <w:b w:val="0"/>
          <w:i w:val="0"/>
        </w:rPr>
        <w:t>"as if he turns again to comfort his soul and says to it..." The psalmist is two characters in a single body — the one who despairs and the one who commands.</w:t>
      </w:r>
    </w:p>
    <w:p>
      <w:pPr>
        <w:pStyle w:val="BodySans"/>
        <w:bidi w:val="0"/>
      </w:pPr>
      <w:r>
        <w:rPr>
          <w:b w:val="0"/>
          <w:i w:val="0"/>
        </w:rPr>
        <w:t>This self-apostrophe (addressing one's own soul in the second person) belongs to a recognized psalmic tradition. Psalm 103:1 commands: ‭ה תאֶ ישִׁפְנַ יכִרְבָּ‬', "Bless YHWH, O my soul." Psalm 116:7 soothes: ‭יכִיְחָוּנמְלִ ישִׁפְנַ יבִוּשׁ‬, "Return, O my soul, to your rest." In each case, the speaking self and the addressed soul are not identical — faith is not a feeling the whole person has but an instruction the rational self issues to the emotional self. The theology is built into the grammar.‏</w:t>
      </w:r>
    </w:p>
    <w:p>
      <w:pPr>
        <w:pStyle w:val="BodySans"/>
        <w:bidi w:val="0"/>
      </w:pPr>
      <w:r>
        <w:rPr>
          <w:b w:val="0"/>
          <w:i w:val="0"/>
        </w:rPr>
        <w:t>The second verb, תֶּהֱמִי,‎ from המה,‎ is visceral. Elsewhere it describes the roar of crowds (Psalm 46:7), crashing waves (Psalm 46:4), and — most disturbingly — churning intestines (Isaiah 16:11: ‭וּמהֱיֶ רוֹנּכִּכַּ באָוֹמלְ יעַמֵ‬, "my bowels moan for Moab like a lyre"). Applied to the נֶפֶשׁ ("self, life-force" — not "soul" in a dualistic sense), it suggests not quiet sadness but noisy internal upheaval. The phrase עָלָי,‎ literally "upon me," makes the soul's turmoil something felt as pressure, externalizing what is interior.‏</w:t>
      </w:r>
    </w:p>
    <w:p>
      <w:pPr>
        <w:pStyle w:val="BodySans"/>
        <w:bidi w:val="0"/>
      </w:pPr>
      <w:r>
        <w:rPr>
          <w:b w:val="0"/>
          <w:i w:val="0"/>
        </w:rPr>
        <w:t xml:space="preserve">The closing phrase holds the refrain's most significant textual variation. At 42:6, the MT reads יְשׁוּעוֹת פָּנָיו,‎ "salvations of </w:t>
      </w:r>
      <w:r>
        <w:rPr>
          <w:b w:val="0"/>
          <w:i/>
        </w:rPr>
        <w:t>His</w:t>
      </w:r>
      <w:r>
        <w:rPr>
          <w:b w:val="0"/>
          <w:i w:val="0"/>
        </w:rPr>
        <w:t xml:space="preserve"> face" — God's face turned toward the worshiper. At 42:12 and 43:5, the suffix shifts: פָּנַי,‎ "salvations of </w:t>
      </w:r>
      <w:r>
        <w:rPr>
          <w:b w:val="0"/>
          <w:i/>
        </w:rPr>
        <w:t>my</w:t>
      </w:r>
      <w:r>
        <w:rPr>
          <w:b w:val="0"/>
          <w:i w:val="0"/>
        </w:rPr>
        <w:t xml:space="preserve"> face." Whether scribal accident or theological design, the effect is a progression: salvation begins as something belonging to God's countenance and ends as something visible on the worshiper's own — a brightened face, restored dignity. The priestly blessing of Numbers 6:26 uses the same image: יִשָּׂא ה' פָּנָיו אֵלֶיךָ,‎ "May YHWH lift His face toward you." By the refrain's third occurrence, God's lifted face has become the psalmist's.‏</w:t>
      </w:r>
    </w:p>
    <w:p>
      <w:pPr>
        <w:pStyle w:val="BodySans"/>
        <w:bidi w:val="0"/>
      </w:pPr>
      <w:r>
        <w:rPr>
          <w:b w:val="0"/>
          <w:i w:val="0"/>
        </w:rPr>
        <w:t xml:space="preserve">Paul Celan, writing after the annihilation of European Jewry, kept the refrain's liturgical grammar intact but evacuated its addressee. His 1963 "Psalm" begins: </w:t>
      </w:r>
      <w:r>
        <w:rPr>
          <w:b w:val="0"/>
          <w:i/>
        </w:rPr>
        <w:t>Niemand knetet uns wieder aus Erde und Lehm, / niemand bespricht unseren Staub. / Niemand. // Gelobt seist du, Niemand</w:t>
      </w:r>
      <w:r>
        <w:rPr>
          <w:b w:val="0"/>
          <w:i w:val="0"/>
        </w:rPr>
        <w:t xml:space="preserve"> — "No one kneads us again out of earth and clay, / no one conjures our dust. / No one. // Praised be you, No one." </w:t>
      </w:r>
      <w:r>
        <w:rPr>
          <w:b w:val="0"/>
          <w:i/>
        </w:rPr>
        <w:t>Gelobt seist du</w:t>
      </w:r>
      <w:r>
        <w:rPr>
          <w:b w:val="0"/>
          <w:i w:val="0"/>
        </w:rPr>
        <w:t xml:space="preserve"> is the exact structure of a </w:t>
      </w:r>
      <w:r>
        <w:rPr>
          <w:b w:val="0"/>
          <w:i/>
        </w:rPr>
        <w:t>berakhah</w:t>
      </w:r>
      <w:r>
        <w:rPr>
          <w:b w:val="0"/>
          <w:i w:val="0"/>
        </w:rPr>
        <w:t xml:space="preserve"> (a Jewish blessing formula). The machinery of praise runs perfectly; its object has been annihilated. The psalmist's refrain insists that a "You" remains addressable: ‭וּנּדֶוֹא דוֹע יכִּ‬, "I will </w:t>
      </w:r>
      <w:r>
        <w:rPr>
          <w:b w:val="0"/>
          <w:i/>
        </w:rPr>
        <w:t>yet</w:t>
      </w:r>
      <w:r>
        <w:rPr>
          <w:b w:val="0"/>
          <w:i w:val="0"/>
        </w:rPr>
        <w:t xml:space="preserve"> praise Him." That עוֹד ("yet, still") is the whole theology. Praise has not arrived, but the psalmist asserts it is still coming. Celan tests what happens when that "yet" expires.‏</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5</w:t>
      </w:r>
    </w:p>
    <w:p>
      <w:pPr>
        <w:pStyle w:val="SummaryText"/>
      </w:pPr>
      <w:r>
        <w:rPr>
          <w:rFonts w:ascii="Aptos" w:hAnsi="Aptos"/>
          <w:b/>
        </w:rPr>
        <w:t>LXX (Septuagint) Verses Reviewed</w:t>
      </w:r>
      <w:r>
        <w:rPr>
          <w:rFonts w:ascii="Aptos" w:hAnsi="Aptos"/>
        </w:rPr>
        <w:t>: 5</w:t>
      </w:r>
    </w:p>
    <w:p>
      <w:pPr>
        <w:pStyle w:val="SummaryText"/>
      </w:pPr>
      <w:r>
        <w:rPr>
          <w:rFonts w:ascii="Aptos" w:hAnsi="Aptos"/>
          <w:b/>
        </w:rPr>
        <w:t>Phonetic Transcriptions Generated</w:t>
      </w:r>
      <w:r>
        <w:rPr>
          <w:rFonts w:ascii="Aptos" w:hAnsi="Aptos"/>
        </w:rPr>
        <w:t>: 5</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42</w:t>
      </w:r>
    </w:p>
    <w:p>
      <w:pPr>
        <w:pStyle w:val="SummaryText"/>
      </w:pPr>
      <w:r>
        <w:rPr>
          <w:rFonts w:ascii="Aptos" w:hAnsi="Aptos"/>
          <w:b/>
        </w:rPr>
        <w:t>Traditional Commentaries Reviewed</w:t>
      </w:r>
      <w:r>
        <w:rPr>
          <w:rFonts w:ascii="Aptos" w:hAnsi="Aptos"/>
        </w:rPr>
        <w:t>: 26 (Ibn Ezra (5); Malbim (5); Meiri (4); Metzudat David (5); Radak (4); Rashi (3))</w:t>
      </w:r>
    </w:p>
    <w:p>
      <w:pPr>
        <w:pStyle w:val="SummaryText"/>
      </w:pPr>
      <w:r>
        <w:rPr>
          <w:rFonts w:ascii="Aptos" w:hAnsi="Aptos"/>
          <w:b/>
        </w:rPr>
        <w:t>Concordance Entries Reviewed</w:t>
      </w:r>
      <w:r>
        <w:rPr>
          <w:rFonts w:ascii="Aptos" w:hAnsi="Aptos"/>
        </w:rPr>
        <w:t>: 13</w:t>
      </w:r>
    </w:p>
    <w:p>
      <w:pPr>
        <w:pStyle w:val="SummaryText"/>
      </w:pPr>
      <w:r>
        <w:rPr>
          <w:rFonts w:ascii="Aptos" w:hAnsi="Aptos"/>
          <w:b/>
        </w:rPr>
        <w:t>Figurative Concordance Matches Reviewed</w:t>
      </w:r>
      <w:r>
        <w:rPr>
          <w:rFonts w:ascii="Aptos" w:hAnsi="Aptos"/>
        </w:rPr>
        <w:t>: 681 (altar (50); bowing down (50); cause (26); contend (0); darkness (50); dwelling (30); faithfulness (4); forsake (0); fortress (50); guide (23); hill (30); journey (50); judge (26); light (50); lyre (50); plead (1); reject (0); rejected (9); rock (30); shield (30); soul (50); stronghold (30); tower (7); truth (6); vindicate (0); wing (29))</w:t>
      </w:r>
    </w:p>
    <w:p>
      <w:pPr>
        <w:pStyle w:val="SummaryText"/>
      </w:pPr>
      <w:r>
        <w:rPr>
          <w:rFonts w:ascii="Aptos" w:hAnsi="Aptos"/>
          <w:b/>
        </w:rPr>
        <w:t>Rabbi Jonathan Sacks References Reviewed</w:t>
      </w:r>
      <w:r>
        <w:rPr>
          <w:rFonts w:ascii="Aptos" w:hAnsi="Aptos"/>
        </w:rPr>
        <w:t>: N/A</w:t>
      </w:r>
    </w:p>
    <w:p>
      <w:pPr>
        <w:pStyle w:val="SummaryText"/>
      </w:pPr>
      <w:r>
        <w:rPr>
          <w:rFonts w:ascii="Aptos" w:hAnsi="Aptos"/>
          <w:b/>
        </w:rPr>
        <w:t>Similar Psalms Analyzed</w:t>
      </w:r>
      <w:r>
        <w:rPr>
          <w:rFonts w:ascii="Aptos" w:hAnsi="Aptos"/>
        </w:rPr>
        <w:t>: 2 (Psalms 42, 74)</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242,925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gpt-5.4</w:t>
      </w:r>
    </w:p>
    <w:p>
      <w:pPr>
        <w:pStyle w:val="SummaryText"/>
      </w:pPr>
      <w:r>
        <w:rPr>
          <w:rFonts w:ascii="Aptos" w:hAnsi="Aptos"/>
          <w:b/>
        </w:rPr>
        <w:t>Commentary (Master Writer)</w:t>
      </w:r>
      <w:r>
        <w:rPr>
          <w:rFonts w:ascii="Aptos" w:hAnsi="Aptos"/>
        </w:rPr>
        <w:t>: claude-opus-4-6</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Heading3"/>
      </w:pPr>
      <w:r>
        <w:rPr>
          <w:rFonts w:ascii="Aptos" w:hAnsi="Aptos"/>
        </w:rPr>
        <w:t>Date Produced</w:t>
      </w:r>
    </w:p>
    <w:p>
      <w:pPr>
        <w:pStyle w:val="SummaryText"/>
      </w:pPr>
      <w:r>
        <w:rPr>
          <w:rFonts w:ascii="Aptos" w:hAnsi="Aptos"/>
        </w:rPr>
        <w:t>March 18,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