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C90C1" w14:textId="77777777" w:rsidR="00212F1D" w:rsidRDefault="005150DB">
      <w:pPr>
        <w:pStyle w:val="Heading1"/>
      </w:pPr>
      <w:r>
        <w:t>Commentary on Psalm 45</w:t>
      </w:r>
    </w:p>
    <w:p w14:paraId="546A0937" w14:textId="77777777" w:rsidR="00212F1D" w:rsidRDefault="005150DB">
      <w:pPr>
        <w:pStyle w:val="Heading2"/>
      </w:pPr>
      <w:r>
        <w:t>Psalm 45</w:t>
      </w:r>
    </w:p>
    <w:tbl>
      <w:tblPr>
        <w:tblW w:w="0" w:type="auto"/>
        <w:tblLook w:val="04A0" w:firstRow="1" w:lastRow="0" w:firstColumn="1" w:lastColumn="0" w:noHBand="0" w:noVBand="1"/>
      </w:tblPr>
      <w:tblGrid>
        <w:gridCol w:w="4680"/>
        <w:gridCol w:w="4680"/>
      </w:tblGrid>
      <w:tr w:rsidR="00212F1D" w14:paraId="34D506E6" w14:textId="77777777">
        <w:tc>
          <w:tcPr>
            <w:tcW w:w="4680" w:type="dxa"/>
          </w:tcPr>
          <w:p w14:paraId="02F0594D" w14:textId="77777777" w:rsidR="00212F1D" w:rsidRDefault="005150DB">
            <w:r>
              <w:rPr>
                <w:b/>
                <w:szCs w:val="24"/>
              </w:rPr>
              <w:t xml:space="preserve">1. </w:t>
            </w:r>
            <w:r>
              <w:rPr>
                <w:szCs w:val="24"/>
                <w:rtl/>
              </w:rPr>
              <w:t>לַמְנַצֵּ֣חַ עַל־שֹׁ֭שַׁנִּים לִבְנֵי־קֹ֑רַח מַ֝שְׂכִּ֗יל שִׁ֣יר יְדִידֹֽת׃</w:t>
            </w:r>
          </w:p>
        </w:tc>
        <w:tc>
          <w:tcPr>
            <w:tcW w:w="4680" w:type="dxa"/>
          </w:tcPr>
          <w:p w14:paraId="599E9C0A" w14:textId="77777777" w:rsidR="00212F1D" w:rsidRDefault="005150DB">
            <w:r>
              <w:rPr>
                <w:rFonts w:ascii="Cambria" w:hAnsi="Cambria"/>
              </w:rPr>
              <w:t>For the leader; on shoshannim. Of the Korahites. A maskil. A love song.</w:t>
            </w:r>
          </w:p>
        </w:tc>
      </w:tr>
      <w:tr w:rsidR="00212F1D" w14:paraId="7672CF52" w14:textId="77777777">
        <w:tc>
          <w:tcPr>
            <w:tcW w:w="4680" w:type="dxa"/>
          </w:tcPr>
          <w:p w14:paraId="6B76792C" w14:textId="77777777" w:rsidR="00212F1D" w:rsidRDefault="005150DB">
            <w:r>
              <w:rPr>
                <w:b/>
                <w:szCs w:val="24"/>
              </w:rPr>
              <w:t xml:space="preserve">2. </w:t>
            </w:r>
            <w:r>
              <w:rPr>
                <w:szCs w:val="24"/>
                <w:rtl/>
              </w:rPr>
              <w:t>רָ֘חַ֤שׁ לִבִּ֨י ׀ דָּ֘בָ֤ר ט֗וֹב אֹמֵ֣ר אָ֭נִי מַעֲשַׂ֣י לְמֶ֑לֶךְ לְ֝שׁוֹנִ֗י עֵ֤ט ׀ סוֹפֵ֬ר מָהִֽיר׃</w:t>
            </w:r>
          </w:p>
        </w:tc>
        <w:tc>
          <w:tcPr>
            <w:tcW w:w="4680" w:type="dxa"/>
          </w:tcPr>
          <w:p w14:paraId="3B138219" w14:textId="77777777" w:rsidR="00212F1D" w:rsidRDefault="005150DB">
            <w:r>
              <w:rPr>
                <w:rFonts w:ascii="Cambria" w:hAnsi="Cambria"/>
              </w:rPr>
              <w:t>My heart is astir with gracious words;</w:t>
            </w:r>
            <w:r>
              <w:rPr>
                <w:rFonts w:ascii="Cambria" w:hAnsi="Cambria"/>
              </w:rPr>
              <w:br/>
              <w:t>I speak my poem to a king;</w:t>
            </w:r>
            <w:r>
              <w:rPr>
                <w:rFonts w:ascii="Cambria" w:hAnsi="Cambria"/>
              </w:rPr>
              <w:br/>
              <w:t>my tongue is the pen of an expert scribe.</w:t>
            </w:r>
          </w:p>
        </w:tc>
      </w:tr>
      <w:tr w:rsidR="00212F1D" w14:paraId="256E7038" w14:textId="77777777">
        <w:tc>
          <w:tcPr>
            <w:tcW w:w="4680" w:type="dxa"/>
          </w:tcPr>
          <w:p w14:paraId="2D887F9E" w14:textId="77777777" w:rsidR="00212F1D" w:rsidRDefault="005150DB">
            <w:r>
              <w:rPr>
                <w:b/>
                <w:szCs w:val="24"/>
              </w:rPr>
              <w:t xml:space="preserve">3. </w:t>
            </w:r>
            <w:r>
              <w:rPr>
                <w:szCs w:val="24"/>
                <w:rtl/>
              </w:rPr>
              <w:t>יׇפְיָפִ֡יתָ מִבְּנֵ֬י אָדָ֗ם ה֣וּצַק חֵ֭ן בְּשִׂפְתוֹתֶ֑יךָ עַל־כֵּ֤ן בֵּרַכְךָ֖ אֱלֹקִ֣ים לְעוֹלָֽם׃</w:t>
            </w:r>
          </w:p>
        </w:tc>
        <w:tc>
          <w:tcPr>
            <w:tcW w:w="4680" w:type="dxa"/>
          </w:tcPr>
          <w:p w14:paraId="68948991" w14:textId="77777777" w:rsidR="00212F1D" w:rsidRDefault="005150DB">
            <w:r>
              <w:rPr>
                <w:rFonts w:ascii="Cambria" w:hAnsi="Cambria"/>
              </w:rPr>
              <w:t>You are fairer than all men;</w:t>
            </w:r>
            <w:r>
              <w:rPr>
                <w:rFonts w:ascii="Cambria" w:hAnsi="Cambria"/>
              </w:rPr>
              <w:br/>
              <w:t>your speech is endowed with grace;</w:t>
            </w:r>
            <w:r>
              <w:rPr>
                <w:rFonts w:ascii="Cambria" w:hAnsi="Cambria"/>
              </w:rPr>
              <w:br/>
              <w:t>rightly has God given you an eternal blessing.</w:t>
            </w:r>
          </w:p>
        </w:tc>
      </w:tr>
      <w:tr w:rsidR="00212F1D" w14:paraId="2663089E" w14:textId="77777777">
        <w:tc>
          <w:tcPr>
            <w:tcW w:w="4680" w:type="dxa"/>
          </w:tcPr>
          <w:p w14:paraId="18D3E771" w14:textId="77777777" w:rsidR="00212F1D" w:rsidRDefault="005150DB">
            <w:r>
              <w:rPr>
                <w:b/>
                <w:szCs w:val="24"/>
              </w:rPr>
              <w:t xml:space="preserve">4. </w:t>
            </w:r>
            <w:r>
              <w:rPr>
                <w:szCs w:val="24"/>
                <w:rtl/>
              </w:rPr>
              <w:t>חֲגֽוֹר־חַרְבְּךָ֣ עַל־יָרֵ֣ךְ גִּבּ֑וֹר ה֝וֹדְךָ֗ וַהֲדָרֶֽךָ׃</w:t>
            </w:r>
          </w:p>
        </w:tc>
        <w:tc>
          <w:tcPr>
            <w:tcW w:w="4680" w:type="dxa"/>
          </w:tcPr>
          <w:p w14:paraId="14629E63" w14:textId="77777777" w:rsidR="00212F1D" w:rsidRDefault="005150DB">
            <w:r>
              <w:rPr>
                <w:rFonts w:ascii="Cambria" w:hAnsi="Cambria"/>
              </w:rPr>
              <w:t>Gird your sword upon your thigh, O hero,</w:t>
            </w:r>
            <w:r>
              <w:rPr>
                <w:rFonts w:ascii="Cambria" w:hAnsi="Cambria"/>
              </w:rPr>
              <w:br/>
              <w:t>in your splendor and glory;</w:t>
            </w:r>
          </w:p>
        </w:tc>
      </w:tr>
      <w:tr w:rsidR="00212F1D" w14:paraId="5B7874EF" w14:textId="77777777">
        <w:tc>
          <w:tcPr>
            <w:tcW w:w="4680" w:type="dxa"/>
          </w:tcPr>
          <w:p w14:paraId="404E6845" w14:textId="77777777" w:rsidR="00212F1D" w:rsidRDefault="005150DB">
            <w:r>
              <w:rPr>
                <w:b/>
                <w:szCs w:val="24"/>
              </w:rPr>
              <w:t xml:space="preserve">5. </w:t>
            </w:r>
            <w:r>
              <w:rPr>
                <w:szCs w:val="24"/>
                <w:rtl/>
              </w:rPr>
              <w:t>וַהֲדָ֬רְךָ֨ ׀ צְלַ֬ח רְכַ֗ב עַֽל־דְּבַר־אֱ֭מֶת וְעַנְוָה־צֶ֑דֶק וְתוֹרְךָ֖ נוֹרָא֣וֹת יְמִינֶֽךָ׃</w:t>
            </w:r>
          </w:p>
        </w:tc>
        <w:tc>
          <w:tcPr>
            <w:tcW w:w="4680" w:type="dxa"/>
          </w:tcPr>
          <w:p w14:paraId="1B02F4DD" w14:textId="77777777" w:rsidR="00212F1D" w:rsidRDefault="005150DB">
            <w:r>
              <w:rPr>
                <w:rFonts w:ascii="Cambria" w:hAnsi="Cambria"/>
              </w:rPr>
              <w:t>in your glory, win success;</w:t>
            </w:r>
            <w:r>
              <w:rPr>
                <w:rFonts w:ascii="Cambria" w:hAnsi="Cambria"/>
              </w:rPr>
              <w:br/>
              <w:t>ride on in the cause of truth and meekness and right;</w:t>
            </w:r>
            <w:r>
              <w:rPr>
                <w:rFonts w:ascii="Cambria" w:hAnsi="Cambria"/>
              </w:rPr>
              <w:br/>
              <w:t>and let your right hand lead you to awesome deeds.</w:t>
            </w:r>
          </w:p>
        </w:tc>
      </w:tr>
      <w:tr w:rsidR="00212F1D" w14:paraId="4AF96E2E" w14:textId="77777777">
        <w:tc>
          <w:tcPr>
            <w:tcW w:w="4680" w:type="dxa"/>
          </w:tcPr>
          <w:p w14:paraId="372AECEF" w14:textId="77777777" w:rsidR="00212F1D" w:rsidRDefault="005150DB">
            <w:r>
              <w:rPr>
                <w:b/>
                <w:szCs w:val="24"/>
              </w:rPr>
              <w:t xml:space="preserve">6. </w:t>
            </w:r>
            <w:r>
              <w:rPr>
                <w:szCs w:val="24"/>
                <w:rtl/>
              </w:rPr>
              <w:t>חִצֶּ֗יךָ שְׁנ֫וּנִ֥ים עַ֭מִּים תַּחְתֶּ֣יךָ יִפְּל֑וּ בְּ֝לֵ֗ב אוֹיְבֵ֥י הַמֶּֽלֶךְ׃</w:t>
            </w:r>
          </w:p>
        </w:tc>
        <w:tc>
          <w:tcPr>
            <w:tcW w:w="4680" w:type="dxa"/>
          </w:tcPr>
          <w:p w14:paraId="04D06D30" w14:textId="77777777" w:rsidR="00212F1D" w:rsidRDefault="005150DB">
            <w:r>
              <w:rPr>
                <w:rFonts w:ascii="Cambria" w:hAnsi="Cambria"/>
              </w:rPr>
              <w:t>Your arrows, sharpened,</w:t>
            </w:r>
            <w:r>
              <w:rPr>
                <w:rFonts w:ascii="Cambria" w:hAnsi="Cambria"/>
              </w:rPr>
              <w:br/>
              <w:t>[pierce] the breast of the king’s enemies;</w:t>
            </w:r>
            <w:r>
              <w:rPr>
                <w:rFonts w:ascii="Cambria" w:hAnsi="Cambria"/>
              </w:rPr>
              <w:br/>
              <w:t>peoples fall at your feet.</w:t>
            </w:r>
          </w:p>
        </w:tc>
      </w:tr>
      <w:tr w:rsidR="00212F1D" w14:paraId="42AFB697" w14:textId="77777777">
        <w:tc>
          <w:tcPr>
            <w:tcW w:w="4680" w:type="dxa"/>
          </w:tcPr>
          <w:p w14:paraId="5E04A6D6" w14:textId="77777777" w:rsidR="00212F1D" w:rsidRDefault="005150DB">
            <w:r>
              <w:rPr>
                <w:b/>
                <w:szCs w:val="24"/>
              </w:rPr>
              <w:t xml:space="preserve">7. </w:t>
            </w:r>
            <w:r>
              <w:rPr>
                <w:szCs w:val="24"/>
                <w:rtl/>
              </w:rPr>
              <w:t>כִּסְאֲךָ֣ אֱ֭לֹקִים עוֹלָ֣ם וָעֶ֑ד שֵׁ֥בֶט מִ֝ישֹׁ֗ר שֵׁ֣בֶט מַלְכוּתֶֽךָ׃</w:t>
            </w:r>
          </w:p>
        </w:tc>
        <w:tc>
          <w:tcPr>
            <w:tcW w:w="4680" w:type="dxa"/>
          </w:tcPr>
          <w:p w14:paraId="73814E8F" w14:textId="77777777" w:rsidR="00212F1D" w:rsidRDefault="005150DB">
            <w:r>
              <w:rPr>
                <w:rFonts w:ascii="Cambria" w:hAnsi="Cambria"/>
              </w:rPr>
              <w:t>Your divine throne is everlasting;</w:t>
            </w:r>
            <w:r>
              <w:rPr>
                <w:rFonts w:ascii="Cambria" w:hAnsi="Cambria"/>
              </w:rPr>
              <w:br/>
              <w:t>your royal scepter is a scepter of equity.</w:t>
            </w:r>
          </w:p>
        </w:tc>
      </w:tr>
      <w:tr w:rsidR="00212F1D" w14:paraId="7C97A770" w14:textId="77777777">
        <w:tc>
          <w:tcPr>
            <w:tcW w:w="4680" w:type="dxa"/>
          </w:tcPr>
          <w:p w14:paraId="69FC9565" w14:textId="77777777" w:rsidR="00212F1D" w:rsidRDefault="005150DB">
            <w:r>
              <w:rPr>
                <w:b/>
                <w:szCs w:val="24"/>
              </w:rPr>
              <w:t xml:space="preserve">8. </w:t>
            </w:r>
            <w:r>
              <w:rPr>
                <w:szCs w:val="24"/>
                <w:rtl/>
              </w:rPr>
              <w:t>אָהַ֣בְתָּ צֶּדֶק֮ וַתִּשְׂנָ֫א־רֶ֥שַׁע עַל־כֵּ֤ן ׀ מְשָׁחֲךָ֡ אֱלֹקִ֣ים אֱ֭לֹקֶיךָ שֶׁ֥מֶן שָׂשׂ֗וֹן מֵחֲבֵרֶֽךָ׃</w:t>
            </w:r>
          </w:p>
        </w:tc>
        <w:tc>
          <w:tcPr>
            <w:tcW w:w="4680" w:type="dxa"/>
          </w:tcPr>
          <w:p w14:paraId="19FC3C07" w14:textId="77777777" w:rsidR="00212F1D" w:rsidRDefault="005150DB">
            <w:r>
              <w:rPr>
                <w:rFonts w:ascii="Cambria" w:hAnsi="Cambria"/>
              </w:rPr>
              <w:t>You love righteousness and hate wickedness;</w:t>
            </w:r>
            <w:r>
              <w:rPr>
                <w:rFonts w:ascii="Cambria" w:hAnsi="Cambria"/>
              </w:rPr>
              <w:br/>
              <w:t>rightly has God, your God, chosen to anoint you</w:t>
            </w:r>
            <w:r>
              <w:rPr>
                <w:rFonts w:ascii="Cambria" w:hAnsi="Cambria"/>
              </w:rPr>
              <w:br/>
              <w:t>with oil of gladness over all your peers.</w:t>
            </w:r>
          </w:p>
        </w:tc>
      </w:tr>
      <w:tr w:rsidR="00212F1D" w14:paraId="05C089EA" w14:textId="77777777">
        <w:tc>
          <w:tcPr>
            <w:tcW w:w="4680" w:type="dxa"/>
          </w:tcPr>
          <w:p w14:paraId="60FF7E27" w14:textId="77777777" w:rsidR="00212F1D" w:rsidRDefault="005150DB">
            <w:r>
              <w:rPr>
                <w:b/>
                <w:szCs w:val="24"/>
              </w:rPr>
              <w:t xml:space="preserve">9. </w:t>
            </w:r>
            <w:r>
              <w:rPr>
                <w:szCs w:val="24"/>
                <w:rtl/>
              </w:rPr>
              <w:t>מֹר־וַאֲהָל֣וֹת קְ֭צִיעוֹת כׇּל־בִּגְדֹתֶ֑יךָ מִֽן־הֵ֥יכְלֵי שֵׁ֝֗ן מִנִּ֥י שִׂמְּחֽוּךָ׃</w:t>
            </w:r>
          </w:p>
        </w:tc>
        <w:tc>
          <w:tcPr>
            <w:tcW w:w="4680" w:type="dxa"/>
          </w:tcPr>
          <w:p w14:paraId="449791C8" w14:textId="77777777" w:rsidR="00212F1D" w:rsidRDefault="005150DB">
            <w:r>
              <w:rPr>
                <w:rFonts w:ascii="Cambria" w:hAnsi="Cambria"/>
              </w:rPr>
              <w:t>All your robes [are fragrant] with</w:t>
            </w:r>
            <w:r>
              <w:rPr>
                <w:rFonts w:ascii="Cambria" w:hAnsi="Cambria"/>
              </w:rPr>
              <w:br/>
              <w:t>myrrh and aloes and cassia;</w:t>
            </w:r>
            <w:r>
              <w:rPr>
                <w:rFonts w:ascii="Cambria" w:hAnsi="Cambria"/>
              </w:rPr>
              <w:br/>
              <w:t>from ivoried palaces</w:t>
            </w:r>
            <w:r>
              <w:rPr>
                <w:rFonts w:ascii="Cambria" w:hAnsi="Cambria"/>
              </w:rPr>
              <w:br/>
              <w:t>lutes entertain you.</w:t>
            </w:r>
          </w:p>
        </w:tc>
      </w:tr>
      <w:tr w:rsidR="00212F1D" w14:paraId="2AA77D44" w14:textId="77777777">
        <w:tc>
          <w:tcPr>
            <w:tcW w:w="4680" w:type="dxa"/>
          </w:tcPr>
          <w:p w14:paraId="46778AD5" w14:textId="77777777" w:rsidR="00212F1D" w:rsidRDefault="005150DB">
            <w:r>
              <w:rPr>
                <w:b/>
                <w:szCs w:val="24"/>
              </w:rPr>
              <w:t xml:space="preserve">10. </w:t>
            </w:r>
            <w:r>
              <w:rPr>
                <w:szCs w:val="24"/>
                <w:rtl/>
              </w:rPr>
              <w:t xml:space="preserve">בְּנ֣וֹת מְ֭לָכִים בְּיִקְּרוֹתֶ֑יךָ נִצְּבָ֥ה שֵׁגַ֥ל לִ֝ימִינְךָ֗ בְּכֶ֣תֶם </w:t>
            </w:r>
            <w:r>
              <w:rPr>
                <w:szCs w:val="24"/>
                <w:rtl/>
              </w:rPr>
              <w:lastRenderedPageBreak/>
              <w:t>אוֹפִֽיר׃</w:t>
            </w:r>
          </w:p>
        </w:tc>
        <w:tc>
          <w:tcPr>
            <w:tcW w:w="4680" w:type="dxa"/>
          </w:tcPr>
          <w:p w14:paraId="7315E963" w14:textId="77777777" w:rsidR="00212F1D" w:rsidRDefault="005150DB">
            <w:r>
              <w:rPr>
                <w:rFonts w:ascii="Cambria" w:hAnsi="Cambria"/>
              </w:rPr>
              <w:lastRenderedPageBreak/>
              <w:t>Royal princesses are your favorites;</w:t>
            </w:r>
            <w:r>
              <w:rPr>
                <w:rFonts w:ascii="Cambria" w:hAnsi="Cambria"/>
              </w:rPr>
              <w:br/>
            </w:r>
            <w:r>
              <w:rPr>
                <w:rFonts w:ascii="Cambria" w:hAnsi="Cambria"/>
              </w:rPr>
              <w:lastRenderedPageBreak/>
              <w:t>the consort stands at your right hand,</w:t>
            </w:r>
            <w:r>
              <w:rPr>
                <w:rFonts w:ascii="Cambria" w:hAnsi="Cambria"/>
              </w:rPr>
              <w:br/>
              <w:t>decked in gold of Ophir.</w:t>
            </w:r>
          </w:p>
        </w:tc>
      </w:tr>
      <w:tr w:rsidR="00212F1D" w14:paraId="56BC6B28" w14:textId="77777777">
        <w:tc>
          <w:tcPr>
            <w:tcW w:w="4680" w:type="dxa"/>
          </w:tcPr>
          <w:p w14:paraId="767D6EBE" w14:textId="77777777" w:rsidR="00212F1D" w:rsidRDefault="005150DB">
            <w:r>
              <w:rPr>
                <w:b/>
                <w:szCs w:val="24"/>
              </w:rPr>
              <w:lastRenderedPageBreak/>
              <w:t xml:space="preserve">11. </w:t>
            </w:r>
            <w:r>
              <w:rPr>
                <w:szCs w:val="24"/>
                <w:rtl/>
              </w:rPr>
              <w:t>שִׁמְעִי־בַ֣ת וּ֭רְאִי וְהַטִּ֣י אׇזְנֵ֑ךְ וְשִׁכְחִ֥י עַ֝מֵּ֗ךְ וּבֵ֥ית אָבִֽיךְ׃</w:t>
            </w:r>
          </w:p>
        </w:tc>
        <w:tc>
          <w:tcPr>
            <w:tcW w:w="4680" w:type="dxa"/>
          </w:tcPr>
          <w:p w14:paraId="450E7572" w14:textId="77777777" w:rsidR="00212F1D" w:rsidRDefault="005150DB">
            <w:r>
              <w:rPr>
                <w:rFonts w:ascii="Cambria" w:hAnsi="Cambria"/>
              </w:rPr>
              <w:t>Take heed, lass, and note,</w:t>
            </w:r>
            <w:r>
              <w:rPr>
                <w:rFonts w:ascii="Cambria" w:hAnsi="Cambria"/>
              </w:rPr>
              <w:br/>
              <w:t>incline your ear:</w:t>
            </w:r>
            <w:r>
              <w:rPr>
                <w:rFonts w:ascii="Cambria" w:hAnsi="Cambria"/>
              </w:rPr>
              <w:br/>
              <w:t>forget your people and your father’s house,</w:t>
            </w:r>
          </w:p>
        </w:tc>
      </w:tr>
      <w:tr w:rsidR="00212F1D" w14:paraId="70DBE714" w14:textId="77777777">
        <w:tc>
          <w:tcPr>
            <w:tcW w:w="4680" w:type="dxa"/>
          </w:tcPr>
          <w:p w14:paraId="1567C815" w14:textId="77777777" w:rsidR="00212F1D" w:rsidRDefault="005150DB">
            <w:r>
              <w:rPr>
                <w:b/>
                <w:szCs w:val="24"/>
              </w:rPr>
              <w:t xml:space="preserve">12. </w:t>
            </w:r>
            <w:r>
              <w:rPr>
                <w:szCs w:val="24"/>
                <w:rtl/>
              </w:rPr>
              <w:t>וְיִתְאָ֣ו הַמֶּ֣לֶךְ יׇפְיֵ֑ךְ כִּי־ה֥וּא אֲ֝דֹנַ֗יִךְ וְהִשְׁתַּֽחֲוִי־לֽוֹ׃</w:t>
            </w:r>
          </w:p>
        </w:tc>
        <w:tc>
          <w:tcPr>
            <w:tcW w:w="4680" w:type="dxa"/>
          </w:tcPr>
          <w:p w14:paraId="49738C58" w14:textId="77777777" w:rsidR="00212F1D" w:rsidRDefault="005150DB">
            <w:r>
              <w:rPr>
                <w:rFonts w:ascii="Cambria" w:hAnsi="Cambria"/>
              </w:rPr>
              <w:t>and let the king be aroused by your beauty;</w:t>
            </w:r>
            <w:r>
              <w:rPr>
                <w:rFonts w:ascii="Cambria" w:hAnsi="Cambria"/>
              </w:rPr>
              <w:br/>
              <w:t>since he is your lord, bow to him.</w:t>
            </w:r>
          </w:p>
        </w:tc>
      </w:tr>
      <w:tr w:rsidR="00212F1D" w14:paraId="2BB3A3F6" w14:textId="77777777">
        <w:tc>
          <w:tcPr>
            <w:tcW w:w="4680" w:type="dxa"/>
          </w:tcPr>
          <w:p w14:paraId="3F3CE5AC" w14:textId="77777777" w:rsidR="00212F1D" w:rsidRDefault="005150DB">
            <w:r>
              <w:rPr>
                <w:b/>
                <w:szCs w:val="24"/>
              </w:rPr>
              <w:t xml:space="preserve">13. </w:t>
            </w:r>
            <w:r>
              <w:rPr>
                <w:szCs w:val="24"/>
                <w:rtl/>
              </w:rPr>
              <w:t>וּבַֽת־צֹ֨ר ׀ בְּ֭מִנְחָה פָּנַ֥יִךְ יְחַלּ֗וּ עֲשִׁ֣ירֵי עָֽם׃</w:t>
            </w:r>
          </w:p>
        </w:tc>
        <w:tc>
          <w:tcPr>
            <w:tcW w:w="4680" w:type="dxa"/>
          </w:tcPr>
          <w:p w14:paraId="1E43D79F" w14:textId="77777777" w:rsidR="00212F1D" w:rsidRDefault="005150DB">
            <w:r>
              <w:rPr>
                <w:rFonts w:ascii="Cambria" w:hAnsi="Cambria"/>
              </w:rPr>
              <w:t>O Tyrian lass,</w:t>
            </w:r>
            <w:r>
              <w:rPr>
                <w:rFonts w:ascii="Cambria" w:hAnsi="Cambria"/>
              </w:rPr>
              <w:br/>
              <w:t>the wealthiest people will court your favor with gifts,</w:t>
            </w:r>
          </w:p>
        </w:tc>
      </w:tr>
      <w:tr w:rsidR="00212F1D" w14:paraId="67914374" w14:textId="77777777">
        <w:tc>
          <w:tcPr>
            <w:tcW w:w="4680" w:type="dxa"/>
          </w:tcPr>
          <w:p w14:paraId="25A5ECDC" w14:textId="77777777" w:rsidR="00212F1D" w:rsidRDefault="005150DB">
            <w:r>
              <w:rPr>
                <w:b/>
                <w:szCs w:val="24"/>
              </w:rPr>
              <w:t xml:space="preserve">14. </w:t>
            </w:r>
            <w:r>
              <w:rPr>
                <w:szCs w:val="24"/>
                <w:rtl/>
              </w:rPr>
              <w:t>כׇּל־כְּבוּדָּ֣ה בַת־מֶ֣לֶךְ פְּנִ֑ימָה מִֽמִּשְׁבְּצ֖וֹת זָהָ֣ב לְבוּשָֽׁהּ׃</w:t>
            </w:r>
          </w:p>
        </w:tc>
        <w:tc>
          <w:tcPr>
            <w:tcW w:w="4680" w:type="dxa"/>
          </w:tcPr>
          <w:p w14:paraId="697C7B40" w14:textId="77777777" w:rsidR="00212F1D" w:rsidRDefault="005150DB">
            <w:r>
              <w:rPr>
                <w:rFonts w:ascii="Cambria" w:hAnsi="Cambria"/>
              </w:rPr>
              <w:t>goods of all sorts.</w:t>
            </w:r>
            <w:r>
              <w:rPr>
                <w:rFonts w:ascii="Cambria" w:hAnsi="Cambria"/>
              </w:rPr>
              <w:br/>
              <w:t>The royal princess,</w:t>
            </w:r>
            <w:r>
              <w:rPr>
                <w:rFonts w:ascii="Cambria" w:hAnsi="Cambria"/>
              </w:rPr>
              <w:br/>
              <w:t>her dress embroidered with golden mountings,</w:t>
            </w:r>
          </w:p>
        </w:tc>
      </w:tr>
      <w:tr w:rsidR="00212F1D" w14:paraId="58BDB3C1" w14:textId="77777777">
        <w:tc>
          <w:tcPr>
            <w:tcW w:w="4680" w:type="dxa"/>
          </w:tcPr>
          <w:p w14:paraId="4AD5A6FC" w14:textId="77777777" w:rsidR="00212F1D" w:rsidRDefault="005150DB">
            <w:r>
              <w:rPr>
                <w:b/>
                <w:szCs w:val="24"/>
              </w:rPr>
              <w:t xml:space="preserve">15. </w:t>
            </w:r>
            <w:r>
              <w:rPr>
                <w:szCs w:val="24"/>
                <w:rtl/>
              </w:rPr>
              <w:t>לִרְקָמוֹת֮ תּוּבַ֢ל לַ֫מֶּ֥לֶךְ בְּתוּל֣וֹת אַ֭חֲרֶיהָ רֵעוֹתֶ֑יהָ מ֖וּבָא֣וֹת לָֽךְ׃</w:t>
            </w:r>
          </w:p>
        </w:tc>
        <w:tc>
          <w:tcPr>
            <w:tcW w:w="4680" w:type="dxa"/>
          </w:tcPr>
          <w:p w14:paraId="0173F654" w14:textId="77777777" w:rsidR="00212F1D" w:rsidRDefault="005150DB">
            <w:r>
              <w:rPr>
                <w:rFonts w:ascii="Cambria" w:hAnsi="Cambria"/>
              </w:rPr>
              <w:t>is led inside to the king;</w:t>
            </w:r>
            <w:r>
              <w:rPr>
                <w:rFonts w:ascii="Cambria" w:hAnsi="Cambria"/>
              </w:rPr>
              <w:br/>
              <w:t>maidens in her train, her companions,</w:t>
            </w:r>
            <w:r>
              <w:rPr>
                <w:rFonts w:ascii="Cambria" w:hAnsi="Cambria"/>
              </w:rPr>
              <w:br/>
              <w:t>are presented to you.</w:t>
            </w:r>
          </w:p>
        </w:tc>
      </w:tr>
      <w:tr w:rsidR="00212F1D" w14:paraId="22FEEF9D" w14:textId="77777777">
        <w:tc>
          <w:tcPr>
            <w:tcW w:w="4680" w:type="dxa"/>
          </w:tcPr>
          <w:p w14:paraId="00A5D8A5" w14:textId="77777777" w:rsidR="00212F1D" w:rsidRDefault="005150DB">
            <w:r>
              <w:rPr>
                <w:b/>
                <w:szCs w:val="24"/>
              </w:rPr>
              <w:t xml:space="preserve">16. </w:t>
            </w:r>
            <w:r>
              <w:rPr>
                <w:szCs w:val="24"/>
                <w:rtl/>
              </w:rPr>
              <w:t>תּ֭וּבַלְנָה בִּשְׂמָחֹ֣ת וָגִ֑יל תְּ֝בֹאֶ֗ינָה בְּהֵ֣יכַל מֶֽלֶךְ׃</w:t>
            </w:r>
          </w:p>
        </w:tc>
        <w:tc>
          <w:tcPr>
            <w:tcW w:w="4680" w:type="dxa"/>
          </w:tcPr>
          <w:p w14:paraId="7574F599" w14:textId="77777777" w:rsidR="00212F1D" w:rsidRDefault="005150DB">
            <w:r>
              <w:rPr>
                <w:rFonts w:ascii="Cambria" w:hAnsi="Cambria"/>
              </w:rPr>
              <w:t>They are led in with joy and gladness;</w:t>
            </w:r>
            <w:r>
              <w:rPr>
                <w:rFonts w:ascii="Cambria" w:hAnsi="Cambria"/>
              </w:rPr>
              <w:br/>
              <w:t>they enter the palace of the king.</w:t>
            </w:r>
          </w:p>
        </w:tc>
      </w:tr>
      <w:tr w:rsidR="00212F1D" w14:paraId="660312EB" w14:textId="77777777">
        <w:tc>
          <w:tcPr>
            <w:tcW w:w="4680" w:type="dxa"/>
          </w:tcPr>
          <w:p w14:paraId="293B10CF" w14:textId="77777777" w:rsidR="00212F1D" w:rsidRDefault="005150DB">
            <w:r>
              <w:rPr>
                <w:b/>
                <w:szCs w:val="24"/>
              </w:rPr>
              <w:t xml:space="preserve">17. </w:t>
            </w:r>
            <w:r>
              <w:rPr>
                <w:szCs w:val="24"/>
                <w:rtl/>
              </w:rPr>
              <w:t>תַּ֣חַת אֲ֭בֹתֶיךָ יִהְי֣וּ בָנֶ֑יךָ תְּשִׁיתֵ֥מוֹ לְ֝שָׂרִ֗ים בְּכׇל־הָאָֽרֶץ׃</w:t>
            </w:r>
          </w:p>
        </w:tc>
        <w:tc>
          <w:tcPr>
            <w:tcW w:w="4680" w:type="dxa"/>
          </w:tcPr>
          <w:p w14:paraId="5A00A692" w14:textId="77777777" w:rsidR="00212F1D" w:rsidRDefault="005150DB">
            <w:r>
              <w:rPr>
                <w:rFonts w:ascii="Cambria" w:hAnsi="Cambria"/>
              </w:rPr>
              <w:t>Your sons will succeed your ancestors;</w:t>
            </w:r>
            <w:r>
              <w:rPr>
                <w:rFonts w:ascii="Cambria" w:hAnsi="Cambria"/>
              </w:rPr>
              <w:br/>
              <w:t>you will appoint them princes throughout the land.</w:t>
            </w:r>
          </w:p>
        </w:tc>
      </w:tr>
      <w:tr w:rsidR="00212F1D" w14:paraId="4A912B2A" w14:textId="77777777">
        <w:tc>
          <w:tcPr>
            <w:tcW w:w="4680" w:type="dxa"/>
          </w:tcPr>
          <w:p w14:paraId="1EF9A015" w14:textId="77777777" w:rsidR="00212F1D" w:rsidRDefault="005150DB">
            <w:r>
              <w:rPr>
                <w:b/>
                <w:szCs w:val="24"/>
              </w:rPr>
              <w:t xml:space="preserve">18. </w:t>
            </w:r>
            <w:r>
              <w:rPr>
                <w:szCs w:val="24"/>
                <w:rtl/>
              </w:rPr>
              <w:t>אַזְכִּ֣ירָה שִׁ֭מְךָ בְּכׇל־דֹּ֣ר וָדֹ֑ר עַל־כֵּ֥ן עַמִּ֥ים יְ֝הוֹד֗וּךָ לְעֹלָ֥ם וָעֶֽד׃ {פ}</w:t>
            </w:r>
          </w:p>
        </w:tc>
        <w:tc>
          <w:tcPr>
            <w:tcW w:w="4680" w:type="dxa"/>
          </w:tcPr>
          <w:p w14:paraId="697F0FE1" w14:textId="77777777" w:rsidR="00212F1D" w:rsidRDefault="005150DB">
            <w:r>
              <w:rPr>
                <w:rFonts w:ascii="Cambria" w:hAnsi="Cambria"/>
              </w:rPr>
              <w:t>I commemorate your fame for all generations,</w:t>
            </w:r>
            <w:r>
              <w:rPr>
                <w:rFonts w:ascii="Cambria" w:hAnsi="Cambria"/>
              </w:rPr>
              <w:br/>
              <w:t>so peoples will praise you forever and ever.</w:t>
            </w:r>
          </w:p>
        </w:tc>
      </w:tr>
    </w:tbl>
    <w:p w14:paraId="3E31D0D6" w14:textId="77777777" w:rsidR="00212F1D" w:rsidRDefault="00212F1D"/>
    <w:p w14:paraId="18256EC5" w14:textId="77777777" w:rsidR="00212F1D" w:rsidRDefault="005150DB">
      <w:r>
        <w:br w:type="page"/>
      </w:r>
    </w:p>
    <w:p w14:paraId="6F174AEA" w14:textId="77777777" w:rsidR="00212F1D" w:rsidRDefault="005150DB">
      <w:pPr>
        <w:pStyle w:val="Heading2"/>
      </w:pPr>
      <w:r>
        <w:lastRenderedPageBreak/>
        <w:t>Introduction</w:t>
      </w:r>
    </w:p>
    <w:p w14:paraId="6BA1DA8E" w14:textId="77777777" w:rsidR="00212F1D" w:rsidRDefault="005150DB">
      <w:pPr>
        <w:pStyle w:val="BodySans"/>
      </w:pPr>
      <w:r>
        <w:t xml:space="preserve">Most psalms begin with God. This one begins with the poet's gut. The verb </w:t>
      </w:r>
      <w:r>
        <w:t>רָחַשׁ</w:t>
      </w:r>
      <w:r>
        <w:t xml:space="preserve"> (</w:t>
      </w:r>
      <w:r>
        <w:rPr>
          <w:i/>
        </w:rPr>
        <w:t>RĀ-</w:t>
      </w:r>
      <w:r>
        <w:rPr>
          <w:i/>
        </w:rPr>
        <w:t>ḥ</w:t>
      </w:r>
      <w:r>
        <w:rPr>
          <w:i/>
        </w:rPr>
        <w:t>ash</w:t>
      </w:r>
      <w:r>
        <w:t xml:space="preserve">), "is astir" — used nowhere else in the Psalter — describes something closer to bubbling or swarming than to thinking. The Aramaic cognate refers to insects crawling; the Septuagint (the ancient Greek translation) renders it </w:t>
      </w:r>
      <w:r>
        <w:t>ἐ</w:t>
      </w:r>
      <w:r>
        <w:t xml:space="preserve">ξερεύγομαι, "to belch forth." Yet within the same verse, the poet pivots to a metaphor of supreme technical control: </w:t>
      </w:r>
      <w:bdo w:val="ltr">
        <w:r>
          <w:t>ריהִמָ</w:t>
        </w:r>
        <w:r>
          <w:t xml:space="preserve"> </w:t>
        </w:r>
        <w:r>
          <w:t>רפֵוֹס</w:t>
        </w:r>
        <w:r>
          <w:t xml:space="preserve"> </w:t>
        </w:r>
        <w:r>
          <w:t>טעֵ</w:t>
        </w:r>
        <w:r>
          <w:t xml:space="preserve"> </w:t>
        </w:r>
        <w:r>
          <w:t>ינִוֹשׁלְ</w:t>
        </w:r>
        <w:r>
          <w:t>‬</w:t>
        </w:r>
        <w:r>
          <w:t>, "my tongue is the pen of an expert scribe" (v. 2). Before the king is addressed, before the bride is summoned, the psalm d</w:t>
        </w:r>
        <w:r>
          <w:t>eclares its own paradox: it claims to be simultaneously involuntary eruption and deliberate craftsmanship. That double claim turns out to govern everything that follows — because Psalm 45 is, at its deepest level, a poem about the power of authorized speech to create permanence.‏</w:t>
        </w:r>
      </w:bdo>
    </w:p>
    <w:p w14:paraId="3B4A7AFD" w14:textId="77777777" w:rsidR="00212F1D" w:rsidRDefault="005150DB">
      <w:pPr>
        <w:pStyle w:val="BodySans"/>
      </w:pPr>
      <w:r>
        <w:t xml:space="preserve">The architecture is clean. After the poet's prologue (v. 2), the king is addressed in three movements: his beauty and warrior prowess (vv. 3–6), his divine throne and anointing (vv. 7–8), and his sensory splendor (v. 9). A hinge verse introduces the queen at the king's right hand (v. 10). The poem then pivots to address the bride directly with a cluster of imperatives (vv. 11–12), depicts her approach through a processional sequence (vv. 13–16), delivers a dynastic oracle promising sons (v. 17), and closes </w:t>
      </w:r>
      <w:r>
        <w:t xml:space="preserve">with the poet speaking about himself again (v. 18). The superscription (v. 1) identifies the piece as a </w:t>
      </w:r>
      <w:r>
        <w:t>שִׁיר</w:t>
      </w:r>
      <w:r>
        <w:t xml:space="preserve"> </w:t>
      </w:r>
      <w:r>
        <w:t>יְדִידֹת</w:t>
      </w:r>
      <w:r>
        <w:t>,‎ "a song of loves" — the only psalm to carry this label, connecting it to the erotic vocabulary of the Song of Songs.‏</w:t>
      </w:r>
    </w:p>
    <w:p w14:paraId="335D0A10" w14:textId="77777777" w:rsidR="00212F1D" w:rsidRDefault="005150DB">
      <w:pPr>
        <w:pStyle w:val="Heading2"/>
      </w:pPr>
      <w:r>
        <w:t>The Logic of "Therefore"</w:t>
      </w:r>
    </w:p>
    <w:p w14:paraId="1357CC9A" w14:textId="77777777" w:rsidR="00212F1D" w:rsidRDefault="005150DB">
      <w:pPr>
        <w:pStyle w:val="BodySans"/>
      </w:pPr>
      <w:r>
        <w:t xml:space="preserve">What holds the psalm together is not narrative but a chain of cause and effect, marked by three occurrences of the logical pivot </w:t>
      </w:r>
      <w:r>
        <w:t>עַל־כֵּן</w:t>
      </w:r>
      <w:r>
        <w:t>,‎ "therefore," in verses 3, 8, and 18. Read together, these three pivots reveal what the poet is actually constructing.‏</w:t>
      </w:r>
    </w:p>
    <w:p w14:paraId="2A50D9AF" w14:textId="77777777" w:rsidR="00212F1D" w:rsidRDefault="005150DB">
      <w:pPr>
        <w:pStyle w:val="BodySans"/>
      </w:pPr>
      <w:r>
        <w:t>The first:</w:t>
      </w:r>
    </w:p>
    <w:p w14:paraId="7ABBC8B7" w14:textId="77777777" w:rsidR="00212F1D" w:rsidRDefault="005150DB">
      <w:pPr>
        <w:pStyle w:val="BodySans"/>
        <w:bidi/>
        <w:ind w:left="432" w:right="432"/>
        <w:jc w:val="right"/>
      </w:pPr>
      <w:r>
        <w:rPr>
          <w:rFonts w:ascii="Times New Roman" w:hAnsi="Times New Roman"/>
          <w:sz w:val="26"/>
          <w:szCs w:val="26"/>
        </w:rPr>
        <w:t>יׇפְיָפִיתָ</w:t>
      </w:r>
      <w:r>
        <w:rPr>
          <w:rFonts w:ascii="Times New Roman" w:hAnsi="Times New Roman"/>
          <w:sz w:val="26"/>
          <w:szCs w:val="26"/>
        </w:rPr>
        <w:t xml:space="preserve"> </w:t>
      </w:r>
      <w:r>
        <w:rPr>
          <w:rFonts w:ascii="Times New Roman" w:hAnsi="Times New Roman"/>
          <w:sz w:val="26"/>
          <w:szCs w:val="26"/>
        </w:rPr>
        <w:t>מִבְּנֵי</w:t>
      </w:r>
      <w:r>
        <w:rPr>
          <w:rFonts w:ascii="Times New Roman" w:hAnsi="Times New Roman"/>
          <w:sz w:val="26"/>
          <w:szCs w:val="26"/>
        </w:rPr>
        <w:t xml:space="preserve"> </w:t>
      </w:r>
      <w:r>
        <w:rPr>
          <w:rFonts w:ascii="Times New Roman" w:hAnsi="Times New Roman"/>
          <w:sz w:val="26"/>
          <w:szCs w:val="26"/>
        </w:rPr>
        <w:t>אָדָם</w:t>
      </w:r>
      <w:r>
        <w:rPr>
          <w:rFonts w:ascii="Times New Roman" w:hAnsi="Times New Roman"/>
          <w:sz w:val="26"/>
          <w:szCs w:val="26"/>
        </w:rPr>
        <w:t xml:space="preserve"> </w:t>
      </w:r>
      <w:r>
        <w:rPr>
          <w:rFonts w:ascii="Times New Roman" w:hAnsi="Times New Roman"/>
          <w:sz w:val="26"/>
          <w:szCs w:val="26"/>
        </w:rPr>
        <w:t>הוּצַק</w:t>
      </w:r>
      <w:r>
        <w:rPr>
          <w:rFonts w:ascii="Times New Roman" w:hAnsi="Times New Roman"/>
          <w:sz w:val="26"/>
          <w:szCs w:val="26"/>
        </w:rPr>
        <w:t xml:space="preserve"> </w:t>
      </w:r>
      <w:r>
        <w:rPr>
          <w:rFonts w:ascii="Times New Roman" w:hAnsi="Times New Roman"/>
          <w:sz w:val="26"/>
          <w:szCs w:val="26"/>
        </w:rPr>
        <w:t>חֵן</w:t>
      </w:r>
      <w:r>
        <w:rPr>
          <w:rFonts w:ascii="Times New Roman" w:hAnsi="Times New Roman"/>
          <w:sz w:val="26"/>
          <w:szCs w:val="26"/>
        </w:rPr>
        <w:t xml:space="preserve"> </w:t>
      </w:r>
      <w:r>
        <w:rPr>
          <w:rFonts w:ascii="Times New Roman" w:hAnsi="Times New Roman"/>
          <w:sz w:val="26"/>
          <w:szCs w:val="26"/>
        </w:rPr>
        <w:t>בְּשִׂפְתוֹתֶיךָ</w:t>
      </w:r>
      <w:r>
        <w:rPr>
          <w:rFonts w:ascii="Times New Roman" w:hAnsi="Times New Roman"/>
          <w:sz w:val="26"/>
          <w:szCs w:val="26"/>
        </w:rPr>
        <w:t xml:space="preserve"> </w:t>
      </w:r>
      <w:r>
        <w:rPr>
          <w:rFonts w:ascii="Times New Roman" w:hAnsi="Times New Roman"/>
          <w:b/>
          <w:sz w:val="26"/>
          <w:szCs w:val="26"/>
        </w:rPr>
        <w:t>עַל־כֵּן</w:t>
      </w:r>
      <w:r>
        <w:rPr>
          <w:rFonts w:ascii="Times New Roman" w:hAnsi="Times New Roman"/>
          <w:sz w:val="26"/>
          <w:szCs w:val="26"/>
        </w:rPr>
        <w:t xml:space="preserve"> </w:t>
      </w:r>
      <w:r>
        <w:rPr>
          <w:rFonts w:ascii="Times New Roman" w:hAnsi="Times New Roman"/>
          <w:sz w:val="26"/>
          <w:szCs w:val="26"/>
        </w:rPr>
        <w:t>בֵּרַכְךָ</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לְעוֹלָם</w:t>
      </w:r>
    </w:p>
    <w:p w14:paraId="111012E3" w14:textId="77777777" w:rsidR="00212F1D" w:rsidRDefault="005150DB">
      <w:pPr>
        <w:pStyle w:val="BodySans"/>
      </w:pPr>
      <w:r>
        <w:t xml:space="preserve">— "You are fairer than all mortals; grace is poured on your lips; </w:t>
      </w:r>
      <w:r>
        <w:rPr>
          <w:b/>
        </w:rPr>
        <w:t>therefore</w:t>
      </w:r>
      <w:r>
        <w:t xml:space="preserve"> God has blessed you forever" (v. 3). The logic runs from beauty to blessing — inverting what we might expect. In most biblical theology, blessing produces beauty: God favors someone, and the favor shows. Here, the king's superlative appearance and gracious speech are themselves the ground on which God acts. The intensified verb </w:t>
      </w:r>
      <w:r>
        <w:t>יׇפְיָפִיתָ</w:t>
      </w:r>
      <w:r>
        <w:t xml:space="preserve"> — a hapax form (a word occurring only once in the Bible) that doubles the root for "beauty" — pushes the king's appearance beyond ordinary superlative into a ca</w:t>
      </w:r>
      <w:r>
        <w:t>tegory that demands divine recognition.‏</w:t>
      </w:r>
    </w:p>
    <w:p w14:paraId="30B1526D" w14:textId="77777777" w:rsidR="00212F1D" w:rsidRDefault="005150DB">
      <w:pPr>
        <w:pStyle w:val="BodySans"/>
      </w:pPr>
      <w:r>
        <w:t>The second:</w:t>
      </w:r>
    </w:p>
    <w:p w14:paraId="1DB3EFC6" w14:textId="77777777" w:rsidR="00212F1D" w:rsidRDefault="005150DB">
      <w:pPr>
        <w:pStyle w:val="BodySans"/>
        <w:bidi/>
        <w:ind w:left="432" w:right="432"/>
        <w:jc w:val="right"/>
      </w:pPr>
      <w:r>
        <w:rPr>
          <w:rFonts w:ascii="Times New Roman" w:hAnsi="Times New Roman"/>
          <w:sz w:val="26"/>
          <w:szCs w:val="26"/>
        </w:rPr>
        <w:lastRenderedPageBreak/>
        <w:t>אָהַבְתָּ</w:t>
      </w:r>
      <w:r>
        <w:rPr>
          <w:rFonts w:ascii="Times New Roman" w:hAnsi="Times New Roman"/>
          <w:sz w:val="26"/>
          <w:szCs w:val="26"/>
        </w:rPr>
        <w:t xml:space="preserve"> </w:t>
      </w:r>
      <w:r>
        <w:rPr>
          <w:rFonts w:ascii="Times New Roman" w:hAnsi="Times New Roman"/>
          <w:sz w:val="26"/>
          <w:szCs w:val="26"/>
        </w:rPr>
        <w:t>צֶדֶק</w:t>
      </w:r>
      <w:r>
        <w:rPr>
          <w:rFonts w:ascii="Times New Roman" w:hAnsi="Times New Roman"/>
          <w:sz w:val="26"/>
          <w:szCs w:val="26"/>
        </w:rPr>
        <w:t xml:space="preserve"> </w:t>
      </w:r>
      <w:r>
        <w:rPr>
          <w:rFonts w:ascii="Times New Roman" w:hAnsi="Times New Roman"/>
          <w:sz w:val="26"/>
          <w:szCs w:val="26"/>
        </w:rPr>
        <w:t>וַתִּשְׂנָא</w:t>
      </w:r>
      <w:r>
        <w:rPr>
          <w:rFonts w:ascii="Times New Roman" w:hAnsi="Times New Roman"/>
          <w:sz w:val="26"/>
          <w:szCs w:val="26"/>
        </w:rPr>
        <w:t xml:space="preserve"> </w:t>
      </w:r>
      <w:r>
        <w:rPr>
          <w:rFonts w:ascii="Times New Roman" w:hAnsi="Times New Roman"/>
          <w:sz w:val="26"/>
          <w:szCs w:val="26"/>
        </w:rPr>
        <w:t>רֶשַׁע</w:t>
      </w:r>
      <w:r>
        <w:rPr>
          <w:rFonts w:ascii="Times New Roman" w:hAnsi="Times New Roman"/>
          <w:sz w:val="26"/>
          <w:szCs w:val="26"/>
        </w:rPr>
        <w:t xml:space="preserve"> </w:t>
      </w:r>
      <w:r>
        <w:rPr>
          <w:rFonts w:ascii="Times New Roman" w:hAnsi="Times New Roman"/>
          <w:b/>
          <w:sz w:val="26"/>
          <w:szCs w:val="26"/>
        </w:rPr>
        <w:t>עַל־כֵּן</w:t>
      </w:r>
      <w:r>
        <w:rPr>
          <w:rFonts w:ascii="Times New Roman" w:hAnsi="Times New Roman"/>
          <w:sz w:val="26"/>
          <w:szCs w:val="26"/>
        </w:rPr>
        <w:t xml:space="preserve"> </w:t>
      </w:r>
      <w:r>
        <w:rPr>
          <w:rFonts w:ascii="Times New Roman" w:hAnsi="Times New Roman"/>
          <w:sz w:val="26"/>
          <w:szCs w:val="26"/>
        </w:rPr>
        <w:t>מְשָׁחֲךָ</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אֱלֹקֶיךָ</w:t>
      </w:r>
      <w:r>
        <w:rPr>
          <w:rFonts w:ascii="Times New Roman" w:hAnsi="Times New Roman"/>
          <w:sz w:val="26"/>
          <w:szCs w:val="26"/>
        </w:rPr>
        <w:t xml:space="preserve"> </w:t>
      </w:r>
      <w:r>
        <w:rPr>
          <w:rFonts w:ascii="Times New Roman" w:hAnsi="Times New Roman"/>
          <w:sz w:val="26"/>
          <w:szCs w:val="26"/>
        </w:rPr>
        <w:t>שֶׁמֶן</w:t>
      </w:r>
      <w:r>
        <w:rPr>
          <w:rFonts w:ascii="Times New Roman" w:hAnsi="Times New Roman"/>
          <w:sz w:val="26"/>
          <w:szCs w:val="26"/>
        </w:rPr>
        <w:t xml:space="preserve"> </w:t>
      </w:r>
      <w:r>
        <w:rPr>
          <w:rFonts w:ascii="Times New Roman" w:hAnsi="Times New Roman"/>
          <w:sz w:val="26"/>
          <w:szCs w:val="26"/>
        </w:rPr>
        <w:t>שָׂשׂוֹן</w:t>
      </w:r>
      <w:r>
        <w:rPr>
          <w:rFonts w:ascii="Times New Roman" w:hAnsi="Times New Roman"/>
          <w:sz w:val="26"/>
          <w:szCs w:val="26"/>
        </w:rPr>
        <w:t xml:space="preserve"> </w:t>
      </w:r>
      <w:r>
        <w:rPr>
          <w:rFonts w:ascii="Times New Roman" w:hAnsi="Times New Roman"/>
          <w:sz w:val="26"/>
          <w:szCs w:val="26"/>
        </w:rPr>
        <w:t>מֵחֲבֵרֶיךָ</w:t>
      </w:r>
    </w:p>
    <w:p w14:paraId="1B02400C" w14:textId="77777777" w:rsidR="00212F1D" w:rsidRDefault="005150DB">
      <w:pPr>
        <w:pStyle w:val="BodySans"/>
      </w:pPr>
      <w:r>
        <w:t xml:space="preserve">— "You love righteousness and hate wickedness; </w:t>
      </w:r>
      <w:r>
        <w:rPr>
          <w:b/>
        </w:rPr>
        <w:t>therefore</w:t>
      </w:r>
      <w:r>
        <w:t xml:space="preserve"> God, your God, has anointed you with oil of gladness above your peers" (v. 8). Here the logic shifts from aesthetic to ethical. The king's moral character — expressed through the paired opposites "righteousness" and "wickedness" — triggers his anointing. And the anointing oil itself is not the standard </w:t>
      </w:r>
      <w:r>
        <w:t>שֶׁמֶן</w:t>
      </w:r>
      <w:r>
        <w:t xml:space="preserve"> </w:t>
      </w:r>
      <w:r>
        <w:t>מִשְׁחָה</w:t>
      </w:r>
      <w:r>
        <w:t xml:space="preserve">,‎ "anointing oil," of coronation ritual (Exod 30:25), but </w:t>
      </w:r>
      <w:r>
        <w:t>שֶׁמֶן</w:t>
      </w:r>
      <w:r>
        <w:t xml:space="preserve"> </w:t>
      </w:r>
      <w:r>
        <w:t>שָׂשׂוֹן</w:t>
      </w:r>
      <w:r>
        <w:t>,‎ "oil of gladness" — a phrase appearing in only one other biblical passage, Isaiah 61:3, where God gives mo</w:t>
      </w:r>
      <w:r>
        <w:t xml:space="preserve">urners </w:t>
      </w:r>
      <w:bdo w:val="ltr">
        <w:r>
          <w:t>לבֶאֵ</w:t>
        </w:r>
        <w:r>
          <w:t xml:space="preserve"> </w:t>
        </w:r>
        <w:r>
          <w:t>תחַתַּ</w:t>
        </w:r>
        <w:r>
          <w:t xml:space="preserve"> </w:t>
        </w:r>
        <w:r>
          <w:t>ןוֹשׂשָׂ</w:t>
        </w:r>
        <w:r>
          <w:t xml:space="preserve"> </w:t>
        </w:r>
        <w:r>
          <w:t>ןמֶשֶׁ</w:t>
        </w:r>
        <w:r>
          <w:t>‬</w:t>
        </w:r>
        <w:r>
          <w:t>, "oil of gladness instead of mourning." Coronation and wedding celebration merge into a single anointing.‏</w:t>
        </w:r>
      </w:bdo>
    </w:p>
    <w:p w14:paraId="405FB9EB" w14:textId="77777777" w:rsidR="00212F1D" w:rsidRDefault="005150DB">
      <w:pPr>
        <w:pStyle w:val="BodySans"/>
      </w:pPr>
      <w:r>
        <w:t>The third:</w:t>
      </w:r>
    </w:p>
    <w:p w14:paraId="336C30A2" w14:textId="77777777" w:rsidR="00212F1D" w:rsidRDefault="005150DB">
      <w:pPr>
        <w:pStyle w:val="BodySans"/>
        <w:bidi/>
        <w:ind w:left="432" w:right="432"/>
        <w:jc w:val="right"/>
      </w:pPr>
      <w:r>
        <w:rPr>
          <w:rFonts w:ascii="Times New Roman" w:hAnsi="Times New Roman"/>
          <w:sz w:val="26"/>
          <w:szCs w:val="26"/>
        </w:rPr>
        <w:t>אַזְכִּירָה</w:t>
      </w:r>
      <w:r>
        <w:rPr>
          <w:rFonts w:ascii="Times New Roman" w:hAnsi="Times New Roman"/>
          <w:sz w:val="26"/>
          <w:szCs w:val="26"/>
        </w:rPr>
        <w:t xml:space="preserve"> </w:t>
      </w:r>
      <w:r>
        <w:rPr>
          <w:rFonts w:ascii="Times New Roman" w:hAnsi="Times New Roman"/>
          <w:sz w:val="26"/>
          <w:szCs w:val="26"/>
        </w:rPr>
        <w:t>שִׁמְךָ</w:t>
      </w:r>
      <w:r>
        <w:rPr>
          <w:rFonts w:ascii="Times New Roman" w:hAnsi="Times New Roman"/>
          <w:sz w:val="26"/>
          <w:szCs w:val="26"/>
        </w:rPr>
        <w:t xml:space="preserve"> </w:t>
      </w:r>
      <w:r>
        <w:rPr>
          <w:rFonts w:ascii="Times New Roman" w:hAnsi="Times New Roman"/>
          <w:sz w:val="26"/>
          <w:szCs w:val="26"/>
        </w:rPr>
        <w:t>בְּכׇל־דֹּר</w:t>
      </w:r>
      <w:r>
        <w:rPr>
          <w:rFonts w:ascii="Times New Roman" w:hAnsi="Times New Roman"/>
          <w:sz w:val="26"/>
          <w:szCs w:val="26"/>
        </w:rPr>
        <w:t xml:space="preserve"> </w:t>
      </w:r>
      <w:r>
        <w:rPr>
          <w:rFonts w:ascii="Times New Roman" w:hAnsi="Times New Roman"/>
          <w:sz w:val="26"/>
          <w:szCs w:val="26"/>
        </w:rPr>
        <w:t>וָדֹר</w:t>
      </w:r>
      <w:r>
        <w:rPr>
          <w:rFonts w:ascii="Times New Roman" w:hAnsi="Times New Roman"/>
          <w:sz w:val="26"/>
          <w:szCs w:val="26"/>
        </w:rPr>
        <w:t xml:space="preserve"> </w:t>
      </w:r>
      <w:r>
        <w:rPr>
          <w:rFonts w:ascii="Times New Roman" w:hAnsi="Times New Roman"/>
          <w:b/>
          <w:sz w:val="26"/>
          <w:szCs w:val="26"/>
        </w:rPr>
        <w:t>עַל־כֵּן</w:t>
      </w:r>
      <w:r>
        <w:rPr>
          <w:rFonts w:ascii="Times New Roman" w:hAnsi="Times New Roman"/>
          <w:sz w:val="26"/>
          <w:szCs w:val="26"/>
        </w:rPr>
        <w:t xml:space="preserve"> </w:t>
      </w:r>
      <w:r>
        <w:rPr>
          <w:rFonts w:ascii="Times New Roman" w:hAnsi="Times New Roman"/>
          <w:sz w:val="26"/>
          <w:szCs w:val="26"/>
        </w:rPr>
        <w:t>עַמִּים</w:t>
      </w:r>
      <w:r>
        <w:rPr>
          <w:rFonts w:ascii="Times New Roman" w:hAnsi="Times New Roman"/>
          <w:sz w:val="26"/>
          <w:szCs w:val="26"/>
        </w:rPr>
        <w:t xml:space="preserve"> </w:t>
      </w:r>
      <w:r>
        <w:rPr>
          <w:rFonts w:ascii="Times New Roman" w:hAnsi="Times New Roman"/>
          <w:sz w:val="26"/>
          <w:szCs w:val="26"/>
        </w:rPr>
        <w:t>יְהוֹדוּךָ</w:t>
      </w:r>
      <w:r>
        <w:rPr>
          <w:rFonts w:ascii="Times New Roman" w:hAnsi="Times New Roman"/>
          <w:sz w:val="26"/>
          <w:szCs w:val="26"/>
        </w:rPr>
        <w:t xml:space="preserve"> </w:t>
      </w:r>
      <w:r>
        <w:rPr>
          <w:rFonts w:ascii="Times New Roman" w:hAnsi="Times New Roman"/>
          <w:sz w:val="26"/>
          <w:szCs w:val="26"/>
        </w:rPr>
        <w:t>לְעוֹלָם</w:t>
      </w:r>
      <w:r>
        <w:rPr>
          <w:rFonts w:ascii="Times New Roman" w:hAnsi="Times New Roman"/>
          <w:sz w:val="26"/>
          <w:szCs w:val="26"/>
        </w:rPr>
        <w:t xml:space="preserve"> </w:t>
      </w:r>
      <w:r>
        <w:rPr>
          <w:rFonts w:ascii="Times New Roman" w:hAnsi="Times New Roman"/>
          <w:sz w:val="26"/>
          <w:szCs w:val="26"/>
        </w:rPr>
        <w:t>וָעֶד</w:t>
      </w:r>
    </w:p>
    <w:p w14:paraId="58927C89" w14:textId="77777777" w:rsidR="00212F1D" w:rsidRDefault="005150DB">
      <w:pPr>
        <w:pStyle w:val="BodySans"/>
      </w:pPr>
      <w:r>
        <w:t xml:space="preserve">— "I will commemorate your name in every generation; </w:t>
      </w:r>
      <w:r>
        <w:rPr>
          <w:b/>
        </w:rPr>
        <w:t>therefore</w:t>
      </w:r>
      <w:r>
        <w:t xml:space="preserve"> peoples will praise you forever and ever" (v. 18). Now the poet inserts himself into the causal chain. The first two "therefores" traced sequences from the king's qualities to God's response. The third traces a sequence from the poet's own act to universal, eternal praise. The poet claims that this poem — this very poem — is the mechanism by which the king's fame will persist across all generations. He has placed his creative act in parallel with divine action: God blesses because of beauty; God a</w:t>
      </w:r>
      <w:r>
        <w:t>noints because of righteousness; and the nations praise because of the poet's speech.</w:t>
      </w:r>
    </w:p>
    <w:p w14:paraId="06C06AC4" w14:textId="77777777" w:rsidR="00212F1D" w:rsidRDefault="005150DB">
      <w:pPr>
        <w:pStyle w:val="Heading2"/>
      </w:pPr>
      <w:r>
        <w:t>Between God and King</w:t>
      </w:r>
    </w:p>
    <w:p w14:paraId="1ECC9043" w14:textId="77777777" w:rsidR="00212F1D" w:rsidRDefault="005150DB">
      <w:pPr>
        <w:pStyle w:val="BodySans"/>
      </w:pPr>
      <w:r>
        <w:t xml:space="preserve">The theological crisis arrives in verse 7: </w:t>
      </w:r>
      <w:bdo w:val="ltr">
        <w:r>
          <w:t>דעֶוָ</w:t>
        </w:r>
        <w:r>
          <w:t xml:space="preserve"> </w:t>
        </w:r>
        <w:r>
          <w:t>םלָוֹע</w:t>
        </w:r>
        <w:r>
          <w:t xml:space="preserve"> </w:t>
        </w:r>
        <w:r>
          <w:t>םיקִלֹאֱ</w:t>
        </w:r>
        <w:r>
          <w:t xml:space="preserve"> </w:t>
        </w:r>
        <w:r>
          <w:t>ךָאֲסְכִּ</w:t>
        </w:r>
        <w:r>
          <w:t>‬</w:t>
        </w:r>
        <w:r>
          <w:t>, which can be read as "Your throne, O God, is forever" — addressing the human king with the divine name. The Septuagint reads it as vocative (</w:t>
        </w:r>
        <w:r>
          <w:t>ὁ</w:t>
        </w:r>
        <w:r>
          <w:t xml:space="preserve"> θρόνος σου </w:t>
        </w:r>
        <w:r>
          <w:t>ὁ</w:t>
        </w:r>
        <w:r>
          <w:t xml:space="preserve"> θεός), and Hebrews 1:8 quotes it in a christological argument. Rashi, defending monotheistic boundaries, reads </w:t>
        </w:r>
        <w:r>
          <w:t>אֱלֹקִים</w:t>
        </w:r>
        <w:r>
          <w:t xml:space="preserve"> as "judge": </w:t>
        </w:r>
        <w:bdo w:val="ltr">
          <w:r>
            <w:t>טפֵוֹשׁוְ</w:t>
          </w:r>
          <w:r>
            <w:t xml:space="preserve"> </w:t>
          </w:r>
          <w:r>
            <w:t>רשַׂ</w:t>
          </w:r>
          <w:r>
            <w:t xml:space="preserve"> </w:t>
          </w:r>
          <w:r>
            <w:t>ךָאֲסְכִּ</w:t>
          </w:r>
          <w:r>
            <w:t>‬</w:t>
          </w:r>
          <w:r>
            <w:t xml:space="preserve">, "your throne, O prince and judge," citing Exodus 7:1, where Moses is called </w:t>
          </w:r>
          <w:r>
            <w:t>אֱלֹקִים</w:t>
          </w:r>
          <w:r>
            <w:t xml:space="preserve"> before Pharaoh. Ibn Ezra proposes a compressed construct: "your throne is th</w:t>
          </w:r>
          <w:r>
            <w:t xml:space="preserve">e throne of God," paralleling 1 Chronicles 29:23, where Solomon sits </w:t>
          </w:r>
          <w:bdo w:val="ltr">
            <w:r>
              <w:t>׳ה</w:t>
            </w:r>
            <w:r>
              <w:t xml:space="preserve"> </w:t>
            </w:r>
            <w:r>
              <w:t>אסֵּכִּ</w:t>
            </w:r>
            <w:r>
              <w:t xml:space="preserve"> </w:t>
            </w:r>
            <w:r>
              <w:t>לעַ</w:t>
            </w:r>
            <w:r>
              <w:t>‬</w:t>
            </w:r>
            <w:r>
              <w:t xml:space="preserve">, "on YHWH's throne." What matters most is not resolving the grammar but noticing what the poet does with the tension. Immediately after the possible deification, verse 8 reasserts subordination: </w:t>
            </w:r>
            <w:bdo w:val="ltr">
              <w:r>
                <w:t>ךָיקֶלֹאֱ</w:t>
              </w:r>
              <w:r>
                <w:t xml:space="preserve"> </w:t>
              </w:r>
              <w:r>
                <w:t>םיקִלֹאֱ</w:t>
              </w:r>
              <w:r>
                <w:t xml:space="preserve"> </w:t>
              </w:r>
              <w:r>
                <w:t>ךָחֲשָׁמְ</w:t>
              </w:r>
              <w:r>
                <w:t>‬</w:t>
              </w:r>
              <w:r>
                <w:t xml:space="preserve">, "God, </w:t>
              </w:r>
              <w:r>
                <w:rPr>
                  <w:b/>
                </w:rPr>
                <w:t>your</w:t>
              </w:r>
              <w:r>
                <w:t xml:space="preserve"> God, has anointed you." The divine doublet is theologically surgical: whatever verse 7 granted, verse 8 recalibrates. The king participates in divine authority without being its source.</w:t>
              </w:r>
            </w:bdo>
          </w:bdo>
        </w:bdo>
      </w:bdo>
    </w:p>
    <w:p w14:paraId="28C71084" w14:textId="77777777" w:rsidR="00212F1D" w:rsidRDefault="005150DB">
      <w:pPr>
        <w:pStyle w:val="BodySans"/>
      </w:pPr>
      <w:r>
        <w:t xml:space="preserve">The poem's turn to the bride (v. 11) produces the psalm's most arresting command: </w:t>
      </w:r>
      <w:bdo w:val="ltr">
        <w:r>
          <w:t>ךְיבִאָ</w:t>
        </w:r>
        <w:r>
          <w:t xml:space="preserve"> </w:t>
        </w:r>
        <w:r>
          <w:t>תיבֵוּ</w:t>
        </w:r>
        <w:r>
          <w:t xml:space="preserve"> </w:t>
        </w:r>
        <w:r>
          <w:t>ךְמֵּעַ</w:t>
        </w:r>
        <w:r>
          <w:t xml:space="preserve"> </w:t>
        </w:r>
        <w:r>
          <w:t>יחִכְשִׁ</w:t>
        </w:r>
        <w:r>
          <w:t>‬</w:t>
        </w:r>
        <w:r>
          <w:t xml:space="preserve">, "forget your people and your father's house." The phrase </w:t>
        </w:r>
        <w:r>
          <w:t>בֵּית</w:t>
        </w:r>
        <w:r>
          <w:t xml:space="preserve"> </w:t>
        </w:r>
        <w:r>
          <w:t>אָבִיךְ</w:t>
        </w:r>
        <w:r>
          <w:t xml:space="preserve"> echoes, almost verbatim, God's command to Abraham in Genesis 12:1:‏</w:t>
        </w:r>
      </w:bdo>
    </w:p>
    <w:p w14:paraId="77D157F0" w14:textId="77777777" w:rsidR="00212F1D" w:rsidRDefault="005150DB">
      <w:pPr>
        <w:pStyle w:val="BodySans"/>
        <w:bidi/>
        <w:ind w:left="432" w:right="432"/>
        <w:jc w:val="right"/>
      </w:pPr>
      <w:r>
        <w:rPr>
          <w:rFonts w:ascii="Times New Roman" w:hAnsi="Times New Roman"/>
          <w:sz w:val="26"/>
          <w:szCs w:val="26"/>
        </w:rPr>
        <w:lastRenderedPageBreak/>
        <w:t>לֶךְ־לְךָ</w:t>
      </w:r>
      <w:r>
        <w:rPr>
          <w:rFonts w:ascii="Times New Roman" w:hAnsi="Times New Roman"/>
          <w:sz w:val="26"/>
          <w:szCs w:val="26"/>
        </w:rPr>
        <w:t xml:space="preserve"> </w:t>
      </w:r>
      <w:r>
        <w:rPr>
          <w:rFonts w:ascii="Times New Roman" w:hAnsi="Times New Roman"/>
          <w:sz w:val="26"/>
          <w:szCs w:val="26"/>
        </w:rPr>
        <w:t>מֵאַרְצְךָ</w:t>
      </w:r>
      <w:r>
        <w:rPr>
          <w:rFonts w:ascii="Times New Roman" w:hAnsi="Times New Roman"/>
          <w:sz w:val="26"/>
          <w:szCs w:val="26"/>
        </w:rPr>
        <w:t xml:space="preserve"> </w:t>
      </w:r>
      <w:r>
        <w:rPr>
          <w:rFonts w:ascii="Times New Roman" w:hAnsi="Times New Roman"/>
          <w:sz w:val="26"/>
          <w:szCs w:val="26"/>
        </w:rPr>
        <w:t>וּמִמּוֹלַדְתְּךָ</w:t>
      </w:r>
      <w:r>
        <w:rPr>
          <w:rFonts w:ascii="Times New Roman" w:hAnsi="Times New Roman"/>
          <w:sz w:val="26"/>
          <w:szCs w:val="26"/>
        </w:rPr>
        <w:t xml:space="preserve"> </w:t>
      </w:r>
      <w:r>
        <w:rPr>
          <w:rFonts w:ascii="Times New Roman" w:hAnsi="Times New Roman"/>
          <w:sz w:val="26"/>
          <w:szCs w:val="26"/>
        </w:rPr>
        <w:t>וּמִבֵּית</w:t>
      </w:r>
      <w:r>
        <w:rPr>
          <w:rFonts w:ascii="Times New Roman" w:hAnsi="Times New Roman"/>
          <w:sz w:val="26"/>
          <w:szCs w:val="26"/>
        </w:rPr>
        <w:t xml:space="preserve"> </w:t>
      </w:r>
      <w:r>
        <w:rPr>
          <w:rFonts w:ascii="Times New Roman" w:hAnsi="Times New Roman"/>
          <w:sz w:val="26"/>
          <w:szCs w:val="26"/>
        </w:rPr>
        <w:t>אָבִיךָ</w:t>
      </w:r>
    </w:p>
    <w:p w14:paraId="35279709" w14:textId="77777777" w:rsidR="00212F1D" w:rsidRDefault="005150DB">
      <w:pPr>
        <w:pStyle w:val="BodySans"/>
      </w:pPr>
      <w:r>
        <w:t>"Go from your land and your birthplace and your father's house." The Midrash (Bereishit Rabbah 39) recognized this connection, using Psalm 45:11–12 as the opening text for its exposition of Abraham's call. The bride's marriage is modeled on covenant-initiation: a total departure from one identity-world into another, constituted by relationship to a new lord.</w:t>
      </w:r>
    </w:p>
    <w:p w14:paraId="4ADA100E" w14:textId="77777777" w:rsidR="00212F1D" w:rsidRDefault="005150DB">
      <w:pPr>
        <w:pStyle w:val="BodySans"/>
      </w:pPr>
      <w:r>
        <w:t>And the psalm closes where it began — with the poet. His wager is that language can outlast dynasty. Alexander Pushkin, writing his own valediction in 1836, articulated the same gamble: Нет, весь я не умру — душа в заветной лире / Мой прах переживет и тленья убежит, "No, I shall not wholly die — my soul in the sacred lyre / shall survive my dust and escape decay." But Pushkin claims immortality for himself. The psalmist claims it for the king — while quietly demonstrating that the king's immortality depends</w:t>
      </w:r>
      <w:r>
        <w:t xml:space="preserve"> entirely on the poet's willingness to keep speaking. Sons will replace fathers (v. 17), but it is the poem, not the bloodline, that carries the name across every generation. The last word belongs not to the dynasty but to the song.</w:t>
      </w:r>
    </w:p>
    <w:p w14:paraId="2AA6D67C" w14:textId="77777777" w:rsidR="00212F1D" w:rsidRDefault="005150DB">
      <w:pPr>
        <w:pStyle w:val="Heading2"/>
      </w:pPr>
      <w:r>
        <w:t>Modern Jewish Liturgical Use</w:t>
      </w:r>
    </w:p>
    <w:p w14:paraId="5D7F0E04" w14:textId="77777777" w:rsidR="00212F1D" w:rsidRDefault="005150DB">
      <w:pPr>
        <w:pStyle w:val="Heading4"/>
      </w:pPr>
      <w:r>
        <w:t>Full Psalm</w:t>
      </w:r>
    </w:p>
    <w:p w14:paraId="6E49876B" w14:textId="77777777" w:rsidR="00212F1D" w:rsidRDefault="005150DB">
      <w:pPr>
        <w:pStyle w:val="BodySans"/>
      </w:pPr>
      <w:r>
        <w:t xml:space="preserve">Unlike psalms deeply embedded in the daily statutory liturgy (Psalms 145–150, for example), Psalm 45 is not recited as part of the fixed daily or Shabbat services across all rites. However, a specific tradition preserved in the </w:t>
      </w:r>
      <w:r>
        <w:rPr>
          <w:i/>
        </w:rPr>
        <w:t>Siddur Avodas Yisrael</w:t>
      </w:r>
      <w:r>
        <w:t xml:space="preserve"> (compiled by Seligman Baer, 1868, representing an idealized Ashkenazic rite) designates it as the </w:t>
      </w:r>
      <w:bdo w:val="ltr">
        <w:r>
          <w:t>םוֹי</w:t>
        </w:r>
        <w:r>
          <w:t xml:space="preserve"> </w:t>
        </w:r>
        <w:r>
          <w:t>לשֶׁ</w:t>
        </w:r>
        <w:r>
          <w:t xml:space="preserve"> </w:t>
        </w:r>
        <w:r>
          <w:t>רישִׁ</w:t>
        </w:r>
        <w:r>
          <w:t>‬</w:t>
        </w:r>
        <w:r>
          <w:t xml:space="preserve">, "Song of the Day," for two particular Shabbatot: Shabbat </w:t>
        </w:r>
        <w:r>
          <w:rPr>
            <w:i/>
          </w:rPr>
          <w:t>Chayei Sarah</w:t>
        </w:r>
        <w:r>
          <w:t xml:space="preserve"> — when the Torah reading narrates Abraham's servant seeking a bride for Isaac, a thematic twin to the psalm's royal marriage — and Shabbat </w:t>
        </w:r>
        <w:r>
          <w:rPr>
            <w:i/>
          </w:rPr>
          <w:t>Pekudei</w:t>
        </w:r>
        <w:r>
          <w:t xml:space="preserve">, when the Torah describes the completion of the Tabernacle. The second pairing is more unexpected: the Midrashic correlation between the bride's gold-woven </w:t>
        </w:r>
        <w:r>
          <w:t>garments (</w:t>
        </w:r>
        <w:bdo w:val="ltr">
          <w:r>
            <w:t>הּשָׁוּבלְ</w:t>
          </w:r>
          <w:r>
            <w:t xml:space="preserve"> </w:t>
          </w:r>
          <w:r>
            <w:t>בהָזָ</w:t>
          </w:r>
          <w:r>
            <w:t xml:space="preserve"> </w:t>
          </w:r>
          <w:r>
            <w:t>תוֹצבְּשְׁמִּמִ</w:t>
          </w:r>
          <w:r>
            <w:t>‬</w:t>
          </w:r>
          <w:r>
            <w:t xml:space="preserve">, "her dress of gold settings," v. 14) and the priestly vestments (which use the same root </w:t>
          </w:r>
          <w:r>
            <w:t>שׁבץ</w:t>
          </w:r>
          <w:r>
            <w:t xml:space="preserve"> in Exod 28:11, 13), combined with the principle that the glory of the king's daughter is </w:t>
          </w:r>
          <w:r>
            <w:t>פְּנִימָה</w:t>
          </w:r>
          <w:r>
            <w:t xml:space="preserve">,‎ "within" (v. 14) — paralleling the descent of the </w:t>
          </w:r>
          <w:r>
            <w:t>שְׁכִינָה</w:t>
          </w:r>
          <w:r>
            <w:t xml:space="preserve"> (Divine Presence) into the completed inner sanctum — makes the psalm a liturgical commentary on the Tabernacle's consecration.‏</w:t>
          </w:r>
        </w:bdo>
      </w:bdo>
    </w:p>
    <w:p w14:paraId="15DCF727" w14:textId="77777777" w:rsidR="00212F1D" w:rsidRDefault="005150DB">
      <w:pPr>
        <w:pStyle w:val="Heading4"/>
      </w:pPr>
      <w:r>
        <w:t>Key Verses and Phrases in Liturgy</w:t>
      </w:r>
    </w:p>
    <w:p w14:paraId="59026091" w14:textId="77777777" w:rsidR="00212F1D" w:rsidRDefault="005150DB">
      <w:pPr>
        <w:pStyle w:val="BodySans"/>
      </w:pPr>
      <w:r>
        <w:t>The psalm's most striking liturgical afterlife is not in full recitation but in phrase-level allusions woven into High Holiday and occasional prayers:</w:t>
      </w:r>
    </w:p>
    <w:p w14:paraId="4B3F8CDE" w14:textId="77777777" w:rsidR="00212F1D" w:rsidRDefault="005150DB">
      <w:pPr>
        <w:pStyle w:val="BodySans"/>
      </w:pPr>
      <w:r>
        <w:lastRenderedPageBreak/>
        <w:t xml:space="preserve">The expression </w:t>
      </w:r>
      <w:bdo w:val="ltr">
        <w:r>
          <w:t>רדֹוָ</w:t>
        </w:r>
        <w:r>
          <w:t xml:space="preserve"> </w:t>
        </w:r>
        <w:r>
          <w:t>רדֹּ־לכׇבְּ</w:t>
        </w:r>
        <w:r>
          <w:t>‬</w:t>
        </w:r>
        <w:r>
          <w:t xml:space="preserve">, "in every generation" (v. 18), appears in two distinct High Holiday settings. In some Ashkenazic communities, it surfaces in Aramaicized form in the Yom Kippur night devotions surrounding </w:t>
        </w:r>
        <w:r>
          <w:rPr>
            <w:i/>
          </w:rPr>
          <w:t>Shir HaYichud</w:t>
        </w:r>
        <w:r>
          <w:t xml:space="preserve"> and </w:t>
        </w:r>
        <w:r>
          <w:rPr>
            <w:i/>
          </w:rPr>
          <w:t>Anim Zemirot</w:t>
        </w:r>
        <w:r>
          <w:t xml:space="preserve">, where the </w:t>
        </w:r>
        <w:r>
          <w:t>ḥ</w:t>
        </w:r>
        <w:r>
          <w:t>azzan (cantor) proclaims</w:t>
        </w:r>
      </w:bdo>
    </w:p>
    <w:p w14:paraId="600BF398" w14:textId="77777777" w:rsidR="00212F1D" w:rsidRDefault="005150DB">
      <w:pPr>
        <w:pStyle w:val="BodySans"/>
        <w:bidi/>
        <w:ind w:left="432" w:right="432"/>
        <w:jc w:val="right"/>
      </w:pPr>
      <w:r>
        <w:rPr>
          <w:rFonts w:ascii="Times New Roman" w:hAnsi="Times New Roman"/>
          <w:sz w:val="26"/>
          <w:szCs w:val="26"/>
        </w:rPr>
        <w:t>שַׁלִּיט</w:t>
      </w:r>
      <w:r>
        <w:rPr>
          <w:rFonts w:ascii="Times New Roman" w:hAnsi="Times New Roman"/>
          <w:sz w:val="26"/>
          <w:szCs w:val="26"/>
        </w:rPr>
        <w:t xml:space="preserve"> </w:t>
      </w:r>
      <w:r>
        <w:rPr>
          <w:rFonts w:ascii="Times New Roman" w:hAnsi="Times New Roman"/>
          <w:sz w:val="26"/>
          <w:szCs w:val="26"/>
        </w:rPr>
        <w:t>מֶלֶךְ</w:t>
      </w:r>
      <w:r>
        <w:rPr>
          <w:rFonts w:ascii="Times New Roman" w:hAnsi="Times New Roman"/>
          <w:sz w:val="26"/>
          <w:szCs w:val="26"/>
        </w:rPr>
        <w:t xml:space="preserve"> </w:t>
      </w:r>
      <w:r>
        <w:rPr>
          <w:rFonts w:ascii="Times New Roman" w:hAnsi="Times New Roman"/>
          <w:sz w:val="26"/>
          <w:szCs w:val="26"/>
        </w:rPr>
        <w:t>שְׁמַיָּא</w:t>
      </w:r>
      <w:r>
        <w:rPr>
          <w:rFonts w:ascii="Times New Roman" w:hAnsi="Times New Roman"/>
          <w:sz w:val="26"/>
          <w:szCs w:val="26"/>
        </w:rPr>
        <w:t xml:space="preserve"> </w:t>
      </w:r>
      <w:r>
        <w:rPr>
          <w:rFonts w:ascii="Times New Roman" w:hAnsi="Times New Roman"/>
          <w:sz w:val="26"/>
          <w:szCs w:val="26"/>
        </w:rPr>
        <w:t>בְּכָל</w:t>
      </w:r>
      <w:r>
        <w:rPr>
          <w:rFonts w:ascii="Times New Roman" w:hAnsi="Times New Roman"/>
          <w:sz w:val="26"/>
          <w:szCs w:val="26"/>
        </w:rPr>
        <w:t xml:space="preserve"> </w:t>
      </w:r>
      <w:r>
        <w:rPr>
          <w:rFonts w:ascii="Times New Roman" w:hAnsi="Times New Roman"/>
          <w:sz w:val="26"/>
          <w:szCs w:val="26"/>
        </w:rPr>
        <w:t>דָּר</w:t>
      </w:r>
      <w:r>
        <w:rPr>
          <w:rFonts w:ascii="Times New Roman" w:hAnsi="Times New Roman"/>
          <w:sz w:val="26"/>
          <w:szCs w:val="26"/>
        </w:rPr>
        <w:t xml:space="preserve"> </w:t>
      </w:r>
      <w:r>
        <w:rPr>
          <w:rFonts w:ascii="Times New Roman" w:hAnsi="Times New Roman"/>
          <w:sz w:val="26"/>
          <w:szCs w:val="26"/>
        </w:rPr>
        <w:t>וְדָר</w:t>
      </w:r>
    </w:p>
    <w:p w14:paraId="458CEAFB" w14:textId="77777777" w:rsidR="00212F1D" w:rsidRDefault="005150DB">
      <w:pPr>
        <w:pStyle w:val="BodySans"/>
      </w:pPr>
      <w:r>
        <w:t xml:space="preserve">"Sovereign King of heaven in every generation." In the Edot HaMizrach Rosh Hashanah </w:t>
      </w:r>
      <w:r>
        <w:rPr>
          <w:i/>
        </w:rPr>
        <w:t>Shacharit</w:t>
      </w:r>
      <w:r>
        <w:t xml:space="preserve"> (morning service), it appears within the expanded Birkhot K'riat Shema:</w:t>
      </w:r>
    </w:p>
    <w:p w14:paraId="4A1F7414" w14:textId="77777777" w:rsidR="00212F1D" w:rsidRDefault="005150DB">
      <w:pPr>
        <w:pStyle w:val="BodySans"/>
        <w:bidi/>
        <w:ind w:left="432" w:right="432"/>
        <w:jc w:val="right"/>
      </w:pPr>
      <w:r>
        <w:rPr>
          <w:rFonts w:ascii="Times New Roman" w:hAnsi="Times New Roman"/>
          <w:sz w:val="26"/>
          <w:szCs w:val="26"/>
        </w:rPr>
        <w:t>עֶזְרַת</w:t>
      </w:r>
      <w:r>
        <w:rPr>
          <w:rFonts w:ascii="Times New Roman" w:hAnsi="Times New Roman"/>
          <w:sz w:val="26"/>
          <w:szCs w:val="26"/>
        </w:rPr>
        <w:t xml:space="preserve"> </w:t>
      </w:r>
      <w:r>
        <w:rPr>
          <w:rFonts w:ascii="Times New Roman" w:hAnsi="Times New Roman"/>
          <w:sz w:val="26"/>
          <w:szCs w:val="26"/>
        </w:rPr>
        <w:t>אֲבוֹתֵינוּ</w:t>
      </w:r>
      <w:r>
        <w:rPr>
          <w:rFonts w:ascii="Times New Roman" w:hAnsi="Times New Roman"/>
          <w:sz w:val="26"/>
          <w:szCs w:val="26"/>
        </w:rPr>
        <w:t xml:space="preserve"> </w:t>
      </w:r>
      <w:r>
        <w:rPr>
          <w:rFonts w:ascii="Times New Roman" w:hAnsi="Times New Roman"/>
          <w:sz w:val="26"/>
          <w:szCs w:val="26"/>
        </w:rPr>
        <w:t>אַתָּה</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מֵעוֹלָם</w:t>
      </w:r>
      <w:r>
        <w:rPr>
          <w:rFonts w:ascii="Times New Roman" w:hAnsi="Times New Roman"/>
          <w:sz w:val="26"/>
          <w:szCs w:val="26"/>
        </w:rPr>
        <w:t xml:space="preserve"> </w:t>
      </w:r>
      <w:r>
        <w:rPr>
          <w:rFonts w:ascii="Times New Roman" w:hAnsi="Times New Roman"/>
          <w:sz w:val="26"/>
          <w:szCs w:val="26"/>
        </w:rPr>
        <w:t>מָגֵן</w:t>
      </w:r>
      <w:r>
        <w:rPr>
          <w:rFonts w:ascii="Times New Roman" w:hAnsi="Times New Roman"/>
          <w:sz w:val="26"/>
          <w:szCs w:val="26"/>
        </w:rPr>
        <w:t xml:space="preserve"> </w:t>
      </w:r>
      <w:r>
        <w:rPr>
          <w:rFonts w:ascii="Times New Roman" w:hAnsi="Times New Roman"/>
          <w:sz w:val="26"/>
          <w:szCs w:val="26"/>
        </w:rPr>
        <w:t>וּמוֹשִׁיעַ</w:t>
      </w:r>
      <w:r>
        <w:rPr>
          <w:rFonts w:ascii="Times New Roman" w:hAnsi="Times New Roman"/>
          <w:sz w:val="26"/>
          <w:szCs w:val="26"/>
        </w:rPr>
        <w:t xml:space="preserve"> </w:t>
      </w:r>
      <w:r>
        <w:rPr>
          <w:rFonts w:ascii="Times New Roman" w:hAnsi="Times New Roman"/>
          <w:sz w:val="26"/>
          <w:szCs w:val="26"/>
        </w:rPr>
        <w:t>לָהֶם</w:t>
      </w:r>
      <w:r>
        <w:rPr>
          <w:rFonts w:ascii="Times New Roman" w:hAnsi="Times New Roman"/>
          <w:sz w:val="26"/>
          <w:szCs w:val="26"/>
        </w:rPr>
        <w:t xml:space="preserve"> </w:t>
      </w:r>
      <w:r>
        <w:rPr>
          <w:rFonts w:ascii="Times New Roman" w:hAnsi="Times New Roman"/>
          <w:sz w:val="26"/>
          <w:szCs w:val="26"/>
        </w:rPr>
        <w:t>וְלִבְנֵיהֶם</w:t>
      </w:r>
      <w:r>
        <w:rPr>
          <w:rFonts w:ascii="Times New Roman" w:hAnsi="Times New Roman"/>
          <w:sz w:val="26"/>
          <w:szCs w:val="26"/>
        </w:rPr>
        <w:t xml:space="preserve"> </w:t>
      </w:r>
      <w:r>
        <w:rPr>
          <w:rFonts w:ascii="Times New Roman" w:hAnsi="Times New Roman"/>
          <w:sz w:val="26"/>
          <w:szCs w:val="26"/>
        </w:rPr>
        <w:t>אַחֲרֵיהֶם</w:t>
      </w:r>
      <w:r>
        <w:rPr>
          <w:rFonts w:ascii="Times New Roman" w:hAnsi="Times New Roman"/>
          <w:sz w:val="26"/>
          <w:szCs w:val="26"/>
        </w:rPr>
        <w:t xml:space="preserve"> </w:t>
      </w:r>
      <w:r>
        <w:rPr>
          <w:rFonts w:ascii="Times New Roman" w:hAnsi="Times New Roman"/>
          <w:sz w:val="26"/>
          <w:szCs w:val="26"/>
        </w:rPr>
        <w:t>בְּכָל</w:t>
      </w:r>
      <w:r>
        <w:rPr>
          <w:rFonts w:ascii="Times New Roman" w:hAnsi="Times New Roman"/>
          <w:sz w:val="26"/>
          <w:szCs w:val="26"/>
        </w:rPr>
        <w:t xml:space="preserve"> </w:t>
      </w:r>
      <w:r>
        <w:rPr>
          <w:rFonts w:ascii="Times New Roman" w:hAnsi="Times New Roman"/>
          <w:sz w:val="26"/>
          <w:szCs w:val="26"/>
        </w:rPr>
        <w:t>דֹּר</w:t>
      </w:r>
      <w:r>
        <w:rPr>
          <w:rFonts w:ascii="Times New Roman" w:hAnsi="Times New Roman"/>
          <w:sz w:val="26"/>
          <w:szCs w:val="26"/>
        </w:rPr>
        <w:t xml:space="preserve"> </w:t>
      </w:r>
      <w:r>
        <w:rPr>
          <w:rFonts w:ascii="Times New Roman" w:hAnsi="Times New Roman"/>
          <w:sz w:val="26"/>
          <w:szCs w:val="26"/>
        </w:rPr>
        <w:t>וָדֹר</w:t>
      </w:r>
    </w:p>
    <w:p w14:paraId="33B4F563" w14:textId="77777777" w:rsidR="00212F1D" w:rsidRDefault="005150DB">
      <w:pPr>
        <w:pStyle w:val="BodySans"/>
      </w:pPr>
      <w:r>
        <w:t>"You have been the help of our ancestors from of old, shield and savior to them and their children in every generation." In both cases, the psalmist's promise of transgenerational memory becomes liturgical reality.</w:t>
      </w:r>
    </w:p>
    <w:p w14:paraId="4036B3CD" w14:textId="77777777" w:rsidR="00212F1D" w:rsidRDefault="005150DB">
      <w:pPr>
        <w:pStyle w:val="BodySans"/>
      </w:pPr>
      <w:r>
        <w:t xml:space="preserve">The phrase </w:t>
      </w:r>
      <w:r>
        <w:t>שֵׁבֶט</w:t>
      </w:r>
      <w:r>
        <w:t xml:space="preserve"> </w:t>
      </w:r>
      <w:r>
        <w:t>מִישׁוֹר</w:t>
      </w:r>
      <w:r>
        <w:t xml:space="preserve">,‎ "scepter of equity" (v. 7), enters the Yom Kippur </w:t>
      </w:r>
      <w:r>
        <w:rPr>
          <w:i/>
        </w:rPr>
        <w:t>Musaf</w:t>
      </w:r>
      <w:r>
        <w:t xml:space="preserve"> (additional service) through the </w:t>
      </w:r>
      <w:r>
        <w:rPr>
          <w:i/>
        </w:rPr>
        <w:t>Seder Ha-Avodah</w:t>
      </w:r>
      <w:r>
        <w:t xml:space="preserve">, the poetic reenactment of the Temple service. In the Ashkenazic </w:t>
      </w:r>
      <w:r>
        <w:rPr>
          <w:i/>
        </w:rPr>
        <w:t>Mareh Kohen</w:t>
      </w:r>
      <w:r>
        <w:t xml:space="preserve"> piyyut, which describes the High Priest emerging from the Holy of Holies in a cascade of similes, the image of the equitable scepter portrays him — and through him, God — as embodying perfectly straight judgment. The royal wedding psalm is thus transposed into the key of atonement: the "scepter of equity" that </w:t>
      </w:r>
      <w:r>
        <w:t>governed the king's earthly throne now represents the uncompromising justice the High Priest seeks to appease.</w:t>
      </w:r>
    </w:p>
    <w:p w14:paraId="0D9C9B57" w14:textId="77777777" w:rsidR="00212F1D" w:rsidRDefault="005150DB">
      <w:pPr>
        <w:pStyle w:val="BodySans"/>
      </w:pPr>
      <w:r>
        <w:t xml:space="preserve">Perhaps most unexpected is the deployment of </w:t>
      </w:r>
      <w:bdo w:val="ltr">
        <w:r>
          <w:t>וֹל</w:t>
        </w:r>
        <w:r>
          <w:t xml:space="preserve"> </w:t>
        </w:r>
        <w:r>
          <w:t>יוִחֲתַּשְׁהִוְ</w:t>
        </w:r>
        <w:r>
          <w:t xml:space="preserve"> </w:t>
        </w:r>
        <w:r>
          <w:t>ךְיִנַדֹאֲ</w:t>
        </w:r>
        <w:r>
          <w:t xml:space="preserve"> </w:t>
        </w:r>
        <w:r>
          <w:t>אוּה</w:t>
        </w:r>
        <w:r>
          <w:t xml:space="preserve"> </w:t>
        </w:r>
        <w:r>
          <w:t>יכִּ</w:t>
        </w:r>
        <w:r>
          <w:t>‬</w:t>
        </w:r>
        <w:r>
          <w:t>, "for he is your lord, bow to him" (v. 12), in a Shabbat Zachor piyyut within the Edot HaMizrach rite. The poem retells the story of Esther, and at the moment of Esther's entry into the royal house, the poet quotes the psalm directly:‏</w:t>
        </w:r>
      </w:bdo>
    </w:p>
    <w:p w14:paraId="4C00003E" w14:textId="77777777" w:rsidR="00212F1D" w:rsidRDefault="005150DB">
      <w:pPr>
        <w:pStyle w:val="BodySans"/>
        <w:bidi/>
        <w:ind w:left="432" w:right="432"/>
        <w:jc w:val="right"/>
      </w:pPr>
      <w:r>
        <w:rPr>
          <w:rFonts w:ascii="Times New Roman" w:hAnsi="Times New Roman"/>
          <w:sz w:val="26"/>
          <w:szCs w:val="26"/>
        </w:rPr>
        <w:t>וּמָרְדְּכַי</w:t>
      </w:r>
      <w:r>
        <w:rPr>
          <w:rFonts w:ascii="Times New Roman" w:hAnsi="Times New Roman"/>
          <w:sz w:val="26"/>
          <w:szCs w:val="26"/>
        </w:rPr>
        <w:t xml:space="preserve"> </w:t>
      </w:r>
      <w:r>
        <w:rPr>
          <w:rFonts w:ascii="Times New Roman" w:hAnsi="Times New Roman"/>
          <w:sz w:val="26"/>
          <w:szCs w:val="26"/>
        </w:rPr>
        <w:t>צִוָּה</w:t>
      </w:r>
      <w:r>
        <w:rPr>
          <w:rFonts w:ascii="Times New Roman" w:hAnsi="Times New Roman"/>
          <w:sz w:val="26"/>
          <w:szCs w:val="26"/>
        </w:rPr>
        <w:t xml:space="preserve"> </w:t>
      </w:r>
      <w:r>
        <w:rPr>
          <w:rFonts w:ascii="Times New Roman" w:hAnsi="Times New Roman"/>
          <w:sz w:val="26"/>
          <w:szCs w:val="26"/>
        </w:rPr>
        <w:t>לָהּ</w:t>
      </w:r>
      <w:r>
        <w:rPr>
          <w:rFonts w:ascii="Times New Roman" w:hAnsi="Times New Roman"/>
          <w:sz w:val="26"/>
          <w:szCs w:val="26"/>
        </w:rPr>
        <w:t xml:space="preserve"> </w:t>
      </w:r>
      <w:r>
        <w:rPr>
          <w:rFonts w:ascii="Times New Roman" w:hAnsi="Times New Roman"/>
          <w:sz w:val="26"/>
          <w:szCs w:val="26"/>
        </w:rPr>
        <w:t>לְכִי</w:t>
      </w:r>
      <w:r>
        <w:rPr>
          <w:rFonts w:ascii="Times New Roman" w:hAnsi="Times New Roman"/>
          <w:sz w:val="26"/>
          <w:szCs w:val="26"/>
        </w:rPr>
        <w:t xml:space="preserve"> </w:t>
      </w:r>
      <w:r>
        <w:rPr>
          <w:rFonts w:ascii="Times New Roman" w:hAnsi="Times New Roman"/>
          <w:sz w:val="26"/>
          <w:szCs w:val="26"/>
        </w:rPr>
        <w:t>לְשָׁלוֹם</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אֲדֹנַיִךְ</w:t>
      </w:r>
      <w:r>
        <w:rPr>
          <w:rFonts w:ascii="Times New Roman" w:hAnsi="Times New Roman"/>
          <w:sz w:val="26"/>
          <w:szCs w:val="26"/>
        </w:rPr>
        <w:t xml:space="preserve"> </w:t>
      </w:r>
      <w:r>
        <w:rPr>
          <w:rFonts w:ascii="Times New Roman" w:hAnsi="Times New Roman"/>
          <w:sz w:val="26"/>
          <w:szCs w:val="26"/>
        </w:rPr>
        <w:t>וְהִשְׁתַּחֲוִי</w:t>
      </w:r>
      <w:r>
        <w:rPr>
          <w:rFonts w:ascii="Times New Roman" w:hAnsi="Times New Roman"/>
          <w:sz w:val="26"/>
          <w:szCs w:val="26"/>
        </w:rPr>
        <w:t xml:space="preserve"> </w:t>
      </w:r>
      <w:r>
        <w:rPr>
          <w:rFonts w:ascii="Times New Roman" w:hAnsi="Times New Roman"/>
          <w:sz w:val="26"/>
          <w:szCs w:val="26"/>
        </w:rPr>
        <w:t>לוֹ</w:t>
      </w:r>
    </w:p>
    <w:p w14:paraId="371627BC" w14:textId="77777777" w:rsidR="00212F1D" w:rsidRDefault="005150DB">
      <w:pPr>
        <w:pStyle w:val="BodySans"/>
      </w:pPr>
      <w:r>
        <w:t>"and Mordecai commanded her, 'Go in peace, for he is your lord, bow to him.'" The psalm's command to the bride becomes Mordecai's charge to Esther — submission to the earthly king as an instrument of divine purpose. The liturgy thus reads Psalm 45 through the Esther narrative, turning the royal bride into the archetypal Jewish woman who enters a foreign court to save her people.</w:t>
      </w:r>
    </w:p>
    <w:p w14:paraId="67FF2FA3" w14:textId="77777777" w:rsidR="00212F1D" w:rsidRDefault="005150DB">
      <w:pPr>
        <w:pStyle w:val="BodySans"/>
      </w:pPr>
      <w:r>
        <w:t xml:space="preserve">Finally, the processional joy of </w:t>
      </w:r>
      <w:bdo w:val="ltr">
        <w:r>
          <w:t>ךְלֶמֶ</w:t>
        </w:r>
        <w:r>
          <w:t xml:space="preserve"> </w:t>
        </w:r>
        <w:r>
          <w:t>לכַיהֵבְּ</w:t>
        </w:r>
        <w:r>
          <w:t xml:space="preserve"> </w:t>
        </w:r>
        <w:r>
          <w:t>הנָיאֶבֹתְּ</w:t>
        </w:r>
        <w:r>
          <w:t xml:space="preserve"> </w:t>
        </w:r>
        <w:r>
          <w:t>ליגִוָ</w:t>
        </w:r>
        <w:r>
          <w:t xml:space="preserve"> </w:t>
        </w:r>
        <w:r>
          <w:t>תחֹמָשְׂבִּ</w:t>
        </w:r>
        <w:r>
          <w:t>‬</w:t>
        </w:r>
        <w:r>
          <w:t xml:space="preserve">, "they are led in with joy and gladness; they enter the palace of the king" (v. 16), appears in the special </w:t>
        </w:r>
        <w:r>
          <w:rPr>
            <w:i/>
          </w:rPr>
          <w:t>Selichot</w:t>
        </w:r>
        <w:r>
          <w:t xml:space="preserve"> (penitential prayers) for the fast of the twentieth of Sivan, preserved in the Hasidic rite (Nusach Sefard). In a searing inversion, the poem describes women going to their martyrdom: </w:t>
        </w:r>
        <w:bdo w:val="ltr">
          <w:r>
            <w:t>ךְלֶמֶ</w:t>
          </w:r>
          <w:r>
            <w:t xml:space="preserve"> </w:t>
          </w:r>
          <w:r>
            <w:t>לכַיהֵבְּ</w:t>
          </w:r>
          <w:r>
            <w:t xml:space="preserve"> </w:t>
          </w:r>
          <w:r>
            <w:t>הנָיאֶוֹבתְּ</w:t>
          </w:r>
          <w:r>
            <w:t xml:space="preserve"> </w:t>
          </w:r>
          <w:r>
            <w:t>ליגִוָ</w:t>
          </w:r>
          <w:r>
            <w:t xml:space="preserve"> </w:t>
          </w:r>
          <w:r>
            <w:t>תחֹמָשְׂבִּ</w:t>
          </w:r>
          <w:r>
            <w:t>‬</w:t>
          </w:r>
          <w:r>
            <w:t xml:space="preserve"> — the bridal procession becomes a march to </w:t>
          </w:r>
          <w:r>
            <w:lastRenderedPageBreak/>
            <w:t xml:space="preserve">sanctified death, as those dying </w:t>
          </w:r>
          <w:r>
            <w:rPr>
              <w:i/>
            </w:rPr>
            <w:t>al kiddush Hashem</w:t>
          </w:r>
          <w:r>
            <w:t xml:space="preserve"> (for the sanctif</w:t>
          </w:r>
          <w:r>
            <w:t>ication of God's name) are envisioned entering God's heavenly palace "with joy and gladness." The wedding song becomes a dirge that is also a coronation.</w:t>
          </w:r>
        </w:bdo>
      </w:bdo>
    </w:p>
    <w:p w14:paraId="43D35FF9" w14:textId="77777777" w:rsidR="00212F1D" w:rsidRDefault="005150DB">
      <w:pPr>
        <w:pStyle w:val="Heading2"/>
      </w:pPr>
      <w:r>
        <w:t>Verse-by-Verse Commentary</w:t>
      </w:r>
    </w:p>
    <w:p w14:paraId="1F15B28B" w14:textId="77777777" w:rsidR="00212F1D" w:rsidRDefault="005150DB">
      <w:pPr>
        <w:pStyle w:val="Heading3"/>
      </w:pPr>
      <w:r>
        <w:t>Verse 1</w:t>
      </w:r>
    </w:p>
    <w:p w14:paraId="1E6F453B" w14:textId="77777777" w:rsidR="00212F1D" w:rsidRDefault="005150DB">
      <w:pPr>
        <w:pStyle w:val="BodySans"/>
      </w:pPr>
      <w:bdo w:val="ltr">
        <w:r>
          <w:t>׃תדֹידִיְ</w:t>
        </w:r>
        <w:r>
          <w:t xml:space="preserve"> </w:t>
        </w:r>
        <w:r>
          <w:t>רישִׁ</w:t>
        </w:r>
        <w:r>
          <w:t xml:space="preserve"> ;</w:t>
        </w:r>
        <w:r>
          <w:t>ליכִּשְׂמַ</w:t>
        </w:r>
        <w:r>
          <w:t xml:space="preserve"> ;</w:t>
        </w:r>
        <w:r>
          <w:t>חרַקֹ־ינֵבְלִ</w:t>
        </w:r>
        <w:r>
          <w:t xml:space="preserve"> ;</w:t>
        </w:r>
        <w:r>
          <w:t>םינִּשַׁשֹׁ־לעַ</w:t>
        </w:r>
        <w:r>
          <w:t xml:space="preserve"> </w:t>
        </w:r>
        <w:r>
          <w:t>חַצֵּנַמְלַ</w:t>
        </w:r>
        <w:r>
          <w:t>‬</w:t>
        </w:r>
      </w:bdo>
    </w:p>
    <w:p w14:paraId="2DBFADE5" w14:textId="77777777" w:rsidR="00212F1D" w:rsidRDefault="005150DB">
      <w:pPr>
        <w:pStyle w:val="BodySans"/>
      </w:pPr>
      <w:r>
        <w:t xml:space="preserve">The superscription stacks three genre markers in a combination without parallel in the Psalter. The first, </w:t>
      </w:r>
      <w:r>
        <w:t>מַשְׂכִּיל</w:t>
      </w:r>
      <w:r>
        <w:t xml:space="preserve">,‎ derives from the root </w:t>
      </w:r>
      <w:r>
        <w:t>שׂ</w:t>
      </w:r>
      <w:r>
        <w:t>-</w:t>
      </w:r>
      <w:r>
        <w:t>כ</w:t>
      </w:r>
      <w:r>
        <w:t>-</w:t>
      </w:r>
      <w:r>
        <w:t>ל</w:t>
      </w:r>
      <w:r>
        <w:t xml:space="preserve">,‎ "to understand, to contemplate" — classifying the poem as a wisdom-composition, a piece requiring cognitive engagement (the term heads thirteen psalms, including Pss 32, 42, 52, 78). The second, </w:t>
      </w:r>
      <w:r>
        <w:t>שִׁיר</w:t>
      </w:r>
      <w:r>
        <w:t xml:space="preserve">,‎ simply means "song." The third, </w:t>
      </w:r>
      <w:r>
        <w:t>יְדִידֹת</w:t>
      </w:r>
      <w:r>
        <w:t xml:space="preserve">,‎ is the most revealing: it is the plural construct of </w:t>
      </w:r>
      <w:r>
        <w:t>יְדִידָה</w:t>
      </w:r>
      <w:r>
        <w:t xml:space="preserve">,‎ "beloved," yielding something like "a song of beloved-things" or, as an intensive plural, "a most-beloved song." The root </w:t>
      </w:r>
      <w:r>
        <w:t>י</w:t>
      </w:r>
      <w:r>
        <w:t>-</w:t>
      </w:r>
      <w:r>
        <w:t>ד</w:t>
      </w:r>
      <w:r>
        <w:t>-</w:t>
      </w:r>
      <w:r>
        <w:t>ד</w:t>
      </w:r>
      <w:r>
        <w:t xml:space="preserve"> carries deep affective weight </w:t>
      </w:r>
      <w:r>
        <w:t xml:space="preserve">— it is cognate with the name </w:t>
      </w:r>
      <w:r>
        <w:t>דָּוִד</w:t>
      </w:r>
      <w:r>
        <w:t xml:space="preserve"> (David) itself, and with </w:t>
      </w:r>
      <w:r>
        <w:t>יְדִידְיָהּ</w:t>
      </w:r>
      <w:r>
        <w:t xml:space="preserve"> (Jedidiah), the name God gave Solomon through Nathan the prophet (2 Sam 12:25). The Septuagint singularizes to </w:t>
      </w:r>
      <w:r>
        <w:t>ἀ</w:t>
      </w:r>
      <w:r>
        <w:t>γαπητός, "the beloved one." But the Hebrew plural resists this narrowing — it may gesture toward multiple objects of love (king, bride, dynasty), or it may simply intensify the emotional register: this is a supremely loved song.‏</w:t>
      </w:r>
    </w:p>
    <w:p w14:paraId="2D7EEC48" w14:textId="77777777" w:rsidR="00212F1D" w:rsidRDefault="005150DB">
      <w:pPr>
        <w:pStyle w:val="BodySans"/>
      </w:pPr>
      <w:r>
        <w:t xml:space="preserve">The tension between </w:t>
      </w:r>
      <w:r>
        <w:t>מַשְׂכִּיל</w:t>
      </w:r>
      <w:r>
        <w:t xml:space="preserve"> (contemplative) and </w:t>
      </w:r>
      <w:r>
        <w:t>שִׁיר</w:t>
      </w:r>
      <w:r>
        <w:t xml:space="preserve"> </w:t>
      </w:r>
      <w:r>
        <w:t>יְדִידֹת</w:t>
      </w:r>
      <w:r>
        <w:t xml:space="preserve"> (love song) is deliberate. The superscription tells the reader: think and feel at the same time. Radak confirms this dual register, noting that the psalm was composed </w:t>
      </w:r>
      <w:bdo w:val="ltr">
        <w:r>
          <w:t>חַישִׁמָּהַ</w:t>
        </w:r>
        <w:r>
          <w:t xml:space="preserve"> </w:t>
        </w:r>
        <w:r>
          <w:t>ךְלֶמֶּהַ</w:t>
        </w:r>
        <w:r>
          <w:t xml:space="preserve"> </w:t>
        </w:r>
        <w:r>
          <w:t>לעַ</w:t>
        </w:r>
        <w:r>
          <w:t>‬</w:t>
        </w:r>
        <w:r>
          <w:t xml:space="preserve">, "concerning the King Messiah," while calling it </w:t>
        </w:r>
        <w:r>
          <w:t>שִׁיר</w:t>
        </w:r>
        <w:r>
          <w:t xml:space="preserve"> </w:t>
        </w:r>
        <w:r>
          <w:t>יְדִידוֹת</w:t>
        </w:r>
        <w:r>
          <w:t>,‎ "a love song, for in it is the love of God for His anointed."</w:t>
        </w:r>
      </w:bdo>
    </w:p>
    <w:p w14:paraId="793B4192" w14:textId="77777777" w:rsidR="00212F1D" w:rsidRDefault="005150DB">
      <w:pPr>
        <w:pStyle w:val="BodySans"/>
      </w:pPr>
      <w:r>
        <w:t xml:space="preserve">The musical direction </w:t>
      </w:r>
      <w:r>
        <w:t>עַל־שֹׁשַׁנִּים</w:t>
      </w:r>
      <w:r>
        <w:t xml:space="preserve">,‎ "upon lilies," likely indicates a known melody. But at a wedding poem, the word </w:t>
      </w:r>
      <w:r>
        <w:t>שׁוֹשַׁן</w:t>
      </w:r>
      <w:r>
        <w:t xml:space="preserve"> (lily, lotus) is thematically resonant: the beloved in Song of Songs 2:1 calls herself </w:t>
      </w:r>
      <w:r>
        <w:t>שׁוֹשַׁנַּת</w:t>
      </w:r>
      <w:r>
        <w:t xml:space="preserve"> </w:t>
      </w:r>
      <w:r>
        <w:t>הָעֲמָקִים</w:t>
      </w:r>
      <w:r>
        <w:t xml:space="preserve">,‎ "a lily of the valleys," and the lover praises her as </w:t>
      </w:r>
      <w:bdo w:val="ltr">
        <w:r>
          <w:t>םיחִוֹחהַ</w:t>
        </w:r>
        <w:r>
          <w:t xml:space="preserve"> </w:t>
        </w:r>
        <w:r>
          <w:t>ןיבֵּ</w:t>
        </w:r>
        <w:r>
          <w:t xml:space="preserve"> </w:t>
        </w:r>
        <w:r>
          <w:t>הנָּשַׁוֹשׁ</w:t>
        </w:r>
        <w:r>
          <w:t>‬</w:t>
        </w:r>
        <w:r>
          <w:t>, "a lily among thorns" (Song 2:2). The musical heading and the wedding content share a floral vocabulary with Israel's great erotic poem.‏</w:t>
        </w:r>
      </w:bdo>
    </w:p>
    <w:p w14:paraId="714F7FD0" w14:textId="77777777" w:rsidR="00212F1D" w:rsidRDefault="005150DB">
      <w:pPr>
        <w:pStyle w:val="BodySans"/>
      </w:pPr>
      <w:r>
        <w:t xml:space="preserve">The Korahite attribution </w:t>
      </w:r>
      <w:bdo w:val="ltr">
        <w:r>
          <w:t>(</w:t>
        </w:r>
        <w:r>
          <w:t>חרַקֹ־ינֵבְלִ</w:t>
        </w:r>
        <w:r>
          <w:t>)</w:t>
        </w:r>
        <w:r>
          <w:t>‬ is historically ironic. Korah was the Levite who led a rebellion against Moses and was swallowed by the earth (Num 16). Yet his descendants survived (Num 26:11), became Temple singers, and produced some of the Psalter's most theologically searching poems (Pss 42–49, 84–88). The guild descended from the archetypal rebel against authority now composes a poem celebrating royal authority at its most exalted.‏</w:t>
        </w:r>
      </w:bdo>
    </w:p>
    <w:p w14:paraId="11E73F7C" w14:textId="77777777" w:rsidR="00212F1D" w:rsidRDefault="005150DB">
      <w:pPr>
        <w:pStyle w:val="Heading3"/>
      </w:pPr>
      <w:r>
        <w:lastRenderedPageBreak/>
        <w:t>Verse 2</w:t>
      </w:r>
    </w:p>
    <w:p w14:paraId="6F7B2154" w14:textId="77777777" w:rsidR="00212F1D" w:rsidRDefault="005150DB">
      <w:pPr>
        <w:pStyle w:val="BodySans"/>
      </w:pPr>
      <w:bdo w:val="ltr">
        <w:r>
          <w:t>׃ריהִמָ</w:t>
        </w:r>
        <w:r>
          <w:t xml:space="preserve"> </w:t>
        </w:r>
        <w:r>
          <w:t>רפֵוֹס</w:t>
        </w:r>
        <w:r>
          <w:t xml:space="preserve"> </w:t>
        </w:r>
        <w:r>
          <w:t>טעֵ</w:t>
        </w:r>
        <w:r>
          <w:t xml:space="preserve"> </w:t>
        </w:r>
        <w:r>
          <w:t>ינִוֹשׁלְ</w:t>
        </w:r>
        <w:r>
          <w:t xml:space="preserve"> ;</w:t>
        </w:r>
        <w:r>
          <w:t>ךְלֶמֶלְ</w:t>
        </w:r>
        <w:r>
          <w:t xml:space="preserve"> </w:t>
        </w:r>
        <w:r>
          <w:t>ישַׂעֲמַ</w:t>
        </w:r>
        <w:r>
          <w:t xml:space="preserve"> </w:t>
        </w:r>
        <w:r>
          <w:t>ינִאָ</w:t>
        </w:r>
        <w:r>
          <w:t xml:space="preserve"> </w:t>
        </w:r>
        <w:r>
          <w:t>רמֵאֹ</w:t>
        </w:r>
        <w:r>
          <w:t xml:space="preserve"> ;</w:t>
        </w:r>
        <w:r>
          <w:t>בוֹט</w:t>
        </w:r>
        <w:r>
          <w:t xml:space="preserve"> </w:t>
        </w:r>
        <w:r>
          <w:t>רבָדָּ</w:t>
        </w:r>
        <w:r>
          <w:t xml:space="preserve"> </w:t>
        </w:r>
        <w:r>
          <w:t>יבִּלִ</w:t>
        </w:r>
        <w:r>
          <w:t xml:space="preserve"> </w:t>
        </w:r>
        <w:r>
          <w:t>שׁחַרָ</w:t>
        </w:r>
        <w:r>
          <w:t>‬</w:t>
        </w:r>
      </w:bdo>
    </w:p>
    <w:p w14:paraId="61BA96F0" w14:textId="77777777" w:rsidR="00212F1D" w:rsidRDefault="005150DB">
      <w:pPr>
        <w:pStyle w:val="BodySans"/>
      </w:pPr>
      <w:r>
        <w:t xml:space="preserve">The verse moves through three clauses that trace the poem's genesis from body to voice to instrument: heart </w:t>
      </w:r>
      <w:bdo w:val="ltr">
        <w:r>
          <w:t>(</w:t>
        </w:r>
        <w:r>
          <w:t>יבִּלִ</w:t>
        </w:r>
        <w:r>
          <w:t>)</w:t>
        </w:r>
        <w:r>
          <w:t xml:space="preserve">‬ → speech </w:t>
        </w:r>
        <w:bdo w:val="ltr">
          <w:r>
            <w:t>(</w:t>
          </w:r>
          <w:r>
            <w:t>ינִאָ</w:t>
          </w:r>
          <w:r>
            <w:t xml:space="preserve"> </w:t>
          </w:r>
          <w:r>
            <w:t>רמֵאֹ</w:t>
          </w:r>
          <w:r>
            <w:t>)</w:t>
          </w:r>
          <w:r>
            <w:t xml:space="preserve">‬ → tongue-as-pen </w:t>
          </w:r>
          <w:bdo w:val="ltr">
            <w:r>
              <w:t>(</w:t>
            </w:r>
            <w:r>
              <w:t>טעֵ</w:t>
            </w:r>
            <w:r>
              <w:t xml:space="preserve"> </w:t>
            </w:r>
            <w:r>
              <w:t>ינִוֹשׁלְ</w:t>
            </w:r>
            <w:r>
              <w:t>)</w:t>
            </w:r>
            <w:r>
              <w:t xml:space="preserve">‬. The verb </w:t>
            </w:r>
            <w:r>
              <w:t>רָחַשׁ</w:t>
            </w:r>
            <w:r>
              <w:t xml:space="preserve">,‎ as Klein's dictionary confirms, carries a semantic range from "to move, be astir" to "to creep, swarm" — the original meaning, Klein notes, is simply "to move," with all other senses branching from it. Rashi glosses it as </w:t>
            </w:r>
            <w:r>
              <w:t>לְשׁוֹן</w:t>
            </w:r>
            <w:r>
              <w:t xml:space="preserve"> </w:t>
            </w:r>
            <w:r>
              <w:t>נַעֲנוּעַ</w:t>
            </w:r>
            <w:r>
              <w:t xml:space="preserve">,‎ "an expression of shaking/moving," and more vividly as </w:t>
            </w:r>
            <w:r>
              <w:t>הִשְׁרִיץ</w:t>
            </w:r>
            <w:r>
              <w:t xml:space="preserve"> </w:t>
            </w:r>
            <w:r>
              <w:t>לִבִּי</w:t>
            </w:r>
            <w:r>
              <w:t xml:space="preserve">,‎ "my heart caused [words] to swarm within me." The image is of something alive — not controlled thought but </w:t>
            </w:r>
            <w:r>
              <w:t>organic stirring.‏</w:t>
            </w:r>
          </w:bdo>
        </w:bdo>
      </w:bdo>
    </w:p>
    <w:p w14:paraId="4E3D661B" w14:textId="77777777" w:rsidR="00212F1D" w:rsidRDefault="005150DB">
      <w:pPr>
        <w:pStyle w:val="BodySans"/>
      </w:pPr>
      <w:r>
        <w:t xml:space="preserve">Then the claim shifts to mastery. The metaphor </w:t>
      </w:r>
      <w:bdo w:val="ltr">
        <w:r>
          <w:t>ריהִמָ</w:t>
        </w:r>
        <w:r>
          <w:t xml:space="preserve"> </w:t>
        </w:r>
        <w:r>
          <w:t>רפֵוֹס</w:t>
        </w:r>
        <w:r>
          <w:t xml:space="preserve"> </w:t>
        </w:r>
        <w:r>
          <w:t>טעֵ</w:t>
        </w:r>
        <w:r>
          <w:t xml:space="preserve"> </w:t>
        </w:r>
        <w:r>
          <w:t>ינִוֹשׁלְ</w:t>
        </w:r>
        <w:r>
          <w:t>‬</w:t>
        </w:r>
        <w:r>
          <w:t xml:space="preserve">, "my tongue is the pen of an expert scribe," is unique in biblical poetry. Elsewhere, tongues lie (Prov 12:19: </w:t>
        </w:r>
        <w:r>
          <w:t>לְשׁוֹן</w:t>
        </w:r>
        <w:r>
          <w:t xml:space="preserve"> </w:t>
        </w:r>
        <w:r>
          <w:t>שָׁקֶר</w:t>
        </w:r>
        <w:r>
          <w:t xml:space="preserve">,‎ "a lying tongue"), tongues are heavy (Exod 4:10: </w:t>
        </w:r>
        <w:r>
          <w:t>כְבַד</w:t>
        </w:r>
        <w:r>
          <w:t xml:space="preserve"> </w:t>
        </w:r>
        <w:r>
          <w:t>לָשׁוֹן</w:t>
        </w:r>
        <w:r>
          <w:t xml:space="preserve">,‎ "heavy of tongue"), tongues carry divine words (2 Sam 23:2: </w:t>
        </w:r>
        <w:bdo w:val="ltr">
          <w:r>
            <w:t>ינִוֹשׁלְ</w:t>
          </w:r>
          <w:r>
            <w:t xml:space="preserve"> </w:t>
          </w:r>
          <w:r>
            <w:t>לעַ</w:t>
          </w:r>
          <w:r>
            <w:t xml:space="preserve"> </w:t>
          </w:r>
          <w:r>
            <w:t>וֹתלָּמִוּ</w:t>
          </w:r>
          <w:r>
            <w:t>‬</w:t>
          </w:r>
          <w:r>
            <w:t>, "His word is on my tongue"). But only here does the tongue become a writing instrument — collapsing the distance between oral performance and scribal inscription. What is spoken claims the permanence o</w:t>
          </w:r>
          <w:r>
            <w:t xml:space="preserve">f what is written. The word </w:t>
          </w:r>
          <w:r>
            <w:t>מָהִיר</w:t>
          </w:r>
          <w:r>
            <w:t xml:space="preserve"> means not merely "fast" but "skilled, expert" (cf. Prov 22:29: </w:t>
          </w:r>
          <w:bdo w:val="ltr">
            <w:r>
              <w:t>וֹתּכְאלַמְבִּ</w:t>
            </w:r>
            <w:r>
              <w:t xml:space="preserve"> </w:t>
            </w:r>
            <w:r>
              <w:t>ריהִמָ</w:t>
            </w:r>
            <w:r>
              <w:t xml:space="preserve"> </w:t>
            </w:r>
            <w:r>
              <w:t>שׁיאִ</w:t>
            </w:r>
            <w:r>
              <w:t xml:space="preserve"> </w:t>
            </w:r>
            <w:r>
              <w:t>תָיזִחָ</w:t>
            </w:r>
            <w:r>
              <w:t>‬</w:t>
            </w:r>
            <w:r>
              <w:t>, "Do you see a man skilled in his work?"). Speed implies mastery, not haste.‏</w:t>
            </w:r>
          </w:bdo>
        </w:bdo>
      </w:bdo>
    </w:p>
    <w:p w14:paraId="2482E962" w14:textId="77777777" w:rsidR="00212F1D" w:rsidRDefault="005150DB">
      <w:pPr>
        <w:pStyle w:val="BodySans"/>
      </w:pPr>
      <w:r>
        <w:t>Malbim offers the most systematic reading of this verse, arguing that the quality of a poem is measured in three dimensions: its intellectual content (</w:t>
      </w:r>
      <w:bdo w:val="ltr">
        <w:r>
          <w:t>בוֹט</w:t>
        </w:r>
        <w:r>
          <w:t xml:space="preserve"> </w:t>
        </w:r>
        <w:r>
          <w:t>רבָדָּ</w:t>
        </w:r>
        <w:r>
          <w:t xml:space="preserve"> </w:t>
        </w:r>
        <w:r>
          <w:t>יבִּלִ</w:t>
        </w:r>
        <w:r>
          <w:t xml:space="preserve"> </w:t>
        </w:r>
        <w:r>
          <w:t>שׁחַרָ</w:t>
        </w:r>
        <w:r>
          <w:t>‬</w:t>
        </w:r>
        <w:r>
          <w:t xml:space="preserve"> — beneath the surface, wisdom stirs), its subject matter (</w:t>
        </w:r>
        <w:bdo w:val="ltr">
          <w:r>
            <w:t>ךְלֶמֶלְ</w:t>
          </w:r>
          <w:r>
            <w:t xml:space="preserve"> </w:t>
          </w:r>
          <w:r>
            <w:t>ישַׂעֲמַ</w:t>
          </w:r>
          <w:r>
            <w:t xml:space="preserve"> </w:t>
          </w:r>
          <w:r>
            <w:t>ינִאָ</w:t>
          </w:r>
          <w:r>
            <w:t xml:space="preserve"> </w:t>
          </w:r>
          <w:r>
            <w:t>רמֵאֹ</w:t>
          </w:r>
          <w:r>
            <w:t>‬</w:t>
          </w:r>
          <w:r>
            <w:t xml:space="preserve"> — it is composed for a king), and its verbal craft (</w:t>
          </w:r>
          <w:bdo w:val="ltr">
            <w:r>
              <w:t>ריהִמָ</w:t>
            </w:r>
            <w:r>
              <w:t xml:space="preserve"> </w:t>
            </w:r>
            <w:r>
              <w:t>רפֵוֹס</w:t>
            </w:r>
            <w:r>
              <w:t xml:space="preserve"> </w:t>
            </w:r>
            <w:r>
              <w:t>טעֵ</w:t>
            </w:r>
            <w:r>
              <w:t xml:space="preserve"> </w:t>
            </w:r>
            <w:r>
              <w:t>ינִוֹשׁלְ</w:t>
            </w:r>
            <w:r>
              <w:t>‬</w:t>
            </w:r>
            <w:r>
              <w:t xml:space="preserve"> — the language is elevated and precise). The verse thus functions as an ars poetica: a declaration of method.‏</w:t>
            </w:r>
          </w:bdo>
        </w:bdo>
      </w:bdo>
    </w:p>
    <w:p w14:paraId="4D402AB2" w14:textId="77777777" w:rsidR="00212F1D" w:rsidRDefault="005150DB">
      <w:pPr>
        <w:pStyle w:val="BodySans"/>
      </w:pPr>
      <w:r>
        <w:t xml:space="preserve">Sir Philip Sidney, composing his own poetic manifesto in 1591, dramatized exactly the tension the psalmist resolves so effortlessly. In the first sonnet of </w:t>
      </w:r>
      <w:r>
        <w:rPr>
          <w:i/>
        </w:rPr>
        <w:t>Astrophil and Stella</w:t>
      </w:r>
      <w:r>
        <w:t>, the poet describes writerly agony until his Muse intervenes: "'Fool,' said my Muse to me, 'look in thy heart, and write.'" Sidney's pen must be coerced; the psalmist's tongue runs like an expert scribe's stylus without friction. The comparison highlights what is distinctive about the biblical poet's self-presentation: inspiration and craft arrive simultaneously, not sequentially.</w:t>
      </w:r>
    </w:p>
    <w:p w14:paraId="31B2BD31" w14:textId="77777777" w:rsidR="00212F1D" w:rsidRDefault="005150DB">
      <w:pPr>
        <w:pStyle w:val="BodySans"/>
      </w:pPr>
      <w:r>
        <w:t xml:space="preserve">Note also the lack of the definite article: </w:t>
      </w:r>
      <w:r>
        <w:t>מַעֲשַׂי</w:t>
      </w:r>
      <w:r>
        <w:t xml:space="preserve"> </w:t>
      </w:r>
      <w:r>
        <w:t>לְמֶלֶךְ</w:t>
      </w:r>
      <w:r>
        <w:t>,‎ "my works to a king" — not "the king." Whether this signals an archetypal or idealized referent (Meiri reads it as prophetic, about a future king), or is simply a feature of elevated poetic diction, the indefiniteness keeps the poem from being reducible to a single historical occasion.</w:t>
      </w:r>
    </w:p>
    <w:p w14:paraId="3110C211" w14:textId="77777777" w:rsidR="00212F1D" w:rsidRDefault="005150DB">
      <w:pPr>
        <w:pStyle w:val="Heading3"/>
      </w:pPr>
      <w:r>
        <w:lastRenderedPageBreak/>
        <w:t>Verse 3</w:t>
      </w:r>
    </w:p>
    <w:p w14:paraId="6AF1C1AB" w14:textId="77777777" w:rsidR="00212F1D" w:rsidRDefault="005150DB">
      <w:pPr>
        <w:pStyle w:val="BodySans"/>
      </w:pPr>
      <w:bdo w:val="ltr">
        <w:r>
          <w:t>׃םלָוֹעלְ</w:t>
        </w:r>
        <w:r>
          <w:t xml:space="preserve"> </w:t>
        </w:r>
        <w:r>
          <w:t>םיקִלֹאֱ</w:t>
        </w:r>
        <w:r>
          <w:t xml:space="preserve"> </w:t>
        </w:r>
        <w:r>
          <w:t>ךָכְרַבֵּ</w:t>
        </w:r>
        <w:r>
          <w:t xml:space="preserve"> </w:t>
        </w:r>
        <w:r>
          <w:t>ןכֵּ־לעַ</w:t>
        </w:r>
        <w:r>
          <w:t xml:space="preserve"> ;</w:t>
        </w:r>
        <w:r>
          <w:t>ךָיתֶוֹתפְשִׂבְּ</w:t>
        </w:r>
        <w:r>
          <w:t xml:space="preserve"> </w:t>
        </w:r>
        <w:r>
          <w:t>ןחֵ</w:t>
        </w:r>
        <w:r>
          <w:t xml:space="preserve"> </w:t>
        </w:r>
        <w:r>
          <w:t>קצַוּה</w:t>
        </w:r>
        <w:r>
          <w:t xml:space="preserve"> ;</w:t>
        </w:r>
        <w:r>
          <w:t>םדָאָ</w:t>
        </w:r>
        <w:r>
          <w:t xml:space="preserve"> </w:t>
        </w:r>
        <w:r>
          <w:t>ינֵבְּמִ</w:t>
        </w:r>
        <w:r>
          <w:t xml:space="preserve"> </w:t>
        </w:r>
        <w:r>
          <w:t>תָיפִיָפְיׇ</w:t>
        </w:r>
        <w:r>
          <w:t>‬</w:t>
        </w:r>
      </w:bdo>
    </w:p>
    <w:p w14:paraId="579F9F80" w14:textId="77777777" w:rsidR="00212F1D" w:rsidRDefault="005150DB">
      <w:pPr>
        <w:pStyle w:val="BodySans"/>
      </w:pPr>
      <w:r>
        <w:t xml:space="preserve">The hapax form </w:t>
      </w:r>
      <w:r>
        <w:t>יׇפְיָפִיתָ</w:t>
      </w:r>
      <w:r>
        <w:t xml:space="preserve"> (</w:t>
      </w:r>
      <w:r>
        <w:rPr>
          <w:i/>
        </w:rPr>
        <w:t>yof-yā-FIY-thā</w:t>
      </w:r>
      <w:r>
        <w:t xml:space="preserve">) is what grammarians call a pilpel — a stem formed by reduplicating the root consonants (here from </w:t>
      </w:r>
      <w:r>
        <w:t>י</w:t>
      </w:r>
      <w:r>
        <w:t>-</w:t>
      </w:r>
      <w:r>
        <w:t>פ</w:t>
      </w:r>
      <w:r>
        <w:t>-</w:t>
      </w:r>
      <w:r>
        <w:t>ה</w:t>
      </w:r>
      <w:r>
        <w:t>,‎ "to be beautiful"), typically expressing intensification or iteration. Ibn Ezra addresses the apparent difficulty: some reduplicated forms in Hebrew indicate diminution (</w:t>
      </w:r>
      <w:r>
        <w:t>אֲדַמְדָּם</w:t>
      </w:r>
      <w:r>
        <w:t xml:space="preserve">,‎ "reddish," means less red than </w:t>
      </w:r>
      <w:r>
        <w:t>אָדֹם</w:t>
      </w:r>
      <w:r>
        <w:t xml:space="preserve">,‎ "red"), but forms reduplicated at the first and second root letters express intensification. Thus </w:t>
      </w:r>
      <w:r>
        <w:t>יׇפְיָפִיתָ</w:t>
      </w:r>
      <w:r>
        <w:t xml:space="preserve"> means something like "you are thoroughly, ove</w:t>
      </w:r>
      <w:r>
        <w:t>rwhelmingly beautiful." Meiri agrees:‏</w:t>
      </w:r>
    </w:p>
    <w:p w14:paraId="21B6DE5F" w14:textId="77777777" w:rsidR="00212F1D" w:rsidRDefault="005150DB">
      <w:pPr>
        <w:pStyle w:val="BodySans"/>
        <w:bidi/>
        <w:ind w:left="432" w:right="432"/>
        <w:jc w:val="right"/>
      </w:pP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כְּפֵל</w:t>
      </w:r>
      <w:r>
        <w:rPr>
          <w:rFonts w:ascii="Times New Roman" w:hAnsi="Times New Roman"/>
          <w:sz w:val="26"/>
          <w:szCs w:val="26"/>
        </w:rPr>
        <w:t xml:space="preserve"> </w:t>
      </w:r>
      <w:r>
        <w:rPr>
          <w:rFonts w:ascii="Times New Roman" w:hAnsi="Times New Roman"/>
          <w:sz w:val="26"/>
          <w:szCs w:val="26"/>
        </w:rPr>
        <w:t>שֶׁבְּאוֹת</w:t>
      </w:r>
      <w:r>
        <w:rPr>
          <w:rFonts w:ascii="Times New Roman" w:hAnsi="Times New Roman"/>
          <w:sz w:val="26"/>
          <w:szCs w:val="26"/>
        </w:rPr>
        <w:t xml:space="preserve"> </w:t>
      </w:r>
      <w:r>
        <w:rPr>
          <w:rFonts w:ascii="Times New Roman" w:hAnsi="Times New Roman"/>
          <w:sz w:val="26"/>
          <w:szCs w:val="26"/>
        </w:rPr>
        <w:t>פ״א</w:t>
      </w:r>
      <w:r>
        <w:rPr>
          <w:rFonts w:ascii="Times New Roman" w:hAnsi="Times New Roman"/>
          <w:sz w:val="26"/>
          <w:szCs w:val="26"/>
        </w:rPr>
        <w:t xml:space="preserve"> </w:t>
      </w:r>
      <w:r>
        <w:rPr>
          <w:rFonts w:ascii="Times New Roman" w:hAnsi="Times New Roman"/>
          <w:sz w:val="26"/>
          <w:szCs w:val="26"/>
        </w:rPr>
        <w:t>הַפֹּעַל</w:t>
      </w:r>
      <w:r>
        <w:rPr>
          <w:rFonts w:ascii="Times New Roman" w:hAnsi="Times New Roman"/>
          <w:sz w:val="26"/>
          <w:szCs w:val="26"/>
        </w:rPr>
        <w:t xml:space="preserve"> </w:t>
      </w:r>
      <w:r>
        <w:rPr>
          <w:rFonts w:ascii="Times New Roman" w:hAnsi="Times New Roman"/>
          <w:sz w:val="26"/>
          <w:szCs w:val="26"/>
        </w:rPr>
        <w:t>וְעי״ן</w:t>
      </w:r>
      <w:r>
        <w:rPr>
          <w:rFonts w:ascii="Times New Roman" w:hAnsi="Times New Roman"/>
          <w:sz w:val="26"/>
          <w:szCs w:val="26"/>
        </w:rPr>
        <w:t xml:space="preserve"> </w:t>
      </w:r>
      <w:r>
        <w:rPr>
          <w:rFonts w:ascii="Times New Roman" w:hAnsi="Times New Roman"/>
          <w:sz w:val="26"/>
          <w:szCs w:val="26"/>
        </w:rPr>
        <w:t>הַפֹּעַל</w:t>
      </w:r>
      <w:r>
        <w:rPr>
          <w:rFonts w:ascii="Times New Roman" w:hAnsi="Times New Roman"/>
          <w:sz w:val="26"/>
          <w:szCs w:val="26"/>
        </w:rPr>
        <w:t xml:space="preserve"> </w:t>
      </w:r>
      <w:r>
        <w:rPr>
          <w:rFonts w:ascii="Times New Roman" w:hAnsi="Times New Roman"/>
          <w:sz w:val="26"/>
          <w:szCs w:val="26"/>
        </w:rPr>
        <w:t>בָּא</w:t>
      </w:r>
      <w:r>
        <w:rPr>
          <w:rFonts w:ascii="Times New Roman" w:hAnsi="Times New Roman"/>
          <w:sz w:val="26"/>
          <w:szCs w:val="26"/>
        </w:rPr>
        <w:t xml:space="preserve"> </w:t>
      </w:r>
      <w:r>
        <w:rPr>
          <w:rFonts w:ascii="Times New Roman" w:hAnsi="Times New Roman"/>
          <w:sz w:val="26"/>
          <w:szCs w:val="26"/>
        </w:rPr>
        <w:t>לְהַפְלָגָה</w:t>
      </w:r>
    </w:p>
    <w:p w14:paraId="7F7DB96D" w14:textId="77777777" w:rsidR="00212F1D" w:rsidRDefault="005150DB">
      <w:pPr>
        <w:pStyle w:val="BodySans"/>
      </w:pPr>
      <w:r>
        <w:t>"every reduplication involving the first and second root letters comes to indicate excess."</w:t>
      </w:r>
    </w:p>
    <w:p w14:paraId="153F7F6A" w14:textId="77777777" w:rsidR="00212F1D" w:rsidRDefault="005150DB">
      <w:pPr>
        <w:pStyle w:val="BodySans"/>
      </w:pPr>
      <w:r>
        <w:t xml:space="preserve">The second colon pivots from visual to verbal beauty: </w:t>
      </w:r>
      <w:bdo w:val="ltr">
        <w:r>
          <w:t>ךָיתֶוֹתפְשִׂבְּ</w:t>
        </w:r>
        <w:r>
          <w:t xml:space="preserve"> </w:t>
        </w:r>
        <w:r>
          <w:t>ןחֵ</w:t>
        </w:r>
        <w:r>
          <w:t xml:space="preserve"> </w:t>
        </w:r>
        <w:r>
          <w:t>קצַוּה</w:t>
        </w:r>
        <w:r>
          <w:t>‬</w:t>
        </w:r>
        <w:r>
          <w:t xml:space="preserve">, "grace has been poured on your lips." The verb </w:t>
        </w:r>
        <w:r>
          <w:t>הוּצַק</w:t>
        </w:r>
        <w:r>
          <w:t xml:space="preserve"> is the passive form of </w:t>
        </w:r>
        <w:r>
          <w:t>יצק</w:t>
        </w:r>
        <w:r>
          <w:t xml:space="preserve">,‎ "to pour" or "to cast" (as in metalwork). Grace is not merely present on the lips; it has been lavished there from outside, like oil poured or metal cast into a mold. In biblical idiom, "pouring" language often describes wrath: God's fury is "poured out" on cities (Jer 42:18: </w:t>
        </w:r>
        <w:bdo w:val="ltr">
          <w:r>
            <w:t>יתִמָחֲוַ</w:t>
          </w:r>
          <w:r>
            <w:t xml:space="preserve"> </w:t>
          </w:r>
          <w:r>
            <w:t>יפִּאַ</w:t>
          </w:r>
          <w:r>
            <w:t xml:space="preserve"> </w:t>
          </w:r>
          <w:r>
            <w:t>ךְתַּנִ</w:t>
          </w:r>
          <w:r>
            <w:t>‬</w:t>
          </w:r>
          <w:r>
            <w:t xml:space="preserve">, "my wrath was poured out"), the sufferer's innards are "poured onto the earth" (Lam 2:11: </w:t>
          </w:r>
          <w:bdo w:val="ltr">
            <w:r>
              <w:t>יד</w:t>
            </w:r>
            <w:r>
              <w:t>ִבֵכְּ</w:t>
            </w:r>
            <w:r>
              <w:t xml:space="preserve"> </w:t>
            </w:r>
            <w:r>
              <w:t>ץרֶאָלָ</w:t>
            </w:r>
            <w:r>
              <w:t xml:space="preserve"> </w:t>
            </w:r>
            <w:r>
              <w:t>ךְפַּשְׁנִ</w:t>
            </w:r>
            <w:r>
              <w:t>‬</w:t>
            </w:r>
            <w:r>
              <w:t xml:space="preserve">, "my liver is poured out on the ground"). Against this field of destructive outpouring, Psalm 45 is startling: what is poured here is not judgment but </w:t>
            </w:r>
            <w:r>
              <w:t>חֵן</w:t>
            </w:r>
            <w:r>
              <w:t>,‎ grace — the quality that generates goodwill. The metaphor retains the sense of abundance and force but reverses the content.‏</w:t>
            </w:r>
          </w:bdo>
        </w:bdo>
      </w:bdo>
    </w:p>
    <w:p w14:paraId="4007BFE1" w14:textId="77777777" w:rsidR="00212F1D" w:rsidRDefault="005150DB">
      <w:pPr>
        <w:pStyle w:val="BodySans"/>
      </w:pPr>
      <w:r>
        <w:t xml:space="preserve">The causal connector </w:t>
      </w:r>
      <w:r>
        <w:t>עַל־כֵּן</w:t>
      </w:r>
      <w:r>
        <w:t xml:space="preserve">,‎ "therefore," then draws the unexpected conclusion: beauty and gracious speech are the cause; divine blessing is the effect. Metzudat David reads the beauty as ethical rather than physical: </w:t>
      </w:r>
      <w:r>
        <w:t>יָפֶה</w:t>
      </w:r>
      <w:r>
        <w:t xml:space="preserve"> </w:t>
      </w:r>
      <w:r>
        <w:t>בְּמַעֲשָׂיו</w:t>
      </w:r>
      <w:r>
        <w:t>,‎ "beautiful in his deeds." But the straightforward reading — that physical beauty and eloquence elicit God's favor — aligns with ancient Near Eastern royal ideology, where the king's body was understood as a vessel of divine power, and physical perfection was evidence of divine election.‏</w:t>
      </w:r>
    </w:p>
    <w:p w14:paraId="0458E153" w14:textId="77777777" w:rsidR="00212F1D" w:rsidRDefault="005150DB">
      <w:pPr>
        <w:pStyle w:val="Heading3"/>
      </w:pPr>
      <w:r>
        <w:t>Verse 4-5</w:t>
      </w:r>
    </w:p>
    <w:p w14:paraId="60C8E4AC" w14:textId="77777777" w:rsidR="00212F1D" w:rsidRDefault="005150DB">
      <w:pPr>
        <w:pStyle w:val="BodySans"/>
      </w:pPr>
      <w:bdo w:val="ltr">
        <w:r>
          <w:t>׃ךָנֶימִיְ</w:t>
        </w:r>
        <w:r>
          <w:t xml:space="preserve"> </w:t>
        </w:r>
        <w:r>
          <w:t>תוֹארָוֹנ</w:t>
        </w:r>
        <w:r>
          <w:t xml:space="preserve"> </w:t>
        </w:r>
        <w:r>
          <w:t>ךָרְוֹתוְ</w:t>
        </w:r>
        <w:r>
          <w:t xml:space="preserve"> ;</w:t>
        </w:r>
        <w:r>
          <w:t>קדֶצֶ</w:t>
        </w:r>
        <w:r>
          <w:t xml:space="preserve"> </w:t>
        </w:r>
        <w:r>
          <w:t>הוָנְעַוְ</w:t>
        </w:r>
        <w:r>
          <w:t xml:space="preserve"> </w:t>
        </w:r>
        <w:r>
          <w:t>תמֶאֱ</w:t>
        </w:r>
        <w:r>
          <w:t xml:space="preserve"> </w:t>
        </w:r>
        <w:r>
          <w:t>רבַדְּ</w:t>
        </w:r>
        <w:r>
          <w:t xml:space="preserve"> </w:t>
        </w:r>
        <w:r>
          <w:t>לעַ</w:t>
        </w:r>
        <w:r>
          <w:t xml:space="preserve"> </w:t>
        </w:r>
        <w:r>
          <w:t>בכַרְ</w:t>
        </w:r>
        <w:r>
          <w:t xml:space="preserve"> </w:t>
        </w:r>
        <w:r>
          <w:t>חלַצְ</w:t>
        </w:r>
        <w:r>
          <w:t xml:space="preserve"> </w:t>
        </w:r>
        <w:r>
          <w:t>ךָרְדָהֲוַ</w:t>
        </w:r>
        <w:r>
          <w:t xml:space="preserve"> </w:t>
        </w:r>
        <w:r>
          <w:t>׃ךָרֶדָהֲוַ</w:t>
        </w:r>
        <w:r>
          <w:t xml:space="preserve"> </w:t>
        </w:r>
        <w:r>
          <w:t>ךָדְוֹה</w:t>
        </w:r>
        <w:r>
          <w:t xml:space="preserve"> ;</w:t>
        </w:r>
        <w:r>
          <w:t>רוֹבּגִּ</w:t>
        </w:r>
        <w:r>
          <w:t xml:space="preserve"> </w:t>
        </w:r>
        <w:r>
          <w:t>ךְרֵיָ</w:t>
        </w:r>
        <w:r>
          <w:t xml:space="preserve"> </w:t>
        </w:r>
        <w:r>
          <w:t>לעַ</w:t>
        </w:r>
        <w:r>
          <w:t xml:space="preserve"> </w:t>
        </w:r>
        <w:r>
          <w:t>ךָבְּרְחַ</w:t>
        </w:r>
        <w:r>
          <w:t xml:space="preserve"> </w:t>
        </w:r>
        <w:r>
          <w:t>רוֹגחֲ</w:t>
        </w:r>
        <w:r>
          <w:t>‬</w:t>
        </w:r>
      </w:bdo>
    </w:p>
    <w:p w14:paraId="15F98B2E" w14:textId="77777777" w:rsidR="00212F1D" w:rsidRDefault="005150DB">
      <w:pPr>
        <w:pStyle w:val="BodySans"/>
      </w:pPr>
      <w:r>
        <w:t xml:space="preserve">At a wedding poem, the eruption of </w:t>
      </w:r>
      <w:r>
        <w:t>חַרְבְּךָ</w:t>
      </w:r>
      <w:r>
        <w:t xml:space="preserve">,‎ "your sword," is tonally jarring — and structurally essential. The poet has just praised beauty and speech; now he commands the king to arm himself. The verb </w:t>
      </w:r>
      <w:r>
        <w:t>חֲגוֹר</w:t>
      </w:r>
      <w:r>
        <w:t xml:space="preserve"> is an imperative: the poet instructs the king. The placement of the sword </w:t>
      </w:r>
      <w:r>
        <w:t>עַל</w:t>
      </w:r>
      <w:r>
        <w:t xml:space="preserve"> </w:t>
      </w:r>
      <w:r>
        <w:t>יָרֵךְ</w:t>
      </w:r>
      <w:r>
        <w:t xml:space="preserve">,‎ "on the thigh" — the seat of male procreative power in biblical idiom (cf. Gen 24:2, where oaths are sworn by placing a hand under the thigh) — carries unavoidable </w:t>
      </w:r>
      <w:r>
        <w:lastRenderedPageBreak/>
        <w:t>double resonance at a wedding. Song of Songs 3:8 describes Solomon's wedding process</w:t>
      </w:r>
      <w:r>
        <w:t xml:space="preserve">ion in similar terms: </w:t>
      </w:r>
      <w:bdo w:val="ltr">
        <w:r>
          <w:t>וֹכרֵיְ</w:t>
        </w:r>
        <w:r>
          <w:t xml:space="preserve"> </w:t>
        </w:r>
        <w:r>
          <w:t>לעַ</w:t>
        </w:r>
        <w:r>
          <w:t xml:space="preserve"> </w:t>
        </w:r>
        <w:r>
          <w:t>וֹבּרְחַ</w:t>
        </w:r>
        <w:r>
          <w:t xml:space="preserve"> </w:t>
        </w:r>
        <w:r>
          <w:t>שׁיאִ</w:t>
        </w:r>
        <w:r>
          <w:t>‬</w:t>
        </w:r>
        <w:r>
          <w:t>, "each with his sword on his thigh."</w:t>
        </w:r>
      </w:bdo>
    </w:p>
    <w:p w14:paraId="215D1E62" w14:textId="77777777" w:rsidR="00212F1D" w:rsidRDefault="005150DB">
      <w:pPr>
        <w:pStyle w:val="BodySans"/>
      </w:pPr>
      <w:r>
        <w:t xml:space="preserve">A crucial poetic device bridges these verses: anadiplosis (the repetition of a closing word at the start of the next line). Verse 4 ends with </w:t>
      </w:r>
      <w:r>
        <w:t>וַהֲדָרֶךָ</w:t>
      </w:r>
      <w:r>
        <w:t xml:space="preserve">,‎ "your glory," and verse 5 opens with </w:t>
      </w:r>
      <w:r>
        <w:t>וַהֲדָרְךָ</w:t>
      </w:r>
      <w:r>
        <w:t>,‎ "and your glory" — the same word carrying the reader physically across the line break. The glory that adorns the king in verse 4 becomes the glory in which he rides out in verse 5.‏</w:t>
      </w:r>
    </w:p>
    <w:p w14:paraId="0C6351B3" w14:textId="77777777" w:rsidR="00212F1D" w:rsidRDefault="005150DB">
      <w:pPr>
        <w:pStyle w:val="BodySans"/>
      </w:pPr>
      <w:r>
        <w:t xml:space="preserve">The Talmud (Shabbat 63a) preserves a debate about this passage that Jonathan Sacks found paradigmatic. Rabbi Eliezer argued that weapons are </w:t>
      </w:r>
      <w:r>
        <w:t>תַּכְשִׁיטִין</w:t>
      </w:r>
      <w:r>
        <w:t>,‎ "ornaments," for a man — citing our verse,‏</w:t>
      </w:r>
    </w:p>
    <w:p w14:paraId="5941E710" w14:textId="77777777" w:rsidR="00212F1D" w:rsidRDefault="005150DB">
      <w:pPr>
        <w:pStyle w:val="BodySans"/>
        <w:bidi/>
        <w:ind w:left="432" w:right="432"/>
        <w:jc w:val="right"/>
      </w:pPr>
      <w:r>
        <w:rPr>
          <w:rFonts w:ascii="Times New Roman" w:hAnsi="Times New Roman"/>
          <w:sz w:val="26"/>
          <w:szCs w:val="26"/>
        </w:rPr>
        <w:t>חֲגוֹר</w:t>
      </w:r>
      <w:r>
        <w:rPr>
          <w:rFonts w:ascii="Times New Roman" w:hAnsi="Times New Roman"/>
          <w:sz w:val="26"/>
          <w:szCs w:val="26"/>
        </w:rPr>
        <w:t xml:space="preserve"> </w:t>
      </w:r>
      <w:r>
        <w:rPr>
          <w:rFonts w:ascii="Times New Roman" w:hAnsi="Times New Roman"/>
          <w:sz w:val="26"/>
          <w:szCs w:val="26"/>
        </w:rPr>
        <w:t>חַרְבְּךָ</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יָרֵךְ</w:t>
      </w:r>
      <w:r>
        <w:rPr>
          <w:rFonts w:ascii="Times New Roman" w:hAnsi="Times New Roman"/>
          <w:sz w:val="26"/>
          <w:szCs w:val="26"/>
        </w:rPr>
        <w:t xml:space="preserve"> </w:t>
      </w:r>
      <w:r>
        <w:rPr>
          <w:rFonts w:ascii="Times New Roman" w:hAnsi="Times New Roman"/>
          <w:sz w:val="26"/>
          <w:szCs w:val="26"/>
        </w:rPr>
        <w:t>גִּבּוֹר</w:t>
      </w:r>
      <w:r>
        <w:rPr>
          <w:rFonts w:ascii="Times New Roman" w:hAnsi="Times New Roman"/>
          <w:sz w:val="26"/>
          <w:szCs w:val="26"/>
        </w:rPr>
        <w:t xml:space="preserve"> </w:t>
      </w:r>
      <w:r>
        <w:rPr>
          <w:rFonts w:ascii="Times New Roman" w:hAnsi="Times New Roman"/>
          <w:sz w:val="26"/>
          <w:szCs w:val="26"/>
        </w:rPr>
        <w:t>הוֹדְךָ</w:t>
      </w:r>
      <w:r>
        <w:rPr>
          <w:rFonts w:ascii="Times New Roman" w:hAnsi="Times New Roman"/>
          <w:sz w:val="26"/>
          <w:szCs w:val="26"/>
        </w:rPr>
        <w:t xml:space="preserve"> </w:t>
      </w:r>
      <w:r>
        <w:rPr>
          <w:rFonts w:ascii="Times New Roman" w:hAnsi="Times New Roman"/>
          <w:sz w:val="26"/>
          <w:szCs w:val="26"/>
        </w:rPr>
        <w:t>וַהֲדָרֶךָ</w:t>
      </w:r>
    </w:p>
    <w:p w14:paraId="504A4301" w14:textId="77777777" w:rsidR="00212F1D" w:rsidRDefault="005150DB">
      <w:pPr>
        <w:pStyle w:val="BodySans"/>
      </w:pPr>
      <w:r>
        <w:t xml:space="preserve">as proof that the sword is the hero's splendor. The Sages disagreed, citing Isaiah's vision of swords beaten into plowshares. Rav Kahana, living two centuries later in Babylonia, could not even imagine the verse referring to a literal sword: he assumed it meant words of Torah. When told </w:t>
      </w:r>
      <w:bdo w:val="ltr">
        <w:r>
          <w:t>וֹטוּשׁפְ</w:t>
        </w:r>
        <w:r>
          <w:t xml:space="preserve"> </w:t>
        </w:r>
        <w:r>
          <w:t>ידֵימִ</w:t>
        </w:r>
        <w:r>
          <w:t xml:space="preserve"> </w:t>
        </w:r>
        <w:r>
          <w:t>אצֵוֹי</w:t>
        </w:r>
        <w:r>
          <w:t xml:space="preserve"> </w:t>
        </w:r>
        <w:r>
          <w:t>ארָקְמִ</w:t>
        </w:r>
        <w:r>
          <w:t xml:space="preserve"> </w:t>
        </w:r>
        <w:r>
          <w:t>ןיאֵ</w:t>
        </w:r>
        <w:r>
          <w:t>‬</w:t>
        </w:r>
        <w:r>
          <w:t>, "a verse never loses its plain meaning," he confessed: until that moment, after eighteen years of study, he had never grasped that principle. The passage dramatizes how a culture transforms its relationship to martial imagery — and how the psalm's literal meaning kept reasserting itself.‏</w:t>
        </w:r>
      </w:bdo>
    </w:p>
    <w:p w14:paraId="4BF9504F" w14:textId="77777777" w:rsidR="00212F1D" w:rsidRDefault="005150DB">
      <w:pPr>
        <w:pStyle w:val="BodySans"/>
      </w:pPr>
      <w:r>
        <w:t xml:space="preserve">The most unexpected element in verse 5 is the word </w:t>
      </w:r>
      <w:r>
        <w:t>עַנְוָה</w:t>
      </w:r>
      <w:r>
        <w:t xml:space="preserve">,‎ "meekness" or "humility," appearing between </w:t>
      </w:r>
      <w:r>
        <w:t>אֱמֶת</w:t>
      </w:r>
      <w:r>
        <w:t xml:space="preserve">,‎ "truth," and </w:t>
      </w:r>
      <w:r>
        <w:t>צֶדֶק</w:t>
      </w:r>
      <w:r>
        <w:t xml:space="preserve">,‎ "righteousness," as part of the cause for which the warrior rides. No ancient Near Eastern royal text describes a king riding into battle on behalf of humility. Egyptian pharaohs rode for conquest; Assyrian kings for domination. The word </w:t>
      </w:r>
      <w:r>
        <w:t>עַנְוָה</w:t>
      </w:r>
      <w:r>
        <w:t xml:space="preserve"> belongs to Moses (Num 12:3: </w:t>
      </w:r>
      <w:r>
        <w:t>עָנָו</w:t>
      </w:r>
      <w:r>
        <w:t xml:space="preserve"> </w:t>
      </w:r>
      <w:r>
        <w:t>מְאֹד</w:t>
      </w:r>
      <w:r>
        <w:t>,‎ "very humble") and to the messianic king of Zechariah 9:9 (</w:t>
      </w:r>
      <w:bdo w:val="ltr">
        <w:r>
          <w:t>רוֹמחֲ</w:t>
        </w:r>
        <w:r>
          <w:t xml:space="preserve"> </w:t>
        </w:r>
        <w:r>
          <w:t>לעַ</w:t>
        </w:r>
        <w:r>
          <w:t xml:space="preserve"> </w:t>
        </w:r>
        <w:r>
          <w:t>בכֵרֹוְ</w:t>
        </w:r>
        <w:r>
          <w:t xml:space="preserve"> </w:t>
        </w:r>
        <w:r>
          <w:t>ינִעָ</w:t>
        </w:r>
        <w:r>
          <w:t>‬</w:t>
        </w:r>
        <w:r>
          <w:t>, "humble, riding on a donkey"). Its insertion into a wa</w:t>
        </w:r>
        <w:r>
          <w:t>rrior tricolon redefines royal power: this king's military force is constitutively ethical.‏</w:t>
        </w:r>
      </w:bdo>
    </w:p>
    <w:p w14:paraId="368AC376" w14:textId="77777777" w:rsidR="00212F1D" w:rsidRDefault="005150DB">
      <w:pPr>
        <w:pStyle w:val="BodySans"/>
      </w:pPr>
      <w:r>
        <w:t xml:space="preserve">Leonard Cohen, merging the martial and the marital in his 1971 song </w:t>
      </w:r>
      <w:r>
        <w:rPr>
          <w:i/>
        </w:rPr>
        <w:t>Joan of Arc</w:t>
      </w:r>
      <w:r>
        <w:t>, has the warrior-saint confess: "I'm tired of the war, / I want the kind of work I had before, / A wedding dress or something white / To wear upon my swollen appetite." Where the psalmist seamlessly fuses sword and wedding, Cohen exposes the exhaustion buried beneath the armor. The psalm insists the two belong together; the modern songwriter wonders whether anyone can sustain that fusion.</w:t>
      </w:r>
    </w:p>
    <w:p w14:paraId="04795AC4" w14:textId="77777777" w:rsidR="00212F1D" w:rsidRDefault="005150DB">
      <w:pPr>
        <w:pStyle w:val="Heading3"/>
      </w:pPr>
      <w:r>
        <w:t>Verse 6</w:t>
      </w:r>
    </w:p>
    <w:p w14:paraId="3E9BBCF6" w14:textId="77777777" w:rsidR="00212F1D" w:rsidRDefault="005150DB">
      <w:pPr>
        <w:pStyle w:val="BodySans"/>
      </w:pPr>
      <w:bdo w:val="ltr">
        <w:r>
          <w:t>׃ךְלֶמֶּהַ</w:t>
        </w:r>
        <w:r>
          <w:t xml:space="preserve"> </w:t>
        </w:r>
        <w:r>
          <w:t>יבֵיְוֹא</w:t>
        </w:r>
        <w:r>
          <w:t xml:space="preserve"> </w:t>
        </w:r>
        <w:r>
          <w:t>בלֵבְּ</w:t>
        </w:r>
        <w:r>
          <w:t xml:space="preserve"> ;</w:t>
        </w:r>
        <w:r>
          <w:t>וּלפְּיִ</w:t>
        </w:r>
        <w:r>
          <w:t xml:space="preserve"> </w:t>
        </w:r>
        <w:r>
          <w:t>ךָיתֶּחְתַּ</w:t>
        </w:r>
        <w:r>
          <w:t xml:space="preserve"> </w:t>
        </w:r>
        <w:r>
          <w:t>םימִּעַ</w:t>
        </w:r>
        <w:r>
          <w:t xml:space="preserve"> ;</w:t>
        </w:r>
        <w:r>
          <w:t>םינִוּנשְׁ</w:t>
        </w:r>
        <w:r>
          <w:t xml:space="preserve"> </w:t>
        </w:r>
        <w:r>
          <w:t>ךָיצֶּחִ</w:t>
        </w:r>
        <w:r>
          <w:t>‬</w:t>
        </w:r>
      </w:bdo>
    </w:p>
    <w:p w14:paraId="77AD0633" w14:textId="77777777" w:rsidR="00212F1D" w:rsidRDefault="005150DB">
      <w:pPr>
        <w:pStyle w:val="BodySans"/>
      </w:pPr>
      <w:r>
        <w:lastRenderedPageBreak/>
        <w:t xml:space="preserve">The verse opens with a deliberate grammatical gap: </w:t>
      </w:r>
      <w:r>
        <w:t>חִצֶּיךָ</w:t>
      </w:r>
      <w:r>
        <w:t xml:space="preserve"> </w:t>
      </w:r>
      <w:r>
        <w:t>שְׁנוּנִים</w:t>
      </w:r>
      <w:r>
        <w:t xml:space="preserve">,‎ "your arrows, sharpened" — but no predicate follows immediately. The arrows hang in the air, mid-flight, before the reader can supply "pierce" or "strike." This ellipsis (the omission of a verb the reader must mentally supply) creates urgency: the arrows are already flying before the sentence catches up. Ibn Ezra recognized the problem and proposed that </w:t>
      </w:r>
      <w:r>
        <w:t>יִפְּלוּ</w:t>
      </w:r>
      <w:r>
        <w:t>,‎ "they fall," serves double duty — both "peoples fall under you" and "arrows fall in the heart of the king's enemies."</w:t>
      </w:r>
    </w:p>
    <w:p w14:paraId="43D3D4C1" w14:textId="77777777" w:rsidR="00212F1D" w:rsidRDefault="005150DB">
      <w:pPr>
        <w:pStyle w:val="BodySans"/>
      </w:pPr>
      <w:r>
        <w:t xml:space="preserve">The root </w:t>
      </w:r>
      <w:r>
        <w:t>שׁנן</w:t>
      </w:r>
      <w:r>
        <w:t xml:space="preserve"> carries a delicious double meaning: to sharpen (as in sharpening arrows) and to repeat/impress (as in Deut 6:7: </w:t>
      </w:r>
      <w:r>
        <w:t>וְשִׁנַּנְתָּם</w:t>
      </w:r>
      <w:r>
        <w:t xml:space="preserve"> </w:t>
      </w:r>
      <w:r>
        <w:t>לְבָנֶיךָ</w:t>
      </w:r>
      <w:r>
        <w:t>,‎ "you shall impress them upon your children" — literally "sharpen them into your children"). Arrows sharpened for battle and Torah sharpened through study share a single verb.‏</w:t>
      </w:r>
    </w:p>
    <w:p w14:paraId="3095BE44" w14:textId="77777777" w:rsidR="00212F1D" w:rsidRDefault="005150DB">
      <w:pPr>
        <w:pStyle w:val="BodySans"/>
      </w:pPr>
      <w:r>
        <w:t xml:space="preserve">The sudden shift to third person — </w:t>
      </w:r>
      <w:r>
        <w:t>אוֹיְבֵי</w:t>
      </w:r>
      <w:r>
        <w:t xml:space="preserve"> </w:t>
      </w:r>
      <w:r>
        <w:t>הַמֶּלֶךְ</w:t>
      </w:r>
      <w:r>
        <w:t>,‎ "enemies of the king," not "your enemies" — creates a momentary pull-back, as if the poet steps away from direct address to view the battle panoramically. This is precisely the kind of perspectival shift that Psalm 64 inverts: there, the enemies are the ones who</w:t>
      </w:r>
    </w:p>
    <w:p w14:paraId="7BB0FB7C" w14:textId="77777777" w:rsidR="00212F1D" w:rsidRDefault="005150DB">
      <w:pPr>
        <w:pStyle w:val="BodySans"/>
        <w:bidi/>
        <w:ind w:left="432" w:right="432"/>
        <w:jc w:val="right"/>
      </w:pPr>
      <w:r>
        <w:rPr>
          <w:rFonts w:ascii="Times New Roman" w:hAnsi="Times New Roman"/>
          <w:sz w:val="26"/>
          <w:szCs w:val="26"/>
        </w:rPr>
        <w:t>שָׁנְנוּ</w:t>
      </w:r>
      <w:r>
        <w:rPr>
          <w:rFonts w:ascii="Times New Roman" w:hAnsi="Times New Roman"/>
          <w:sz w:val="26"/>
          <w:szCs w:val="26"/>
        </w:rPr>
        <w:t xml:space="preserve"> </w:t>
      </w:r>
      <w:r>
        <w:rPr>
          <w:rFonts w:ascii="Times New Roman" w:hAnsi="Times New Roman"/>
          <w:sz w:val="26"/>
          <w:szCs w:val="26"/>
        </w:rPr>
        <w:t>כַחֶרֶב</w:t>
      </w:r>
      <w:r>
        <w:rPr>
          <w:rFonts w:ascii="Times New Roman" w:hAnsi="Times New Roman"/>
          <w:sz w:val="26"/>
          <w:szCs w:val="26"/>
        </w:rPr>
        <w:t xml:space="preserve"> </w:t>
      </w:r>
      <w:r>
        <w:rPr>
          <w:rFonts w:ascii="Times New Roman" w:hAnsi="Times New Roman"/>
          <w:sz w:val="26"/>
          <w:szCs w:val="26"/>
        </w:rPr>
        <w:t>לְשׁוֹנָם</w:t>
      </w:r>
      <w:r>
        <w:rPr>
          <w:rFonts w:ascii="Times New Roman" w:hAnsi="Times New Roman"/>
          <w:sz w:val="26"/>
          <w:szCs w:val="26"/>
        </w:rPr>
        <w:t xml:space="preserve"> </w:t>
      </w:r>
      <w:r>
        <w:rPr>
          <w:rFonts w:ascii="Times New Roman" w:hAnsi="Times New Roman"/>
          <w:sz w:val="26"/>
          <w:szCs w:val="26"/>
        </w:rPr>
        <w:t>דָּרְכוּ</w:t>
      </w:r>
      <w:r>
        <w:rPr>
          <w:rFonts w:ascii="Times New Roman" w:hAnsi="Times New Roman"/>
          <w:sz w:val="26"/>
          <w:szCs w:val="26"/>
        </w:rPr>
        <w:t xml:space="preserve"> </w:t>
      </w:r>
      <w:r>
        <w:rPr>
          <w:rFonts w:ascii="Times New Roman" w:hAnsi="Times New Roman"/>
          <w:sz w:val="26"/>
          <w:szCs w:val="26"/>
        </w:rPr>
        <w:t>חִצָּם</w:t>
      </w:r>
      <w:r>
        <w:rPr>
          <w:rFonts w:ascii="Times New Roman" w:hAnsi="Times New Roman"/>
          <w:sz w:val="26"/>
          <w:szCs w:val="26"/>
        </w:rPr>
        <w:t xml:space="preserve"> </w:t>
      </w:r>
      <w:r>
        <w:rPr>
          <w:rFonts w:ascii="Times New Roman" w:hAnsi="Times New Roman"/>
          <w:sz w:val="26"/>
          <w:szCs w:val="26"/>
        </w:rPr>
        <w:t>דָּבָר</w:t>
      </w:r>
      <w:r>
        <w:rPr>
          <w:rFonts w:ascii="Times New Roman" w:hAnsi="Times New Roman"/>
          <w:sz w:val="26"/>
          <w:szCs w:val="26"/>
        </w:rPr>
        <w:t xml:space="preserve"> </w:t>
      </w:r>
      <w:r>
        <w:rPr>
          <w:rFonts w:ascii="Times New Roman" w:hAnsi="Times New Roman"/>
          <w:sz w:val="26"/>
          <w:szCs w:val="26"/>
        </w:rPr>
        <w:t>מָר</w:t>
      </w:r>
    </w:p>
    <w:p w14:paraId="4FACBA82" w14:textId="77777777" w:rsidR="00212F1D" w:rsidRDefault="005150DB">
      <w:pPr>
        <w:pStyle w:val="BodySans"/>
      </w:pPr>
      <w:r>
        <w:t>"sharpen their tongues like swords, aim their arrows — bitter words" (Ps 64:4). In Psalm 64, the arrows are metaphorical (speech that wounds); in Psalm 45, the arrows are literal but the word for sharpening carries verbal overtones. The two psalms mirror each other across the weapon-word boundary.</w:t>
      </w:r>
    </w:p>
    <w:p w14:paraId="307BEDCF" w14:textId="77777777" w:rsidR="00212F1D" w:rsidRDefault="005150DB">
      <w:pPr>
        <w:pStyle w:val="Heading3"/>
      </w:pPr>
      <w:r>
        <w:t>Verse 7</w:t>
      </w:r>
    </w:p>
    <w:p w14:paraId="1D5EFD36" w14:textId="77777777" w:rsidR="00212F1D" w:rsidRDefault="005150DB">
      <w:pPr>
        <w:pStyle w:val="BodySans"/>
      </w:pPr>
      <w:bdo w:val="ltr">
        <w:r>
          <w:t>׃ךָתֶוּכלְמַ</w:t>
        </w:r>
        <w:r>
          <w:t xml:space="preserve"> </w:t>
        </w:r>
        <w:r>
          <w:t>טבֶשֵׁ</w:t>
        </w:r>
        <w:r>
          <w:t xml:space="preserve"> </w:t>
        </w:r>
        <w:r>
          <w:t>רשֹׁימִ</w:t>
        </w:r>
        <w:r>
          <w:t xml:space="preserve"> </w:t>
        </w:r>
        <w:r>
          <w:t>טבֶשֵׁ</w:t>
        </w:r>
        <w:r>
          <w:t xml:space="preserve"> ;</w:t>
        </w:r>
        <w:r>
          <w:t>דעֶוָ</w:t>
        </w:r>
        <w:r>
          <w:t xml:space="preserve"> </w:t>
        </w:r>
        <w:r>
          <w:t>םלָוֹע</w:t>
        </w:r>
        <w:r>
          <w:t xml:space="preserve"> </w:t>
        </w:r>
        <w:r>
          <w:t>םיקִלֹאֱ</w:t>
        </w:r>
        <w:r>
          <w:t xml:space="preserve"> </w:t>
        </w:r>
        <w:r>
          <w:t>ךָאֲסְכִּ</w:t>
        </w:r>
        <w:r>
          <w:t>‬</w:t>
        </w:r>
      </w:bdo>
    </w:p>
    <w:p w14:paraId="6024C061" w14:textId="77777777" w:rsidR="00212F1D" w:rsidRDefault="005150DB">
      <w:pPr>
        <w:pStyle w:val="BodySans"/>
      </w:pPr>
      <w:r>
        <w:t xml:space="preserve">This is the most contested verse in the psalm and among the most debated in the Hebrew Bible. The crux is the syntactic function of </w:t>
      </w:r>
      <w:r>
        <w:t>אֱלֹקִים</w:t>
      </w:r>
      <w:r>
        <w:t>. Three options have been defended across millennia:‏</w:t>
      </w:r>
    </w:p>
    <w:p w14:paraId="7CF5392E" w14:textId="77777777" w:rsidR="00212F1D" w:rsidRDefault="005150DB">
      <w:pPr>
        <w:pStyle w:val="BodySans"/>
      </w:pPr>
      <w:r>
        <w:rPr>
          <w:i/>
        </w:rPr>
        <w:t>Vocative</w:t>
      </w:r>
      <w:r>
        <w:t xml:space="preserve">: "Your throne, O God, is forever and ever." This is grammatically the most natural reading — </w:t>
      </w:r>
      <w:r>
        <w:t>אֱלֹקִים</w:t>
      </w:r>
      <w:r>
        <w:t xml:space="preserve"> functions as an address, with the king called "God." The Septuagint reads it this way (</w:t>
      </w:r>
      <w:r>
        <w:t>ὁ</w:t>
      </w:r>
      <w:r>
        <w:t xml:space="preserve"> θρόνος σου </w:t>
      </w:r>
      <w:r>
        <w:t>ὁ</w:t>
      </w:r>
      <w:r>
        <w:t xml:space="preserve"> θεός), and Hebrews 1:8–9 quotes it to establish Christ's superiority over angels. Ancient Near Eastern parallels support this: Egyptian pharaohs were addressed as divine, and Ugaritic royal texts use divine epithets for kings.‏</w:t>
      </w:r>
    </w:p>
    <w:p w14:paraId="669F81C9" w14:textId="77777777" w:rsidR="00212F1D" w:rsidRDefault="005150DB">
      <w:pPr>
        <w:pStyle w:val="BodySans"/>
      </w:pPr>
      <w:r>
        <w:rPr>
          <w:i/>
        </w:rPr>
        <w:t>Predicate or construct</w:t>
      </w:r>
      <w:r>
        <w:t xml:space="preserve">: "Your throne is God's / is divine, forever." Ibn Ezra proposes this reading, arguing that the verse works like 1 Chronicles 29:23, where Solomon sits </w:t>
      </w:r>
      <w:bdo w:val="ltr">
        <w:r>
          <w:t>׳ה</w:t>
        </w:r>
        <w:r>
          <w:t xml:space="preserve"> </w:t>
        </w:r>
        <w:r>
          <w:t>אסֵּכִּ</w:t>
        </w:r>
        <w:r>
          <w:t xml:space="preserve"> </w:t>
        </w:r>
        <w:r>
          <w:t>לעַ</w:t>
        </w:r>
        <w:r>
          <w:t>‬</w:t>
        </w:r>
        <w:r>
          <w:t xml:space="preserve">, "on YHWH's throne" — the throne belongs to God and is delegated to the king. Meiri follows: </w:t>
        </w:r>
        <w:bdo w:val="ltr">
          <w:r>
            <w:t>םיקִלֹאֱ</w:t>
          </w:r>
          <w:r>
            <w:t xml:space="preserve"> </w:t>
          </w:r>
          <w:r>
            <w:t>אסֵּכִכְּ</w:t>
          </w:r>
          <w:r>
            <w:t xml:space="preserve"> </w:t>
          </w:r>
          <w:r>
            <w:t>ךָאֲסְכִּ</w:t>
          </w:r>
          <w:r>
            <w:t xml:space="preserve"> </w:t>
          </w:r>
          <w:r>
            <w:t>היֶהְיִ</w:t>
          </w:r>
          <w:r>
            <w:t>‬</w:t>
          </w:r>
          <w:r>
            <w:t>, "your throne will be like God's throne."</w:t>
          </w:r>
        </w:bdo>
      </w:bdo>
    </w:p>
    <w:p w14:paraId="1042E167" w14:textId="77777777" w:rsidR="00212F1D" w:rsidRDefault="005150DB">
      <w:pPr>
        <w:pStyle w:val="BodySans"/>
      </w:pPr>
      <w:r>
        <w:rPr>
          <w:i/>
        </w:rPr>
        <w:lastRenderedPageBreak/>
        <w:t>Functional</w:t>
      </w:r>
      <w:r>
        <w:t xml:space="preserve">: "Your throne, O judge/ruler, is forever." Rashi reads </w:t>
      </w:r>
      <w:r>
        <w:t>אֱלֹקִים</w:t>
      </w:r>
      <w:r>
        <w:t xml:space="preserve"> as a title of judicial authority, citing Exodus 21:6 and 22:7, where human judges are called </w:t>
      </w:r>
      <w:r>
        <w:t>אֱלֹקִים</w:t>
      </w:r>
      <w:r>
        <w:t>. This protects monotheistic boundaries while acknowledging the king's divinely mandated power.‏</w:t>
      </w:r>
    </w:p>
    <w:p w14:paraId="70CDD6AD" w14:textId="77777777" w:rsidR="00212F1D" w:rsidRDefault="005150DB">
      <w:pPr>
        <w:pStyle w:val="BodySans"/>
      </w:pPr>
      <w:r>
        <w:t xml:space="preserve">I find the vocative reading most compelling </w:t>
      </w:r>
      <w:r>
        <w:rPr>
          <w:i/>
        </w:rPr>
        <w:t>precisely because</w:t>
      </w:r>
      <w:r>
        <w:t xml:space="preserve"> of what verse 8 does with it. The poem's theological genius lies not in resolving the tension but in creating it: the king is addressed in quasi-divine terms in verse 7, then immediately subordinated to his own God in verse 8. The doublet </w:t>
      </w:r>
      <w:r>
        <w:t>אֱלֹקִים</w:t>
      </w:r>
      <w:r>
        <w:t xml:space="preserve"> </w:t>
      </w:r>
      <w:r>
        <w:t>אֱלֹקֶיךָ</w:t>
      </w:r>
      <w:r>
        <w:t>,‎ "God, your God," makes the subordination explicit. The king participates in divine authority without possessing it independently.‏</w:t>
      </w:r>
    </w:p>
    <w:p w14:paraId="23B195C6" w14:textId="77777777" w:rsidR="00212F1D" w:rsidRDefault="005150DB">
      <w:pPr>
        <w:pStyle w:val="BodySans"/>
      </w:pPr>
      <w:r>
        <w:t xml:space="preserve">The sibling Korahite psalm confirms this reading by contrast: Psalm 48:15 uses nearly identical language — </w:t>
      </w:r>
      <w:bdo w:val="ltr">
        <w:r>
          <w:t>דעֶוָ</w:t>
        </w:r>
        <w:r>
          <w:t xml:space="preserve"> </w:t>
        </w:r>
        <w:r>
          <w:t>םלָוֹע</w:t>
        </w:r>
        <w:r>
          <w:t xml:space="preserve"> </w:t>
        </w:r>
        <w:r>
          <w:t>וּניקֵלֹאֱ</w:t>
        </w:r>
        <w:r>
          <w:t xml:space="preserve"> </w:t>
        </w:r>
        <w:r>
          <w:t>םיקִלֹאֱ</w:t>
        </w:r>
        <w:r>
          <w:t>‬</w:t>
        </w:r>
        <w:r>
          <w:t xml:space="preserve">, "this is God, our God, forever and ever" — but applies it unambiguously to God. The Korahite corpus contains both the boldest attribution of divine language to a human </w:t>
        </w:r>
        <w:bdo w:val="ltr">
          <w:r>
            <w:t>(45:7)</w:t>
          </w:r>
          <w:r>
            <w:t xml:space="preserve">‬ and its unequivocal application to God </w:t>
          </w:r>
          <w:bdo w:val="ltr">
            <w:r>
              <w:t>(48:15)</w:t>
            </w:r>
            <w:r>
              <w:t>‬.‏</w:t>
            </w:r>
          </w:bdo>
        </w:bdo>
      </w:bdo>
    </w:p>
    <w:p w14:paraId="6ECB8832" w14:textId="77777777" w:rsidR="00212F1D" w:rsidRDefault="005150DB">
      <w:pPr>
        <w:pStyle w:val="BodySans"/>
      </w:pPr>
      <w:r>
        <w:t xml:space="preserve">The second colon features a powerful equation through repetition: </w:t>
      </w:r>
      <w:bdo w:val="ltr">
        <w:r>
          <w:t>ךָתֶוּכלְמַ</w:t>
        </w:r>
        <w:r>
          <w:t xml:space="preserve"> </w:t>
        </w:r>
        <w:r>
          <w:t>טבֶשֵׁ</w:t>
        </w:r>
        <w:r>
          <w:t xml:space="preserve"> </w:t>
        </w:r>
        <w:r>
          <w:t>רשֹׁימִ</w:t>
        </w:r>
        <w:r>
          <w:t xml:space="preserve"> </w:t>
        </w:r>
        <w:r>
          <w:t>טבֶשֵׁ</w:t>
        </w:r>
        <w:r>
          <w:t>‬</w:t>
        </w:r>
        <w:r>
          <w:t xml:space="preserve">, "a scepter of equity is the scepter of your kingdom." The word </w:t>
        </w:r>
        <w:r>
          <w:t>שֵׁבֶט</w:t>
        </w:r>
        <w:r>
          <w:t xml:space="preserve"> is repeated — and the repetition declares identity: uprightness is the instrument of royal power. This echoes Isaiah 11:4, where the messianic king judges </w:t>
        </w:r>
        <w:bdo w:val="ltr">
          <w:r>
            <w:t>ץרֶאָ</w:t>
          </w:r>
          <w:r>
            <w:t xml:space="preserve"> </w:t>
          </w:r>
          <w:r>
            <w:t>יוֵנְעַלְ</w:t>
          </w:r>
          <w:r>
            <w:t xml:space="preserve"> </w:t>
          </w:r>
          <w:r>
            <w:t>רוֹשׁימִבְּ</w:t>
          </w:r>
          <w:r>
            <w:t>‬</w:t>
          </w:r>
          <w:r>
            <w:t xml:space="preserve">, "with equity for the meek of the earth" — and then strikes the land </w:t>
          </w:r>
          <w:r>
            <w:t>בְּשֵׁבֶט</w:t>
          </w:r>
          <w:r>
            <w:t xml:space="preserve"> </w:t>
          </w:r>
          <w:r>
            <w:t>פִּיו</w:t>
          </w:r>
          <w:r>
            <w:t>,‎ "with the rod of his mouth." Scepter, equity, and speech converge in both texts.‏</w:t>
          </w:r>
        </w:bdo>
      </w:bdo>
    </w:p>
    <w:p w14:paraId="1134DA02" w14:textId="77777777" w:rsidR="00212F1D" w:rsidRDefault="005150DB">
      <w:pPr>
        <w:pStyle w:val="BodySans"/>
      </w:pPr>
      <w:r>
        <w:t xml:space="preserve">In the Yom Kippur </w:t>
      </w:r>
      <w:r>
        <w:rPr>
          <w:i/>
        </w:rPr>
        <w:t>Musaf</w:t>
      </w:r>
      <w:r>
        <w:t xml:space="preserve"> liturgy, as noted above, this verse's imagery of equitable rule is applied to the High Priest in the </w:t>
      </w:r>
      <w:r>
        <w:rPr>
          <w:i/>
        </w:rPr>
        <w:t>Seder Ha-Avodah</w:t>
      </w:r>
      <w:r>
        <w:t>. The "scepter of equity" becomes the standard by which divine justice is administered on the day of atonement — royal wedding theology transposed into the key of judgment and mercy.</w:t>
      </w:r>
    </w:p>
    <w:p w14:paraId="339C2B4F" w14:textId="77777777" w:rsidR="00212F1D" w:rsidRDefault="005150DB">
      <w:pPr>
        <w:pStyle w:val="Heading3"/>
      </w:pPr>
      <w:r>
        <w:t>Verse 8</w:t>
      </w:r>
    </w:p>
    <w:p w14:paraId="09365277" w14:textId="77777777" w:rsidR="00212F1D" w:rsidRDefault="005150DB">
      <w:pPr>
        <w:pStyle w:val="BodySans"/>
      </w:pPr>
      <w:bdo w:val="ltr">
        <w:r>
          <w:t>׃ךָירֶבֵחֲמֵ</w:t>
        </w:r>
        <w:r>
          <w:t xml:space="preserve"> </w:t>
        </w:r>
        <w:r>
          <w:t>ןוֹשׂשָׂ</w:t>
        </w:r>
        <w:r>
          <w:t xml:space="preserve"> </w:t>
        </w:r>
        <w:r>
          <w:t>ןמֶשֶׁ</w:t>
        </w:r>
        <w:r>
          <w:t xml:space="preserve"> </w:t>
        </w:r>
        <w:r>
          <w:t>ךָיקֶלֹאֱ</w:t>
        </w:r>
        <w:r>
          <w:t xml:space="preserve"> </w:t>
        </w:r>
        <w:r>
          <w:t>םיקִלֹאֱ</w:t>
        </w:r>
        <w:r>
          <w:t xml:space="preserve"> </w:t>
        </w:r>
        <w:r>
          <w:t>ךָחֲשָׁמְ</w:t>
        </w:r>
        <w:r>
          <w:t xml:space="preserve"> </w:t>
        </w:r>
        <w:r>
          <w:t>ןכֵּ</w:t>
        </w:r>
        <w:r>
          <w:t xml:space="preserve"> </w:t>
        </w:r>
        <w:r>
          <w:t>לעַ</w:t>
        </w:r>
        <w:r>
          <w:t xml:space="preserve"> ;</w:t>
        </w:r>
        <w:r>
          <w:t>עשַׁרֶ</w:t>
        </w:r>
        <w:r>
          <w:t xml:space="preserve"> </w:t>
        </w:r>
        <w:r>
          <w:t>אנָשְׂתִּוַ</w:t>
        </w:r>
        <w:r>
          <w:t xml:space="preserve"> </w:t>
        </w:r>
        <w:r>
          <w:t>קדֶצֶ</w:t>
        </w:r>
        <w:r>
          <w:t xml:space="preserve"> </w:t>
        </w:r>
        <w:r>
          <w:t>תָּבְהַאָ</w:t>
        </w:r>
        <w:r>
          <w:t>‬</w:t>
        </w:r>
      </w:bdo>
    </w:p>
    <w:p w14:paraId="04064DC4" w14:textId="77777777" w:rsidR="00212F1D" w:rsidRDefault="005150DB">
      <w:pPr>
        <w:pStyle w:val="BodySans"/>
      </w:pPr>
      <w:r>
        <w:t xml:space="preserve">The antithetic parallelism (a poetic structure in which the second element contrasts with the first) is totalizing: </w:t>
      </w:r>
      <w:r>
        <w:t>אָהַבְתָּ</w:t>
      </w:r>
      <w:r>
        <w:t xml:space="preserve"> </w:t>
      </w:r>
      <w:r>
        <w:t>צֶדֶק</w:t>
      </w:r>
      <w:r>
        <w:t xml:space="preserve">,‎ "you love righteousness," paired with </w:t>
      </w:r>
      <w:r>
        <w:t>וַתִּשְׂנָא</w:t>
      </w:r>
      <w:r>
        <w:t xml:space="preserve"> </w:t>
      </w:r>
      <w:r>
        <w:t>רֶשַׁע</w:t>
      </w:r>
      <w:r>
        <w:t>,‎ "you hate wickedness." Together they express a complete moral orientation, with no middle ground. The perfect tenses indicate settled states, not aspirations: this is who the king already is.‏</w:t>
      </w:r>
    </w:p>
    <w:p w14:paraId="00E203F7" w14:textId="77777777" w:rsidR="00212F1D" w:rsidRDefault="005150DB">
      <w:pPr>
        <w:pStyle w:val="BodySans"/>
      </w:pPr>
      <w:r>
        <w:t xml:space="preserve">Psalm 97:10 preserves a closely related pairing in a different key: </w:t>
      </w:r>
      <w:bdo w:val="ltr">
        <w:r>
          <w:t>ערָ</w:t>
        </w:r>
        <w:r>
          <w:t xml:space="preserve"> </w:t>
        </w:r>
        <w:r>
          <w:t>וּאנְשִׂ</w:t>
        </w:r>
        <w:r>
          <w:t xml:space="preserve"> </w:t>
        </w:r>
        <w:r>
          <w:t>׳ה</w:t>
        </w:r>
        <w:r>
          <w:t xml:space="preserve"> </w:t>
        </w:r>
        <w:r>
          <w:t>יבֵהֲאֹ</w:t>
        </w:r>
        <w:r>
          <w:t>‬</w:t>
        </w:r>
        <w:r>
          <w:t>, "lovers of YHWH, hate evil." There, the command is addressed to all the faithful. Here, it describes the king's character as the basis for his unique anointing. What is commanded of ordinary worshipers is stated as accomplished fact for the king.‏</w:t>
        </w:r>
      </w:bdo>
    </w:p>
    <w:p w14:paraId="79BED133" w14:textId="77777777" w:rsidR="00212F1D" w:rsidRDefault="005150DB">
      <w:pPr>
        <w:pStyle w:val="BodySans"/>
      </w:pPr>
      <w:r>
        <w:t xml:space="preserve">The phrase </w:t>
      </w:r>
      <w:r>
        <w:t>שֶׁמֶן</w:t>
      </w:r>
      <w:r>
        <w:t xml:space="preserve"> </w:t>
      </w:r>
      <w:r>
        <w:t>שָׂשׂוֹן</w:t>
      </w:r>
      <w:r>
        <w:t xml:space="preserve">,‎ "oil of gladness," deserves careful attention. Standard coronation oil is called </w:t>
      </w:r>
      <w:r>
        <w:t>שֶׁמֶן</w:t>
      </w:r>
      <w:r>
        <w:t xml:space="preserve"> </w:t>
      </w:r>
      <w:r>
        <w:t>הַמִּשְׁחָה</w:t>
      </w:r>
      <w:r>
        <w:t xml:space="preserve">,‎ "the anointing oil" (Exod 30:25). The psalm uses a different term — </w:t>
      </w:r>
      <w:r>
        <w:lastRenderedPageBreak/>
        <w:t>one that fuses political consecration with festive joy. Its only other biblical occurrence, Isaiah 61:3, is a mourning-to-joy transformation:‏</w:t>
      </w:r>
    </w:p>
    <w:p w14:paraId="286C93C1" w14:textId="77777777" w:rsidR="00212F1D" w:rsidRDefault="005150DB">
      <w:pPr>
        <w:pStyle w:val="BodySans"/>
        <w:bidi/>
        <w:ind w:left="432" w:right="432"/>
        <w:jc w:val="right"/>
      </w:pPr>
      <w:r>
        <w:rPr>
          <w:rFonts w:ascii="Times New Roman" w:hAnsi="Times New Roman"/>
          <w:sz w:val="26"/>
          <w:szCs w:val="26"/>
        </w:rPr>
        <w:t>לָתֵת</w:t>
      </w:r>
      <w:r>
        <w:rPr>
          <w:rFonts w:ascii="Times New Roman" w:hAnsi="Times New Roman"/>
          <w:sz w:val="26"/>
          <w:szCs w:val="26"/>
        </w:rPr>
        <w:t xml:space="preserve"> </w:t>
      </w:r>
      <w:r>
        <w:rPr>
          <w:rFonts w:ascii="Times New Roman" w:hAnsi="Times New Roman"/>
          <w:sz w:val="26"/>
          <w:szCs w:val="26"/>
        </w:rPr>
        <w:t>לָהֶם</w:t>
      </w:r>
      <w:r>
        <w:rPr>
          <w:rFonts w:ascii="Times New Roman" w:hAnsi="Times New Roman"/>
          <w:sz w:val="26"/>
          <w:szCs w:val="26"/>
        </w:rPr>
        <w:t xml:space="preserve"> </w:t>
      </w:r>
      <w:r>
        <w:rPr>
          <w:rFonts w:ascii="Times New Roman" w:hAnsi="Times New Roman"/>
          <w:sz w:val="26"/>
          <w:szCs w:val="26"/>
        </w:rPr>
        <w:t>פְּאֵר</w:t>
      </w:r>
      <w:r>
        <w:rPr>
          <w:rFonts w:ascii="Times New Roman" w:hAnsi="Times New Roman"/>
          <w:sz w:val="26"/>
          <w:szCs w:val="26"/>
        </w:rPr>
        <w:t xml:space="preserve"> </w:t>
      </w:r>
      <w:r>
        <w:rPr>
          <w:rFonts w:ascii="Times New Roman" w:hAnsi="Times New Roman"/>
          <w:sz w:val="26"/>
          <w:szCs w:val="26"/>
        </w:rPr>
        <w:t>תַּחַת</w:t>
      </w:r>
      <w:r>
        <w:rPr>
          <w:rFonts w:ascii="Times New Roman" w:hAnsi="Times New Roman"/>
          <w:sz w:val="26"/>
          <w:szCs w:val="26"/>
        </w:rPr>
        <w:t xml:space="preserve"> </w:t>
      </w:r>
      <w:r>
        <w:rPr>
          <w:rFonts w:ascii="Times New Roman" w:hAnsi="Times New Roman"/>
          <w:sz w:val="26"/>
          <w:szCs w:val="26"/>
        </w:rPr>
        <w:t>אֵפֶר</w:t>
      </w:r>
      <w:r>
        <w:rPr>
          <w:rFonts w:ascii="Times New Roman" w:hAnsi="Times New Roman"/>
          <w:sz w:val="26"/>
          <w:szCs w:val="26"/>
        </w:rPr>
        <w:t xml:space="preserve"> </w:t>
      </w:r>
      <w:r>
        <w:rPr>
          <w:rFonts w:ascii="Times New Roman" w:hAnsi="Times New Roman"/>
          <w:sz w:val="26"/>
          <w:szCs w:val="26"/>
        </w:rPr>
        <w:t>שֶׁמֶן</w:t>
      </w:r>
      <w:r>
        <w:rPr>
          <w:rFonts w:ascii="Times New Roman" w:hAnsi="Times New Roman"/>
          <w:sz w:val="26"/>
          <w:szCs w:val="26"/>
        </w:rPr>
        <w:t xml:space="preserve"> </w:t>
      </w:r>
      <w:r>
        <w:rPr>
          <w:rFonts w:ascii="Times New Roman" w:hAnsi="Times New Roman"/>
          <w:sz w:val="26"/>
          <w:szCs w:val="26"/>
        </w:rPr>
        <w:t>שָׂשׂוֹן</w:t>
      </w:r>
      <w:r>
        <w:rPr>
          <w:rFonts w:ascii="Times New Roman" w:hAnsi="Times New Roman"/>
          <w:sz w:val="26"/>
          <w:szCs w:val="26"/>
        </w:rPr>
        <w:t xml:space="preserve"> </w:t>
      </w:r>
      <w:r>
        <w:rPr>
          <w:rFonts w:ascii="Times New Roman" w:hAnsi="Times New Roman"/>
          <w:sz w:val="26"/>
          <w:szCs w:val="26"/>
        </w:rPr>
        <w:t>תַּחַת</w:t>
      </w:r>
      <w:r>
        <w:rPr>
          <w:rFonts w:ascii="Times New Roman" w:hAnsi="Times New Roman"/>
          <w:sz w:val="26"/>
          <w:szCs w:val="26"/>
        </w:rPr>
        <w:t xml:space="preserve"> </w:t>
      </w:r>
      <w:r>
        <w:rPr>
          <w:rFonts w:ascii="Times New Roman" w:hAnsi="Times New Roman"/>
          <w:sz w:val="26"/>
          <w:szCs w:val="26"/>
        </w:rPr>
        <w:t>אֵבֶל</w:t>
      </w:r>
    </w:p>
    <w:p w14:paraId="686D2CA7" w14:textId="77777777" w:rsidR="00212F1D" w:rsidRDefault="005150DB">
      <w:pPr>
        <w:pStyle w:val="BodySans"/>
      </w:pPr>
      <w:r>
        <w:t>"to give them a turban instead of ashes, oil of gladness instead of mourning." The same oil that marks the king's coronation will one day transform Israel's grief into celebration.</w:t>
      </w:r>
    </w:p>
    <w:p w14:paraId="3F56DED5" w14:textId="77777777" w:rsidR="00212F1D" w:rsidRDefault="005150DB">
      <w:pPr>
        <w:pStyle w:val="BodySans"/>
      </w:pPr>
      <w:r>
        <w:t xml:space="preserve">The word </w:t>
      </w:r>
      <w:r>
        <w:t>מֵחֲבֵרֶיךָ</w:t>
      </w:r>
      <w:r>
        <w:t xml:space="preserve">,‎ "above your peers," specifies the comparison group: not all humanity (that was verse 3's </w:t>
      </w:r>
      <w:r>
        <w:t>מִבְּנֵי</w:t>
      </w:r>
      <w:r>
        <w:t xml:space="preserve"> </w:t>
      </w:r>
      <w:r>
        <w:t>אָדָם</w:t>
      </w:r>
      <w:r>
        <w:t>,‎ "beyond all mortals") but the king's royal cohort — those of equal rank. The anointing elevates the king above his fellow nobles. Hebrews 1:9 quotes this phrase and interprets the "companions" (μέτοχοι) as believers who share in Christ's anointing — but the Hebrew is more politically concrete.‏</w:t>
      </w:r>
    </w:p>
    <w:p w14:paraId="02AF54E5" w14:textId="77777777" w:rsidR="00212F1D" w:rsidRDefault="005150DB">
      <w:pPr>
        <w:pStyle w:val="BodySans"/>
      </w:pPr>
      <w:r>
        <w:t xml:space="preserve">The Netziv (Rabbi Naftali Tzvi Yehuda Berlin), as Jonathan Sacks noted, drew on this verse's quotation in Midrash Rabbah to illuminate Abraham's character. The Midrash reads: </w:t>
      </w:r>
      <w:bdo w:val="ltr">
        <w:r>
          <w:t>עשַׁרֶ</w:t>
        </w:r>
        <w:r>
          <w:t xml:space="preserve"> </w:t>
        </w:r>
        <w:r>
          <w:t>אנָשְׂתִּוַ</w:t>
        </w:r>
        <w:r>
          <w:t xml:space="preserve"> </w:t>
        </w:r>
        <w:r>
          <w:t>קדֶצֶ</w:t>
        </w:r>
        <w:r>
          <w:t xml:space="preserve"> </w:t>
        </w:r>
        <w:r>
          <w:t>תָּבְהַאָ</w:t>
        </w:r>
        <w:r>
          <w:t>‬</w:t>
        </w:r>
        <w:r>
          <w:t xml:space="preserve"> — this is what God said to Abraham: "You love to justify your fellow human beings and hate to condemn them as wicked." The king's love of righteousness, on this reading, is not punitive severity but the determination to see the best in others — a definition of justice as generosity.‏</w:t>
        </w:r>
      </w:bdo>
    </w:p>
    <w:p w14:paraId="1B587B8F" w14:textId="77777777" w:rsidR="00212F1D" w:rsidRDefault="005150DB">
      <w:pPr>
        <w:pStyle w:val="Heading3"/>
      </w:pPr>
      <w:r>
        <w:t>Verse 9</w:t>
      </w:r>
    </w:p>
    <w:p w14:paraId="2C88D06E" w14:textId="77777777" w:rsidR="00212F1D" w:rsidRDefault="005150DB">
      <w:pPr>
        <w:pStyle w:val="BodySans"/>
      </w:pPr>
      <w:bdo w:val="ltr">
        <w:r>
          <w:t>׃ךָוּחמְּשִׂ</w:t>
        </w:r>
        <w:r>
          <w:t xml:space="preserve"> </w:t>
        </w:r>
        <w:r>
          <w:t>ינִּמִ</w:t>
        </w:r>
        <w:r>
          <w:t xml:space="preserve"> </w:t>
        </w:r>
        <w:r>
          <w:t>ןשֵׁ</w:t>
        </w:r>
        <w:r>
          <w:t xml:space="preserve"> </w:t>
        </w:r>
        <w:r>
          <w:t>ילֵכְיהֵ</w:t>
        </w:r>
        <w:r>
          <w:t xml:space="preserve"> </w:t>
        </w:r>
        <w:r>
          <w:t>ןמִ</w:t>
        </w:r>
        <w:r>
          <w:t xml:space="preserve"> ;</w:t>
        </w:r>
        <w:r>
          <w:t>ךָיתֶדֹגְבִּ</w:t>
        </w:r>
        <w:r>
          <w:t xml:space="preserve"> </w:t>
        </w:r>
        <w:r>
          <w:t>לכׇּ</w:t>
        </w:r>
        <w:r>
          <w:t xml:space="preserve"> </w:t>
        </w:r>
        <w:r>
          <w:t>תוֹעיצִקְ</w:t>
        </w:r>
        <w:r>
          <w:t xml:space="preserve"> </w:t>
        </w:r>
        <w:r>
          <w:t>תוֹלהָאֲוַ</w:t>
        </w:r>
        <w:r>
          <w:t xml:space="preserve"> </w:t>
        </w:r>
        <w:r>
          <w:t>רמֹ</w:t>
        </w:r>
        <w:r>
          <w:t>‬</w:t>
        </w:r>
      </w:bdo>
    </w:p>
    <w:p w14:paraId="17B0CE46" w14:textId="77777777" w:rsidR="00212F1D" w:rsidRDefault="005150DB">
      <w:pPr>
        <w:pStyle w:val="BodySans"/>
      </w:pPr>
      <w:r>
        <w:t xml:space="preserve">The verse contains a second major ellipsis: no verb connects the spice list to the garments. The reader must supply "are fragrant with" — </w:t>
      </w:r>
      <w:bdo w:val="ltr">
        <w:r>
          <w:t>ךָיתֶדֹגְבִּ</w:t>
        </w:r>
        <w:r>
          <w:t xml:space="preserve"> </w:t>
        </w:r>
        <w:r>
          <w:t>לכׇּ</w:t>
        </w:r>
        <w:r>
          <w:t xml:space="preserve"> </w:t>
        </w:r>
        <w:r>
          <w:t>תוֹעיצִקְ</w:t>
        </w:r>
        <w:r>
          <w:t xml:space="preserve"> </w:t>
        </w:r>
        <w:r>
          <w:t>תוֹלהָאֲוַ</w:t>
        </w:r>
        <w:r>
          <w:t xml:space="preserve"> </w:t>
        </w:r>
        <w:r>
          <w:t>רמֹ</w:t>
        </w:r>
        <w:r>
          <w:t>‬</w:t>
        </w:r>
        <w:r>
          <w:t>, "myrrh and aloes and cassia, all your garments." The fragrance simply exists, without needing to be predicated.‏</w:t>
        </w:r>
      </w:bdo>
    </w:p>
    <w:p w14:paraId="74E623C0" w14:textId="77777777" w:rsidR="00212F1D" w:rsidRDefault="005150DB">
      <w:pPr>
        <w:pStyle w:val="BodySans"/>
      </w:pPr>
      <w:r>
        <w:t xml:space="preserve">The three spices — </w:t>
      </w:r>
      <w:r>
        <w:t>מֹר</w:t>
      </w:r>
      <w:r>
        <w:t xml:space="preserve"> (myrrh, a resin from Arabia), </w:t>
      </w:r>
      <w:r>
        <w:t>אֲהָלוֹת</w:t>
      </w:r>
      <w:r>
        <w:t xml:space="preserve"> (aloes/eaglewood, imported from South Asia), and </w:t>
      </w:r>
      <w:r>
        <w:t>קְצִיעוֹת</w:t>
      </w:r>
      <w:r>
        <w:t xml:space="preserve"> (cassia, from East Asia) — map a trade network of imperial scope. The list overlaps substantially with Song of Songs 4:14, where the beloved's garden contains</w:t>
      </w:r>
    </w:p>
    <w:p w14:paraId="3BF6722A" w14:textId="77777777" w:rsidR="00212F1D" w:rsidRDefault="005150DB">
      <w:pPr>
        <w:pStyle w:val="BodySans"/>
        <w:bidi/>
        <w:ind w:left="432" w:right="432"/>
        <w:jc w:val="right"/>
      </w:pPr>
      <w:r>
        <w:rPr>
          <w:rFonts w:ascii="Times New Roman" w:hAnsi="Times New Roman"/>
          <w:sz w:val="26"/>
          <w:szCs w:val="26"/>
        </w:rPr>
        <w:t>נֵרְדְּ</w:t>
      </w:r>
      <w:r>
        <w:rPr>
          <w:rFonts w:ascii="Times New Roman" w:hAnsi="Times New Roman"/>
          <w:sz w:val="26"/>
          <w:szCs w:val="26"/>
        </w:rPr>
        <w:t xml:space="preserve"> </w:t>
      </w:r>
      <w:r>
        <w:rPr>
          <w:rFonts w:ascii="Times New Roman" w:hAnsi="Times New Roman"/>
          <w:sz w:val="26"/>
          <w:szCs w:val="26"/>
        </w:rPr>
        <w:t>וְכַרְכֹּם</w:t>
      </w:r>
      <w:r>
        <w:rPr>
          <w:rFonts w:ascii="Times New Roman" w:hAnsi="Times New Roman"/>
          <w:sz w:val="26"/>
          <w:szCs w:val="26"/>
        </w:rPr>
        <w:t xml:space="preserve"> </w:t>
      </w:r>
      <w:r>
        <w:rPr>
          <w:rFonts w:ascii="Times New Roman" w:hAnsi="Times New Roman"/>
          <w:sz w:val="26"/>
          <w:szCs w:val="26"/>
        </w:rPr>
        <w:t>קָנֶה</w:t>
      </w:r>
      <w:r>
        <w:rPr>
          <w:rFonts w:ascii="Times New Roman" w:hAnsi="Times New Roman"/>
          <w:sz w:val="26"/>
          <w:szCs w:val="26"/>
        </w:rPr>
        <w:t xml:space="preserve"> </w:t>
      </w:r>
      <w:r>
        <w:rPr>
          <w:rFonts w:ascii="Times New Roman" w:hAnsi="Times New Roman"/>
          <w:sz w:val="26"/>
          <w:szCs w:val="26"/>
        </w:rPr>
        <w:t>וְקִנָּמוֹן</w:t>
      </w:r>
      <w:r>
        <w:rPr>
          <w:rFonts w:ascii="Times New Roman" w:hAnsi="Times New Roman"/>
          <w:sz w:val="26"/>
          <w:szCs w:val="26"/>
        </w:rPr>
        <w:t xml:space="preserve"> </w:t>
      </w:r>
      <w:r>
        <w:rPr>
          <w:rFonts w:ascii="Times New Roman" w:hAnsi="Times New Roman"/>
          <w:sz w:val="26"/>
          <w:szCs w:val="26"/>
        </w:rPr>
        <w:t>עִם</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עֲצֵי</w:t>
      </w:r>
      <w:r>
        <w:rPr>
          <w:rFonts w:ascii="Times New Roman" w:hAnsi="Times New Roman"/>
          <w:sz w:val="26"/>
          <w:szCs w:val="26"/>
        </w:rPr>
        <w:t xml:space="preserve"> </w:t>
      </w:r>
      <w:r>
        <w:rPr>
          <w:rFonts w:ascii="Times New Roman" w:hAnsi="Times New Roman"/>
          <w:sz w:val="26"/>
          <w:szCs w:val="26"/>
        </w:rPr>
        <w:t>לְבוֹנָה</w:t>
      </w:r>
      <w:r>
        <w:rPr>
          <w:rFonts w:ascii="Times New Roman" w:hAnsi="Times New Roman"/>
          <w:sz w:val="26"/>
          <w:szCs w:val="26"/>
        </w:rPr>
        <w:t xml:space="preserve"> </w:t>
      </w:r>
      <w:r>
        <w:rPr>
          <w:rFonts w:ascii="Times New Roman" w:hAnsi="Times New Roman"/>
          <w:sz w:val="26"/>
          <w:szCs w:val="26"/>
        </w:rPr>
        <w:t>מֹר</w:t>
      </w:r>
      <w:r>
        <w:rPr>
          <w:rFonts w:ascii="Times New Roman" w:hAnsi="Times New Roman"/>
          <w:sz w:val="26"/>
          <w:szCs w:val="26"/>
        </w:rPr>
        <w:t xml:space="preserve"> </w:t>
      </w:r>
      <w:r>
        <w:rPr>
          <w:rFonts w:ascii="Times New Roman" w:hAnsi="Times New Roman"/>
          <w:sz w:val="26"/>
          <w:szCs w:val="26"/>
        </w:rPr>
        <w:t>וַאֲהָלוֹת</w:t>
      </w:r>
    </w:p>
    <w:p w14:paraId="78868102" w14:textId="77777777" w:rsidR="00212F1D" w:rsidRDefault="005150DB">
      <w:pPr>
        <w:pStyle w:val="BodySans"/>
      </w:pPr>
      <w:r>
        <w:t>"nard and saffron, calamus and cinnamon, with all trees of frankincense, myrrh and aloes." The shared vocabulary is too specific to be coincidental: Psalm 45 participates in the same aromatic love-poetry tradition as the Song.</w:t>
      </w:r>
    </w:p>
    <w:p w14:paraId="5B101C11" w14:textId="77777777" w:rsidR="00212F1D" w:rsidRDefault="005150DB">
      <w:pPr>
        <w:pStyle w:val="BodySans"/>
      </w:pPr>
      <w:r>
        <w:t xml:space="preserve">Rashi offers a characteristically double reading of </w:t>
      </w:r>
      <w:r>
        <w:t>בִּגְדֹתֶיךָ</w:t>
      </w:r>
      <w:r>
        <w:t xml:space="preserve">:‎ on the plain level, "your garments"; but midrashically, from the root </w:t>
      </w:r>
      <w:r>
        <w:t>ב</w:t>
      </w:r>
      <w:r>
        <w:t>-</w:t>
      </w:r>
      <w:r>
        <w:t>ג</w:t>
      </w:r>
      <w:r>
        <w:t>-</w:t>
      </w:r>
      <w:r>
        <w:t>ד</w:t>
      </w:r>
      <w:r>
        <w:t xml:space="preserve">,‎ "to betray" — </w:t>
      </w:r>
      <w:bdo w:val="ltr">
        <w:r>
          <w:t>םירִפְּכַּתְמִ</w:t>
        </w:r>
        <w:r>
          <w:t xml:space="preserve"> </w:t>
        </w:r>
        <w:r>
          <w:t>ךָינֶוֹחרְסִוְ</w:t>
        </w:r>
        <w:r>
          <w:t xml:space="preserve"> </w:t>
        </w:r>
        <w:r>
          <w:t>ךָיתֶוֹדיגִבְּ</w:t>
        </w:r>
        <w:r>
          <w:t xml:space="preserve"> </w:t>
        </w:r>
        <w:r>
          <w:lastRenderedPageBreak/>
          <w:t>לכׇּ</w:t>
        </w:r>
        <w:r>
          <w:t>‬</w:t>
        </w:r>
        <w:r>
          <w:t>, "all your betrayals and offenses are atoned for and smell of fragrance." The king's very sins become sweet-smelling in the presence of divine favor.‏</w:t>
        </w:r>
      </w:bdo>
    </w:p>
    <w:p w14:paraId="14119936" w14:textId="77777777" w:rsidR="00212F1D" w:rsidRDefault="005150DB">
      <w:pPr>
        <w:pStyle w:val="BodySans"/>
      </w:pPr>
      <w:r>
        <w:t xml:space="preserve">The phrase </w:t>
      </w:r>
      <w:r>
        <w:t>הֵיכְלֵי</w:t>
      </w:r>
      <w:r>
        <w:t xml:space="preserve"> </w:t>
      </w:r>
      <w:r>
        <w:t>שֵׁן</w:t>
      </w:r>
      <w:r>
        <w:t xml:space="preserve">,‎ "ivory palaces," points to specific archaeological realities. First Kings 22:39 records Ahab's </w:t>
      </w:r>
      <w:r>
        <w:t>בֵּית</w:t>
      </w:r>
      <w:r>
        <w:t xml:space="preserve"> </w:t>
      </w:r>
      <w:r>
        <w:t>הַשֵּׁן</w:t>
      </w:r>
      <w:r>
        <w:t xml:space="preserve">,‎ "ivory house," in Samaria; Amos denounces the </w:t>
      </w:r>
      <w:r>
        <w:t>בָּתֵּי</w:t>
      </w:r>
      <w:r>
        <w:t xml:space="preserve"> </w:t>
      </w:r>
      <w:r>
        <w:t>הַשֵּׁן</w:t>
      </w:r>
      <w:r>
        <w:t>,‎ "houses of ivory" (Amos 3:15), as symbols of exploitative luxury. Excavations at Samaria and Nimrud have yielded Phoenician-style carved ivory inlays — confirming that "ivory palaces" were a material reality of Iron Age royalty, not merely a poetic conceit.‏</w:t>
      </w:r>
    </w:p>
    <w:p w14:paraId="022F68B7" w14:textId="77777777" w:rsidR="00212F1D" w:rsidRDefault="005150DB">
      <w:pPr>
        <w:pStyle w:val="BodySans"/>
      </w:pPr>
      <w:r>
        <w:t>Sappho, composing six centuries before Christ on the island of Lesbos, described a departing beloved who had anointed herself κα</w:t>
      </w:r>
      <w:r>
        <w:t>ὶ</w:t>
      </w:r>
      <w:r>
        <w:t xml:space="preserve"> μ[ύρωι] βρενθείωι / </w:t>
      </w:r>
      <w:r>
        <w:t>ἐ</w:t>
      </w:r>
      <w:r>
        <w:t>ξαλείψαο κα[</w:t>
      </w:r>
      <w:r>
        <w:t>ὶ</w:t>
      </w:r>
      <w:r>
        <w:t xml:space="preserve"> βασ]ιληίωι, "with sweet oil... you anointed yourself, and with royal scent" (Fragment 94). But the Greek lyric shrinks the olfactory world to the intimately perfumed skin of a loved woman; the psalm expands it outward from "ivoried palaces" as a display of public, political magnificence. Private fragrance versus state perfume — two civilizations, two uses of scent.</w:t>
      </w:r>
    </w:p>
    <w:p w14:paraId="6FD0DB84" w14:textId="77777777" w:rsidR="00212F1D" w:rsidRDefault="005150DB">
      <w:pPr>
        <w:pStyle w:val="Heading3"/>
      </w:pPr>
      <w:r>
        <w:t>Verse 10</w:t>
      </w:r>
    </w:p>
    <w:p w14:paraId="3A824926" w14:textId="77777777" w:rsidR="00212F1D" w:rsidRDefault="005150DB">
      <w:pPr>
        <w:pStyle w:val="BodySans"/>
      </w:pPr>
      <w:bdo w:val="ltr">
        <w:r>
          <w:t>׃ריפִוֹא</w:t>
        </w:r>
        <w:r>
          <w:t xml:space="preserve"> </w:t>
        </w:r>
        <w:r>
          <w:t>םתֶכֶבְּ</w:t>
        </w:r>
        <w:r>
          <w:t xml:space="preserve"> </w:t>
        </w:r>
        <w:r>
          <w:t>ךָנְימִילִ</w:t>
        </w:r>
        <w:r>
          <w:t xml:space="preserve"> </w:t>
        </w:r>
        <w:r>
          <w:t>לגַשֵׁ</w:t>
        </w:r>
        <w:r>
          <w:t xml:space="preserve"> </w:t>
        </w:r>
        <w:r>
          <w:t>הבָצְּנִ</w:t>
        </w:r>
        <w:r>
          <w:t xml:space="preserve"> ;</w:t>
        </w:r>
        <w:r>
          <w:t>ךָיתֶוֹרקְּיִבְּ</w:t>
        </w:r>
        <w:r>
          <w:t xml:space="preserve"> </w:t>
        </w:r>
        <w:r>
          <w:t>םיכִלָמְ</w:t>
        </w:r>
        <w:r>
          <w:t xml:space="preserve"> </w:t>
        </w:r>
        <w:r>
          <w:t>תוֹנבְּ</w:t>
        </w:r>
        <w:r>
          <w:t>‬</w:t>
        </w:r>
      </w:bdo>
    </w:p>
    <w:p w14:paraId="333CFA77" w14:textId="77777777" w:rsidR="00212F1D" w:rsidRDefault="005150DB">
      <w:pPr>
        <w:pStyle w:val="BodySans"/>
      </w:pPr>
      <w:r>
        <w:t xml:space="preserve">The bride enters the poem with elegant compression: one half-verse. She is introduced not with a name but with a rare title — </w:t>
      </w:r>
      <w:r>
        <w:t>שֵׁגַל</w:t>
      </w:r>
      <w:r>
        <w:t xml:space="preserve"> — and positioned at the king's right hand, the place of maximum honor (cf. Ps 110:1: </w:t>
      </w:r>
      <w:r>
        <w:t>שֵׁב</w:t>
      </w:r>
      <w:r>
        <w:t xml:space="preserve"> </w:t>
      </w:r>
      <w:r>
        <w:t>לִימִינִי</w:t>
      </w:r>
      <w:r>
        <w:t xml:space="preserve">,‎ "Sit at my right hand"). The same right hand that performed </w:t>
      </w:r>
      <w:r>
        <w:t>נוֹרָאוֹת</w:t>
      </w:r>
      <w:r>
        <w:t>,‎ "awesome deeds" (v. 5), now receives the consort. Warrior's hand and ceremonial hand are the same body.‏</w:t>
      </w:r>
    </w:p>
    <w:p w14:paraId="456181E5" w14:textId="77777777" w:rsidR="00212F1D" w:rsidRDefault="005150DB">
      <w:pPr>
        <w:pStyle w:val="BodySans"/>
      </w:pPr>
      <w:r>
        <w:t xml:space="preserve">The term </w:t>
      </w:r>
      <w:r>
        <w:t>שֵׁגַל</w:t>
      </w:r>
      <w:r>
        <w:t xml:space="preserve"> is rare in the Hebrew Bible: besides here, it appears in Nehemiah 2:6 (describing the queen sitting beside Artaxerxes) and in Daniel 5 (Belshazzar's banquet). These other occurrences belong to late, Persian-period court contexts. This distribution sits uneasily with a Solomonic dating of the psalm and has prompted some scholars to see the term as evidence of late composition or editorial updating. Radak explains the term functionally: </w:t>
      </w:r>
      <w:bdo w:val="ltr">
        <w:r>
          <w:t>וֹבכָּשְׁמִלְ</w:t>
        </w:r>
        <w:r>
          <w:t xml:space="preserve"> </w:t>
        </w:r>
        <w:r>
          <w:t>דימִתָּ</w:t>
        </w:r>
        <w:r>
          <w:t xml:space="preserve"> </w:t>
        </w:r>
        <w:r>
          <w:t>תדֶחֶיֻמְ</w:t>
        </w:r>
        <w:r>
          <w:t xml:space="preserve"> </w:t>
        </w:r>
        <w:r>
          <w:t>איהִשֶׁ</w:t>
        </w:r>
        <w:r>
          <w:t>‬</w:t>
        </w:r>
        <w:r>
          <w:t>, "she is the one permane</w:t>
        </w:r>
        <w:r>
          <w:t xml:space="preserve">ntly designated for his bed" — distinguishing her from other royal women who come to the king only when summoned. The choice of this rare, arguably foreign word rather than the standard </w:t>
        </w:r>
        <w:r>
          <w:t>מַלְכָּה</w:t>
        </w:r>
        <w:r>
          <w:t>,‎ "queen," may itself signal the bride's foreign origin.‏</w:t>
        </w:r>
      </w:bdo>
    </w:p>
    <w:p w14:paraId="48C0FFCA" w14:textId="77777777" w:rsidR="00212F1D" w:rsidRDefault="005150DB">
      <w:pPr>
        <w:pStyle w:val="BodySans"/>
      </w:pPr>
      <w:r>
        <w:t xml:space="preserve">The gold is specified with precision: </w:t>
      </w:r>
      <w:r>
        <w:t>בְּכֶתֶם</w:t>
      </w:r>
      <w:r>
        <w:t xml:space="preserve"> </w:t>
      </w:r>
      <w:r>
        <w:t>אוֹפִיר</w:t>
      </w:r>
      <w:r>
        <w:t xml:space="preserve">,‎ "gold of Ophir." </w:t>
      </w:r>
      <w:r>
        <w:t>כֶּתֶם</w:t>
      </w:r>
      <w:r>
        <w:t xml:space="preserve"> is a poetic term for the finest refined gold (cf. Job 28:16; Isa 13:12), and Ophir was the legendary source accessed by Solomon's fleet (1 Kgs 9:28). The bride is adorned not merely with gold but with gold traceable to a specific node in an imperial trade network. She wears the reach of the kingdom on her body.‏</w:t>
      </w:r>
    </w:p>
    <w:p w14:paraId="2F21BACE" w14:textId="77777777" w:rsidR="00212F1D" w:rsidRDefault="005150DB">
      <w:pPr>
        <w:pStyle w:val="Heading3"/>
      </w:pPr>
      <w:r>
        <w:lastRenderedPageBreak/>
        <w:t>Verse 11</w:t>
      </w:r>
    </w:p>
    <w:p w14:paraId="3C08432F" w14:textId="77777777" w:rsidR="00212F1D" w:rsidRDefault="005150DB">
      <w:pPr>
        <w:pStyle w:val="BodySans"/>
      </w:pPr>
      <w:bdo w:val="ltr">
        <w:r>
          <w:t>׃ךְיבִאָ</w:t>
        </w:r>
        <w:r>
          <w:t xml:space="preserve"> </w:t>
        </w:r>
        <w:r>
          <w:t>תיבֵוּ</w:t>
        </w:r>
        <w:r>
          <w:t xml:space="preserve"> </w:t>
        </w:r>
        <w:r>
          <w:t>ךְמֵּעַ</w:t>
        </w:r>
        <w:r>
          <w:t xml:space="preserve"> </w:t>
        </w:r>
        <w:r>
          <w:t>יחִכְשִׁוְ</w:t>
        </w:r>
        <w:r>
          <w:t xml:space="preserve"> ;</w:t>
        </w:r>
        <w:r>
          <w:t>ךְנֵזְאׇ</w:t>
        </w:r>
        <w:r>
          <w:t xml:space="preserve"> </w:t>
        </w:r>
        <w:r>
          <w:t>יטִּהַוְ</w:t>
        </w:r>
        <w:r>
          <w:t xml:space="preserve"> </w:t>
        </w:r>
        <w:r>
          <w:t>יאִרְוּ</w:t>
        </w:r>
        <w:r>
          <w:t xml:space="preserve"> </w:t>
        </w:r>
        <w:r>
          <w:t>תבַ</w:t>
        </w:r>
        <w:r>
          <w:t xml:space="preserve"> </w:t>
        </w:r>
        <w:r>
          <w:t>יעִמְשִׁ</w:t>
        </w:r>
        <w:r>
          <w:t>‬</w:t>
        </w:r>
      </w:bdo>
    </w:p>
    <w:p w14:paraId="24062D74" w14:textId="77777777" w:rsidR="00212F1D" w:rsidRDefault="005150DB">
      <w:pPr>
        <w:pStyle w:val="BodySans"/>
      </w:pPr>
      <w:r>
        <w:t xml:space="preserve">Four imperatives strike in rapid succession: </w:t>
      </w:r>
      <w:r>
        <w:t>שִׁמְעִי</w:t>
      </w:r>
      <w:r>
        <w:t xml:space="preserve">,‎ "hear"; </w:t>
      </w:r>
      <w:r>
        <w:t>רְאִי</w:t>
      </w:r>
      <w:r>
        <w:t xml:space="preserve">,‎ "see"; </w:t>
      </w:r>
      <w:r>
        <w:t>הַטִּי</w:t>
      </w:r>
      <w:r>
        <w:t xml:space="preserve">,‎ "incline"; </w:t>
      </w:r>
      <w:r>
        <w:t>שִׁכְחִי</w:t>
      </w:r>
      <w:r>
        <w:t>,‎ "forget." The sequence moves from perception (hear, see) through orientation (incline your ear) to abandonment (forget). The progression enacts a complete identity reconfiguration in four words.‏</w:t>
      </w:r>
    </w:p>
    <w:p w14:paraId="1C0A8AA4" w14:textId="77777777" w:rsidR="00212F1D" w:rsidRDefault="005150DB">
      <w:pPr>
        <w:pStyle w:val="BodySans"/>
      </w:pPr>
      <w:r>
        <w:t xml:space="preserve">The command </w:t>
      </w:r>
      <w:bdo w:val="ltr">
        <w:r>
          <w:t>ךְיבִאָ</w:t>
        </w:r>
        <w:r>
          <w:t xml:space="preserve"> </w:t>
        </w:r>
        <w:r>
          <w:t>תיבֵוּ</w:t>
        </w:r>
        <w:r>
          <w:t xml:space="preserve"> </w:t>
        </w:r>
        <w:r>
          <w:t>ךְמֵּעַ</w:t>
        </w:r>
        <w:r>
          <w:t xml:space="preserve"> </w:t>
        </w:r>
        <w:r>
          <w:t>יחִכְשִׁ</w:t>
        </w:r>
        <w:r>
          <w:t>‬</w:t>
        </w:r>
        <w:r>
          <w:t>, "forget your people and your father's house," echoes God's call to Abraham in Genesis 12:1:‏</w:t>
        </w:r>
      </w:bdo>
    </w:p>
    <w:p w14:paraId="5B7584B3" w14:textId="77777777" w:rsidR="00212F1D" w:rsidRDefault="005150DB">
      <w:pPr>
        <w:pStyle w:val="BodySans"/>
        <w:bidi/>
        <w:ind w:left="432" w:right="432"/>
        <w:jc w:val="right"/>
      </w:pPr>
      <w:r>
        <w:rPr>
          <w:rFonts w:ascii="Times New Roman" w:hAnsi="Times New Roman"/>
          <w:sz w:val="26"/>
          <w:szCs w:val="26"/>
        </w:rPr>
        <w:t>לֶךְ</w:t>
      </w:r>
      <w:r>
        <w:rPr>
          <w:rFonts w:ascii="Times New Roman" w:hAnsi="Times New Roman"/>
          <w:sz w:val="26"/>
          <w:szCs w:val="26"/>
        </w:rPr>
        <w:t xml:space="preserve"> </w:t>
      </w:r>
      <w:r>
        <w:rPr>
          <w:rFonts w:ascii="Times New Roman" w:hAnsi="Times New Roman"/>
          <w:sz w:val="26"/>
          <w:szCs w:val="26"/>
        </w:rPr>
        <w:t>לְךָ</w:t>
      </w:r>
      <w:r>
        <w:rPr>
          <w:rFonts w:ascii="Times New Roman" w:hAnsi="Times New Roman"/>
          <w:sz w:val="26"/>
          <w:szCs w:val="26"/>
        </w:rPr>
        <w:t xml:space="preserve"> </w:t>
      </w:r>
      <w:r>
        <w:rPr>
          <w:rFonts w:ascii="Times New Roman" w:hAnsi="Times New Roman"/>
          <w:sz w:val="26"/>
          <w:szCs w:val="26"/>
        </w:rPr>
        <w:t>מֵאַרְצְךָ</w:t>
      </w:r>
      <w:r>
        <w:rPr>
          <w:rFonts w:ascii="Times New Roman" w:hAnsi="Times New Roman"/>
          <w:sz w:val="26"/>
          <w:szCs w:val="26"/>
        </w:rPr>
        <w:t xml:space="preserve"> </w:t>
      </w:r>
      <w:r>
        <w:rPr>
          <w:rFonts w:ascii="Times New Roman" w:hAnsi="Times New Roman"/>
          <w:sz w:val="26"/>
          <w:szCs w:val="26"/>
        </w:rPr>
        <w:t>וּמִמּוֹלַדְתְּךָ</w:t>
      </w:r>
      <w:r>
        <w:rPr>
          <w:rFonts w:ascii="Times New Roman" w:hAnsi="Times New Roman"/>
          <w:sz w:val="26"/>
          <w:szCs w:val="26"/>
        </w:rPr>
        <w:t xml:space="preserve"> </w:t>
      </w:r>
      <w:r>
        <w:rPr>
          <w:rFonts w:ascii="Times New Roman" w:hAnsi="Times New Roman"/>
          <w:sz w:val="26"/>
          <w:szCs w:val="26"/>
        </w:rPr>
        <w:t>וּמִבֵּית</w:t>
      </w:r>
      <w:r>
        <w:rPr>
          <w:rFonts w:ascii="Times New Roman" w:hAnsi="Times New Roman"/>
          <w:sz w:val="26"/>
          <w:szCs w:val="26"/>
        </w:rPr>
        <w:t xml:space="preserve"> </w:t>
      </w:r>
      <w:r>
        <w:rPr>
          <w:rFonts w:ascii="Times New Roman" w:hAnsi="Times New Roman"/>
          <w:sz w:val="26"/>
          <w:szCs w:val="26"/>
        </w:rPr>
        <w:t>אָבִיךָ</w:t>
      </w:r>
    </w:p>
    <w:p w14:paraId="4670C009" w14:textId="77777777" w:rsidR="00212F1D" w:rsidRDefault="005150DB">
      <w:pPr>
        <w:pStyle w:val="BodySans"/>
      </w:pPr>
      <w:r>
        <w:t xml:space="preserve">"Go from your land and your birthplace and your father's house." The shared phrase </w:t>
      </w:r>
      <w:r>
        <w:t>בֵּית</w:t>
      </w:r>
      <w:r>
        <w:t xml:space="preserve"> </w:t>
      </w:r>
      <w:r>
        <w:t>אָבִיךְ</w:t>
      </w:r>
      <w:r>
        <w:t xml:space="preserve"> signals that the bride's departure is patterned on covenant-initiation: a rupture with the past that constitutes the precondition for entering a new relationship. Bereishit Rabbah 39 makes this connection explicit, using Psalm 45:11–12 as the opening prooftext for its exposition of Abraham's call. Rabbi Sacks returned to this Midrash repeatedly, noting that the rabbis prefaced the Abraham narrative with our psalm's image of a bride summoned to leave everything — reading covenant theology throu</w:t>
      </w:r>
      <w:r>
        <w:t>gh the lens of marriage.‏</w:t>
      </w:r>
    </w:p>
    <w:p w14:paraId="6E840085" w14:textId="77777777" w:rsidR="00212F1D" w:rsidRDefault="005150DB">
      <w:pPr>
        <w:pStyle w:val="BodySans"/>
      </w:pPr>
      <w:r>
        <w:t xml:space="preserve">The address </w:t>
      </w:r>
      <w:r>
        <w:t>בַּת</w:t>
      </w:r>
      <w:r>
        <w:t xml:space="preserve">,‎ "daughter" (or "lass"), creates an authority differential: the poet speaks to the bride as father-figure or sage, not as peer. The imperative form is identical to wisdom-instruction language (cf. Prov 4:20: </w:t>
      </w:r>
      <w:bdo w:val="ltr">
        <w:r>
          <w:t>ךָנֶזְאׇ־טהַ</w:t>
        </w:r>
        <w:r>
          <w:t xml:space="preserve"> </w:t>
        </w:r>
        <w:r>
          <w:t>ירַמָאֲלַ</w:t>
        </w:r>
        <w:r>
          <w:t>‬</w:t>
        </w:r>
        <w:r>
          <w:t>, "incline your ear to my words"). The bride is being taught, not merely decorated.‏</w:t>
        </w:r>
      </w:bdo>
    </w:p>
    <w:p w14:paraId="5914D3B1" w14:textId="77777777" w:rsidR="00212F1D" w:rsidRDefault="005150DB">
      <w:pPr>
        <w:pStyle w:val="BodySans"/>
      </w:pPr>
      <w:r>
        <w:t xml:space="preserve">Kadya Molodowsky, writing in Yiddish in 1927, reframed the bride's departure with brutal honesty. In </w:t>
      </w:r>
      <w:r>
        <w:rPr>
          <w:i/>
        </w:rPr>
        <w:t>Froyen-lider</w:t>
      </w:r>
      <w:r>
        <w:t xml:space="preserve"> (Women's Poems), she wrote:</w:t>
      </w:r>
    </w:p>
    <w:p w14:paraId="0F0A245D" w14:textId="77777777" w:rsidR="00212F1D" w:rsidRDefault="005150DB">
      <w:pPr>
        <w:pStyle w:val="BodySans"/>
        <w:bidi/>
        <w:ind w:left="432" w:right="432"/>
        <w:jc w:val="right"/>
      </w:pPr>
      <w:r>
        <w:rPr>
          <w:rFonts w:ascii="Times New Roman" w:hAnsi="Times New Roman"/>
          <w:sz w:val="26"/>
          <w:szCs w:val="26"/>
        </w:rPr>
        <w:t>עס</w:t>
      </w:r>
      <w:r>
        <w:rPr>
          <w:rFonts w:ascii="Times New Roman" w:hAnsi="Times New Roman"/>
          <w:sz w:val="26"/>
          <w:szCs w:val="26"/>
        </w:rPr>
        <w:t xml:space="preserve"> </w:t>
      </w:r>
      <w:r>
        <w:rPr>
          <w:rFonts w:ascii="Times New Roman" w:hAnsi="Times New Roman"/>
          <w:sz w:val="26"/>
          <w:szCs w:val="26"/>
        </w:rPr>
        <w:t>וועט</w:t>
      </w:r>
      <w:r>
        <w:rPr>
          <w:rFonts w:ascii="Times New Roman" w:hAnsi="Times New Roman"/>
          <w:sz w:val="26"/>
          <w:szCs w:val="26"/>
        </w:rPr>
        <w:t xml:space="preserve"> </w:t>
      </w:r>
      <w:r>
        <w:rPr>
          <w:rFonts w:ascii="Times New Roman" w:hAnsi="Times New Roman"/>
          <w:sz w:val="26"/>
          <w:szCs w:val="26"/>
        </w:rPr>
        <w:t>אונדזער</w:t>
      </w:r>
      <w:r>
        <w:rPr>
          <w:rFonts w:ascii="Times New Roman" w:hAnsi="Times New Roman"/>
          <w:sz w:val="26"/>
          <w:szCs w:val="26"/>
        </w:rPr>
        <w:t xml:space="preserve"> </w:t>
      </w:r>
      <w:r>
        <w:rPr>
          <w:rFonts w:ascii="Times New Roman" w:hAnsi="Times New Roman"/>
          <w:sz w:val="26"/>
          <w:szCs w:val="26"/>
        </w:rPr>
        <w:t>לעבן</w:t>
      </w:r>
      <w:r>
        <w:rPr>
          <w:rFonts w:ascii="Times New Roman" w:hAnsi="Times New Roman"/>
          <w:sz w:val="26"/>
          <w:szCs w:val="26"/>
        </w:rPr>
        <w:t xml:space="preserve"> </w:t>
      </w:r>
      <w:r>
        <w:rPr>
          <w:rFonts w:ascii="Times New Roman" w:hAnsi="Times New Roman"/>
          <w:sz w:val="26"/>
          <w:szCs w:val="26"/>
        </w:rPr>
        <w:t>אַן</w:t>
      </w:r>
      <w:r>
        <w:rPr>
          <w:rFonts w:ascii="Times New Roman" w:hAnsi="Times New Roman"/>
          <w:sz w:val="26"/>
          <w:szCs w:val="26"/>
        </w:rPr>
        <w:t xml:space="preserve"> </w:t>
      </w:r>
      <w:r>
        <w:rPr>
          <w:rFonts w:ascii="Times New Roman" w:hAnsi="Times New Roman"/>
          <w:sz w:val="26"/>
          <w:szCs w:val="26"/>
        </w:rPr>
        <w:t>אָפּגעשניטן</w:t>
      </w:r>
      <w:r>
        <w:rPr>
          <w:rFonts w:ascii="Times New Roman" w:hAnsi="Times New Roman"/>
          <w:sz w:val="26"/>
          <w:szCs w:val="26"/>
        </w:rPr>
        <w:t xml:space="preserve"> </w:t>
      </w:r>
      <w:r>
        <w:rPr>
          <w:rFonts w:ascii="Times New Roman" w:hAnsi="Times New Roman"/>
          <w:sz w:val="26"/>
          <w:szCs w:val="26"/>
        </w:rPr>
        <w:t>בלעטל</w:t>
      </w:r>
      <w:r>
        <w:rPr>
          <w:rFonts w:ascii="Times New Roman" w:hAnsi="Times New Roman"/>
          <w:sz w:val="26"/>
          <w:szCs w:val="26"/>
        </w:rPr>
        <w:t xml:space="preserve"> / </w:t>
      </w:r>
      <w:r>
        <w:rPr>
          <w:rFonts w:ascii="Times New Roman" w:hAnsi="Times New Roman"/>
          <w:sz w:val="26"/>
          <w:szCs w:val="26"/>
        </w:rPr>
        <w:t>פֿאַלן</w:t>
      </w:r>
      <w:r>
        <w:rPr>
          <w:rFonts w:ascii="Times New Roman" w:hAnsi="Times New Roman"/>
          <w:sz w:val="26"/>
          <w:szCs w:val="26"/>
        </w:rPr>
        <w:t xml:space="preserve"> </w:t>
      </w:r>
      <w:r>
        <w:rPr>
          <w:rFonts w:ascii="Times New Roman" w:hAnsi="Times New Roman"/>
          <w:sz w:val="26"/>
          <w:szCs w:val="26"/>
        </w:rPr>
        <w:t>אין</w:t>
      </w:r>
      <w:r>
        <w:rPr>
          <w:rFonts w:ascii="Times New Roman" w:hAnsi="Times New Roman"/>
          <w:sz w:val="26"/>
          <w:szCs w:val="26"/>
        </w:rPr>
        <w:t xml:space="preserve"> </w:t>
      </w:r>
      <w:r>
        <w:rPr>
          <w:rFonts w:ascii="Times New Roman" w:hAnsi="Times New Roman"/>
          <w:sz w:val="26"/>
          <w:szCs w:val="26"/>
        </w:rPr>
        <w:t>זייערע</w:t>
      </w:r>
      <w:r>
        <w:rPr>
          <w:rFonts w:ascii="Times New Roman" w:hAnsi="Times New Roman"/>
          <w:sz w:val="26"/>
          <w:szCs w:val="26"/>
        </w:rPr>
        <w:t xml:space="preserve"> </w:t>
      </w:r>
      <w:r>
        <w:rPr>
          <w:rFonts w:ascii="Times New Roman" w:hAnsi="Times New Roman"/>
          <w:sz w:val="26"/>
          <w:szCs w:val="26"/>
        </w:rPr>
        <w:t>שויסן</w:t>
      </w:r>
    </w:p>
    <w:p w14:paraId="1321CF51" w14:textId="77777777" w:rsidR="00212F1D" w:rsidRDefault="005150DB">
      <w:pPr>
        <w:pStyle w:val="BodySans"/>
      </w:pPr>
      <w:r>
        <w:t>"Our life, a severed leaf, will fall into their laps." Where the psalmist's command assumes the bride's departure leads to elevation — the king will desire her beauty, nations will court her favor — Molodowsky sees the exit from the father's house as amputation. The psalm and the Yiddish poet agree that marriage demands a severing; they disagree on whether the severing is a promotion or a wound.</w:t>
      </w:r>
    </w:p>
    <w:p w14:paraId="131B0D80" w14:textId="77777777" w:rsidR="00212F1D" w:rsidRDefault="005150DB">
      <w:pPr>
        <w:pStyle w:val="Heading3"/>
      </w:pPr>
      <w:r>
        <w:t>Verse 12</w:t>
      </w:r>
    </w:p>
    <w:p w14:paraId="0FE1AE63" w14:textId="77777777" w:rsidR="00212F1D" w:rsidRDefault="005150DB">
      <w:pPr>
        <w:pStyle w:val="BodySans"/>
      </w:pPr>
      <w:bdo w:val="ltr">
        <w:r>
          <w:t>׃וֹל</w:t>
        </w:r>
        <w:r>
          <w:t xml:space="preserve"> </w:t>
        </w:r>
        <w:r>
          <w:t>יוִחֲתַּשְׁהִוְ</w:t>
        </w:r>
        <w:r>
          <w:t xml:space="preserve"> </w:t>
        </w:r>
        <w:r>
          <w:t>ךְיִנַדֹאֲ</w:t>
        </w:r>
        <w:r>
          <w:t xml:space="preserve"> </w:t>
        </w:r>
        <w:r>
          <w:t>אוּה</w:t>
        </w:r>
        <w:r>
          <w:t xml:space="preserve"> </w:t>
        </w:r>
        <w:r>
          <w:t>יכִּ</w:t>
        </w:r>
        <w:r>
          <w:t xml:space="preserve"> ;</w:t>
        </w:r>
        <w:r>
          <w:t>ךְיֵפְיׇ</w:t>
        </w:r>
        <w:r>
          <w:t xml:space="preserve"> </w:t>
        </w:r>
        <w:r>
          <w:t>ךְלֶמֶּהַ</w:t>
        </w:r>
        <w:r>
          <w:t xml:space="preserve"> </w:t>
        </w:r>
        <w:r>
          <w:t>ואָתְיִוְ</w:t>
        </w:r>
        <w:r>
          <w:t>‬</w:t>
        </w:r>
      </w:bdo>
    </w:p>
    <w:p w14:paraId="5FEBB8FF" w14:textId="77777777" w:rsidR="00212F1D" w:rsidRDefault="005150DB">
      <w:pPr>
        <w:pStyle w:val="BodySans"/>
      </w:pPr>
      <w:r>
        <w:t xml:space="preserve">The logic is disconcerting to modern ears: forget your past so that the king will desire your beauty, because he is your lord — so bow to him. The verb </w:t>
      </w:r>
      <w:r>
        <w:t>יִתְאָו</w:t>
      </w:r>
      <w:r>
        <w:t xml:space="preserve"> expresses intense craving — the king's desire for the bride is openly erotic. The noun </w:t>
      </w:r>
      <w:r>
        <w:t>יׇפְיֵךְ</w:t>
      </w:r>
      <w:r>
        <w:t xml:space="preserve">,‎ "your beauty," shares the </w:t>
      </w:r>
      <w:r>
        <w:lastRenderedPageBreak/>
        <w:t xml:space="preserve">root </w:t>
      </w:r>
      <w:r>
        <w:t>י</w:t>
      </w:r>
      <w:r>
        <w:t>-</w:t>
      </w:r>
      <w:r>
        <w:t>פ</w:t>
      </w:r>
      <w:r>
        <w:t>-</w:t>
      </w:r>
      <w:r>
        <w:t>ה</w:t>
      </w:r>
      <w:r>
        <w:t xml:space="preserve"> with the king's own </w:t>
      </w:r>
      <w:r>
        <w:t>יׇפְיָפִיתָ</w:t>
      </w:r>
      <w:r>
        <w:t xml:space="preserve"> in verse 3: beauty attracts beauty; the beautiful king desires the beautiful bride.‏</w:t>
      </w:r>
    </w:p>
    <w:p w14:paraId="7124EED8" w14:textId="77777777" w:rsidR="00212F1D" w:rsidRDefault="005150DB">
      <w:pPr>
        <w:pStyle w:val="BodySans"/>
      </w:pPr>
      <w:r>
        <w:t xml:space="preserve">The command </w:t>
      </w:r>
      <w:r>
        <w:t>וְהִשְׁתַּחֲוִי</w:t>
      </w:r>
      <w:r>
        <w:t xml:space="preserve"> </w:t>
      </w:r>
      <w:r>
        <w:t>לוֹ</w:t>
      </w:r>
      <w:r>
        <w:t xml:space="preserve">,‎ "bow to him," uses the standard biblical verb for prostration before God (Gen 22:5; Exod 4:31; Ps 29:2, 95:6). That the same verb describes both worship of YHWH and obeisance to the king is not accidental in a poem that has already addressed the king as </w:t>
      </w:r>
      <w:r>
        <w:t>אֱלֹקִים</w:t>
      </w:r>
      <w:r>
        <w:t xml:space="preserve"> (v. 7). The boundaries between marital submission, political loyalty, and religious devotion blur deliberately.‏</w:t>
      </w:r>
    </w:p>
    <w:p w14:paraId="30EBB700" w14:textId="77777777" w:rsidR="00212F1D" w:rsidRDefault="005150DB">
      <w:pPr>
        <w:pStyle w:val="BodySans"/>
      </w:pPr>
      <w:r>
        <w:t xml:space="preserve">Rashi resolves the tension by allegorizing: </w:t>
      </w:r>
      <w:r>
        <w:t>וְיִתְאָו</w:t>
      </w:r>
      <w:r>
        <w:t xml:space="preserve"> </w:t>
      </w:r>
      <w:r>
        <w:t>הַמֶּלֶךְ</w:t>
      </w:r>
      <w:r>
        <w:t xml:space="preserve"> — "the King, the Holy One, blessed be He, will desire the beauty of your deeds." The king is God; the bride is Israel; beauty is Torah obedience. This reading, which the entire Christian allegorical tradition shares in a different key (the king is Christ, the bride is the Church), shows how powerfully the psalm invited transposition beyond its literal setting.‏</w:t>
      </w:r>
    </w:p>
    <w:p w14:paraId="5DD84F71" w14:textId="77777777" w:rsidR="00212F1D" w:rsidRDefault="005150DB">
      <w:pPr>
        <w:pStyle w:val="BodySans"/>
      </w:pPr>
      <w:r>
        <w:t>The liturgical piyyut for Shabbat Zachor in the Edot HaMizrach rite quotes this verse directly in retelling the Esther story:</w:t>
      </w:r>
    </w:p>
    <w:p w14:paraId="4E6C9717" w14:textId="77777777" w:rsidR="00212F1D" w:rsidRDefault="005150DB">
      <w:pPr>
        <w:pStyle w:val="BodySans"/>
        <w:bidi/>
        <w:ind w:left="432" w:right="432"/>
        <w:jc w:val="right"/>
      </w:pPr>
      <w:r>
        <w:rPr>
          <w:rFonts w:ascii="Times New Roman" w:hAnsi="Times New Roman"/>
          <w:sz w:val="26"/>
          <w:szCs w:val="26"/>
        </w:rPr>
        <w:t>וּמָרְדְּכַי</w:t>
      </w:r>
      <w:r>
        <w:rPr>
          <w:rFonts w:ascii="Times New Roman" w:hAnsi="Times New Roman"/>
          <w:sz w:val="26"/>
          <w:szCs w:val="26"/>
        </w:rPr>
        <w:t xml:space="preserve"> </w:t>
      </w:r>
      <w:r>
        <w:rPr>
          <w:rFonts w:ascii="Times New Roman" w:hAnsi="Times New Roman"/>
          <w:sz w:val="26"/>
          <w:szCs w:val="26"/>
        </w:rPr>
        <w:t>צִוָּה</w:t>
      </w:r>
      <w:r>
        <w:rPr>
          <w:rFonts w:ascii="Times New Roman" w:hAnsi="Times New Roman"/>
          <w:sz w:val="26"/>
          <w:szCs w:val="26"/>
        </w:rPr>
        <w:t xml:space="preserve"> </w:t>
      </w:r>
      <w:r>
        <w:rPr>
          <w:rFonts w:ascii="Times New Roman" w:hAnsi="Times New Roman"/>
          <w:sz w:val="26"/>
          <w:szCs w:val="26"/>
        </w:rPr>
        <w:t>לָהּ</w:t>
      </w:r>
      <w:r>
        <w:rPr>
          <w:rFonts w:ascii="Times New Roman" w:hAnsi="Times New Roman"/>
          <w:sz w:val="26"/>
          <w:szCs w:val="26"/>
        </w:rPr>
        <w:t xml:space="preserve"> </w:t>
      </w:r>
      <w:r>
        <w:rPr>
          <w:rFonts w:ascii="Times New Roman" w:hAnsi="Times New Roman"/>
          <w:sz w:val="26"/>
          <w:szCs w:val="26"/>
        </w:rPr>
        <w:t>לְכִי</w:t>
      </w:r>
      <w:r>
        <w:rPr>
          <w:rFonts w:ascii="Times New Roman" w:hAnsi="Times New Roman"/>
          <w:sz w:val="26"/>
          <w:szCs w:val="26"/>
        </w:rPr>
        <w:t xml:space="preserve"> </w:t>
      </w:r>
      <w:r>
        <w:rPr>
          <w:rFonts w:ascii="Times New Roman" w:hAnsi="Times New Roman"/>
          <w:sz w:val="26"/>
          <w:szCs w:val="26"/>
        </w:rPr>
        <w:t>לְשָׁלוֹם</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אֲדֹנַיִךְ</w:t>
      </w:r>
      <w:r>
        <w:rPr>
          <w:rFonts w:ascii="Times New Roman" w:hAnsi="Times New Roman"/>
          <w:sz w:val="26"/>
          <w:szCs w:val="26"/>
        </w:rPr>
        <w:t xml:space="preserve"> </w:t>
      </w:r>
      <w:r>
        <w:rPr>
          <w:rFonts w:ascii="Times New Roman" w:hAnsi="Times New Roman"/>
          <w:sz w:val="26"/>
          <w:szCs w:val="26"/>
        </w:rPr>
        <w:t>וְהִשְׁתַּחֲוִי</w:t>
      </w:r>
      <w:r>
        <w:rPr>
          <w:rFonts w:ascii="Times New Roman" w:hAnsi="Times New Roman"/>
          <w:sz w:val="26"/>
          <w:szCs w:val="26"/>
        </w:rPr>
        <w:t xml:space="preserve"> </w:t>
      </w:r>
      <w:r>
        <w:rPr>
          <w:rFonts w:ascii="Times New Roman" w:hAnsi="Times New Roman"/>
          <w:sz w:val="26"/>
          <w:szCs w:val="26"/>
        </w:rPr>
        <w:t>לוֹ</w:t>
      </w:r>
    </w:p>
    <w:p w14:paraId="36ED1C8E" w14:textId="77777777" w:rsidR="00212F1D" w:rsidRDefault="005150DB">
      <w:pPr>
        <w:pStyle w:val="BodySans"/>
      </w:pPr>
      <w:r>
        <w:t>"Mordecai commanded her: 'Go in peace, for he is your lord, bow to him.'" The psalm's anonymous bride becomes Esther, entering the foreign king's court as an act of divine obedience. The liturgy reads the wedding song through the Purim narrative, turning submission into subversion — Esther bows to the Persian king in order to save her people.</w:t>
      </w:r>
    </w:p>
    <w:p w14:paraId="416D4D33" w14:textId="77777777" w:rsidR="00212F1D" w:rsidRDefault="005150DB">
      <w:pPr>
        <w:pStyle w:val="Heading3"/>
      </w:pPr>
      <w:r>
        <w:t>Verse 13</w:t>
      </w:r>
    </w:p>
    <w:p w14:paraId="193780A9" w14:textId="77777777" w:rsidR="00212F1D" w:rsidRDefault="005150DB">
      <w:pPr>
        <w:pStyle w:val="BodySans"/>
      </w:pPr>
      <w:bdo w:val="ltr">
        <w:r>
          <w:t>׃םעָ</w:t>
        </w:r>
        <w:r>
          <w:t xml:space="preserve"> </w:t>
        </w:r>
        <w:r>
          <w:t>ירֵישִׁעֲ</w:t>
        </w:r>
        <w:r>
          <w:t xml:space="preserve"> </w:t>
        </w:r>
        <w:r>
          <w:t>וּלּחַיְ</w:t>
        </w:r>
        <w:r>
          <w:t xml:space="preserve"> </w:t>
        </w:r>
        <w:r>
          <w:t>ךְיִנַפָּ</w:t>
        </w:r>
        <w:r>
          <w:t xml:space="preserve"> </w:t>
        </w:r>
        <w:r>
          <w:t>החָנְמִבְּ</w:t>
        </w:r>
        <w:r>
          <w:t xml:space="preserve"> </w:t>
        </w:r>
        <w:r>
          <w:t>רצֹ</w:t>
        </w:r>
        <w:r>
          <w:t xml:space="preserve"> </w:t>
        </w:r>
        <w:r>
          <w:t>תבַוּ</w:t>
        </w:r>
        <w:r>
          <w:t>‬</w:t>
        </w:r>
      </w:bdo>
    </w:p>
    <w:p w14:paraId="014F92CA" w14:textId="77777777" w:rsidR="00212F1D" w:rsidRDefault="005150DB">
      <w:pPr>
        <w:pStyle w:val="BodySans"/>
      </w:pPr>
      <w:r>
        <w:t xml:space="preserve">The phrase </w:t>
      </w:r>
      <w:r>
        <w:t>בַת</w:t>
      </w:r>
      <w:r>
        <w:t xml:space="preserve"> </w:t>
      </w:r>
      <w:r>
        <w:t>צֹר</w:t>
      </w:r>
      <w:r>
        <w:t xml:space="preserve">,‎ "daughter of Tyre," is grammatically ambiguous. It could be vocative, addressing the bride: "O daughter of Tyre" — identifying her as Tyrian and thus specifying the marriage as a foreign alliance. Some have even thought of a Tyrian princess such as Jezebel, who married Ahab (1 Kgs 16:31). Alternatively, </w:t>
      </w:r>
      <w:r>
        <w:t>בַת</w:t>
      </w:r>
      <w:r>
        <w:t xml:space="preserve"> </w:t>
      </w:r>
      <w:r>
        <w:t>צֹר</w:t>
      </w:r>
      <w:r>
        <w:t xml:space="preserve"> could function as subject: "the daughter of Tyre" — Tyre personified — "will come with tribute." Radak takes this second option: </w:t>
      </w:r>
      <w:r>
        <w:t>עֲדַת</w:t>
      </w:r>
      <w:r>
        <w:t xml:space="preserve"> </w:t>
      </w:r>
      <w:r>
        <w:t>צוֹר</w:t>
      </w:r>
      <w:r>
        <w:t>,‎ "the community of Tyre," noting that Tyre is me</w:t>
      </w:r>
      <w:r>
        <w:t xml:space="preserve">ntioned specifically because it is </w:t>
      </w:r>
      <w:bdo w:val="ltr">
        <w:r>
          <w:t>לאֵרָשְׂיִ</w:t>
        </w:r>
        <w:r>
          <w:t xml:space="preserve"> </w:t>
        </w:r>
        <w:r>
          <w:t>ץרֶאֶלְ</w:t>
        </w:r>
        <w:r>
          <w:t xml:space="preserve"> </w:t>
        </w:r>
        <w:r>
          <w:t>הכָוּמסְ</w:t>
        </w:r>
        <w:r>
          <w:t>‬</w:t>
        </w:r>
        <w:r>
          <w:t>, "adjacent to the Land of Israel."</w:t>
        </w:r>
      </w:bdo>
    </w:p>
    <w:p w14:paraId="64BEF61E" w14:textId="77777777" w:rsidR="00212F1D" w:rsidRDefault="005150DB">
      <w:pPr>
        <w:pStyle w:val="BodySans"/>
      </w:pPr>
      <w:r>
        <w:t xml:space="preserve">The verb </w:t>
      </w:r>
      <w:r>
        <w:t>יְחַלּוּ</w:t>
      </w:r>
      <w:r>
        <w:t xml:space="preserve"> means "to seek favor, to entreat the face of" — the same word used when Moses intercedes before God (Exod 32:11: </w:t>
      </w:r>
      <w:r>
        <w:t>וַיְחַל</w:t>
      </w:r>
      <w:r>
        <w:t xml:space="preserve"> </w:t>
      </w:r>
      <w:r>
        <w:t>מֹשֶׁה</w:t>
      </w:r>
      <w:r>
        <w:t>,‎ "Moses entreated"). The bride who was just commanded to forget her own people is now the object of international diplomatic courtship. Her transformation is complete within three verses: from commanded subject (v. 11) to desired beauty (v. 12) to sought-after political power (v. 13). The woman who must "forget" becomes the woman everyone wants to remember.‏</w:t>
      </w:r>
    </w:p>
    <w:p w14:paraId="0CF4D995" w14:textId="77777777" w:rsidR="00212F1D" w:rsidRDefault="005150DB">
      <w:pPr>
        <w:pStyle w:val="Heading3"/>
      </w:pPr>
      <w:r>
        <w:lastRenderedPageBreak/>
        <w:t>Verse 14</w:t>
      </w:r>
    </w:p>
    <w:p w14:paraId="284BF1A9" w14:textId="77777777" w:rsidR="00212F1D" w:rsidRDefault="005150DB">
      <w:pPr>
        <w:pStyle w:val="BodySans"/>
      </w:pPr>
      <w:bdo w:val="ltr">
        <w:r>
          <w:t>׃הּשָׁוּבלְ</w:t>
        </w:r>
        <w:r>
          <w:t xml:space="preserve"> </w:t>
        </w:r>
        <w:r>
          <w:t>בהָזָ</w:t>
        </w:r>
        <w:r>
          <w:t xml:space="preserve"> </w:t>
        </w:r>
        <w:r>
          <w:t>תוֹצבְּשְׁמִּמִ</w:t>
        </w:r>
        <w:r>
          <w:t xml:space="preserve"> ;</w:t>
        </w:r>
        <w:r>
          <w:t>המָינִפְּ</w:t>
        </w:r>
        <w:r>
          <w:t xml:space="preserve"> </w:t>
        </w:r>
        <w:r>
          <w:t>ךְלֶמֶ</w:t>
        </w:r>
        <w:r>
          <w:t xml:space="preserve"> </w:t>
        </w:r>
        <w:r>
          <w:t>תבַ</w:t>
        </w:r>
        <w:r>
          <w:t xml:space="preserve"> </w:t>
        </w:r>
        <w:r>
          <w:t>הדָּוּבכְּ</w:t>
        </w:r>
        <w:r>
          <w:t xml:space="preserve"> </w:t>
        </w:r>
        <w:r>
          <w:t>לכׇּ</w:t>
        </w:r>
        <w:r>
          <w:t>‬</w:t>
        </w:r>
      </w:bdo>
    </w:p>
    <w:p w14:paraId="0482B3A5" w14:textId="77777777" w:rsidR="00212F1D" w:rsidRDefault="005150DB">
      <w:pPr>
        <w:pStyle w:val="BodySans"/>
      </w:pPr>
      <w:r>
        <w:t xml:space="preserve">This half-verse has generated centuries of interpretive conflict, centered on the word </w:t>
      </w:r>
      <w:r>
        <w:t>פְּנִימָה</w:t>
      </w:r>
      <w:r>
        <w:t xml:space="preserve">,‎ which can mean "within" spatially (inside her chambers) or "inward" characterologically (her glory is internal). The spatial reading fits the wedding context: the princess waits inside the palace before being led out in procession (vv. 15–16). Ibn Ezra takes this view straightforwardly: </w:t>
      </w:r>
      <w:bdo w:val="ltr">
        <w:r>
          <w:t>הּנָוֹמרְאַבְּ</w:t>
        </w:r>
        <w:r>
          <w:t xml:space="preserve"> </w:t>
        </w:r>
        <w:r>
          <w:t>םינִפְלִ</w:t>
        </w:r>
        <w:r>
          <w:t xml:space="preserve"> </w:t>
        </w:r>
        <w:r>
          <w:t>תנֶכֶוֹשׁ</w:t>
        </w:r>
        <w:r>
          <w:t xml:space="preserve"> </w:t>
        </w:r>
        <w:r>
          <w:t>התָיְהָשֶׁ</w:t>
        </w:r>
        <w:r>
          <w:t>‬</w:t>
        </w:r>
        <w:r>
          <w:t>, "she was dwelling inside her palace." But the characterological reading has had enormous cultural force, especially in rabbinic tradition. The Talmud (Gittin 12a, Y</w:t>
        </w:r>
        <w:r>
          <w:t xml:space="preserve">evamot 77a) invokes </w:t>
        </w:r>
        <w:bdo w:val="ltr">
          <w:r>
            <w:t>המָינִפְּ</w:t>
          </w:r>
          <w:r>
            <w:t xml:space="preserve"> </w:t>
          </w:r>
          <w:r>
            <w:t>ךְלֶמֶ</w:t>
          </w:r>
          <w:r>
            <w:t xml:space="preserve"> </w:t>
          </w:r>
          <w:r>
            <w:t>תבַ</w:t>
          </w:r>
          <w:r>
            <w:t xml:space="preserve"> </w:t>
          </w:r>
          <w:r>
            <w:t>הדָּוּבכְּ</w:t>
          </w:r>
          <w:r>
            <w:t xml:space="preserve"> </w:t>
          </w:r>
          <w:r>
            <w:t>לכׇּ</w:t>
          </w:r>
          <w:r>
            <w:t>‬</w:t>
          </w:r>
          <w:r>
            <w:t xml:space="preserve"> as a normative principle of female modesty </w:t>
          </w:r>
          <w:bdo w:val="ltr">
            <w:r>
              <w:t>(</w:t>
            </w:r>
            <w:r>
              <w:t>תוּעינִצְ</w:t>
            </w:r>
            <w:r>
              <w:t>)</w:t>
            </w:r>
            <w:r>
              <w:t xml:space="preserve">‬, reading "all the glory of the king's daughter is within" as a moral-behavioral claim. Rashi follows: those who are </w:t>
            </w:r>
            <w:bdo w:val="ltr">
              <w:r>
                <w:t>םהֶבָּ</w:t>
              </w:r>
              <w:r>
                <w:t xml:space="preserve"> </w:t>
              </w:r>
              <w:r>
                <w:t>יוּלתָּ</w:t>
              </w:r>
              <w:r>
                <w:t xml:space="preserve"> </w:t>
              </w:r>
              <w:r>
                <w:t>דוֹבכָּ</w:t>
              </w:r>
              <w:r>
                <w:t xml:space="preserve"> </w:t>
              </w:r>
              <w:r>
                <w:t>לכׇּ</w:t>
              </w:r>
              <w:r>
                <w:t>‬</w:t>
              </w:r>
              <w:r>
                <w:t xml:space="preserve">, "upon whom all honor depends," are those who </w:t>
              </w:r>
              <w:bdo w:val="ltr">
                <w:r>
                  <w:t>תוּעינִצְבִּ</w:t>
                </w:r>
                <w:r>
                  <w:t xml:space="preserve"> </w:t>
                </w:r>
                <w:r>
                  <w:t>ןמָצְעַ</w:t>
                </w:r>
                <w:r>
                  <w:t xml:space="preserve"> </w:t>
                </w:r>
                <w:r>
                  <w:t>וּגהֲנָּשֶׁ</w:t>
                </w:r>
                <w:r>
                  <w:t>‬</w:t>
                </w:r>
                <w:r>
                  <w:t>, "conducted themselves with modesty."</w:t>
                </w:r>
              </w:bdo>
            </w:bdo>
          </w:bdo>
        </w:bdo>
      </w:bdo>
    </w:p>
    <w:p w14:paraId="25326CDA" w14:textId="77777777" w:rsidR="00212F1D" w:rsidRDefault="005150DB">
      <w:pPr>
        <w:pStyle w:val="BodySans"/>
      </w:pPr>
      <w:r>
        <w:t>I take both readings as simultaneously operative — not because I'm hedging, but because the poem sets up this double meaning structurally. The princess is literally inside her chambers (spatial), and the poem claims her true glory is intrinsic rather than displayed (characterological). The two meanings reinforce each other: the chamber becomes a figure for interiority.</w:t>
      </w:r>
    </w:p>
    <w:p w14:paraId="1A86AB9C" w14:textId="77777777" w:rsidR="00212F1D" w:rsidRDefault="005150DB">
      <w:pPr>
        <w:pStyle w:val="BodySans"/>
      </w:pPr>
      <w:r>
        <w:t xml:space="preserve">The term </w:t>
      </w:r>
      <w:r>
        <w:t>מִשְׁבְּצוֹת</w:t>
      </w:r>
      <w:r>
        <w:t xml:space="preserve">,‎ "settings" or "lattice-work" (from the root </w:t>
      </w:r>
      <w:r>
        <w:t>שׁבץ</w:t>
      </w:r>
      <w:r>
        <w:t xml:space="preserve">,‎ "to weave, to set," as in gem-mounting), is used elsewhere exclusively for the priestly breastplate: </w:t>
      </w:r>
      <w:r>
        <w:t>מִשְׁבְּצוֹת</w:t>
      </w:r>
      <w:r>
        <w:t xml:space="preserve"> </w:t>
      </w:r>
      <w:r>
        <w:t>זָהָב</w:t>
      </w:r>
      <w:r>
        <w:t>,‎ "gold settings," describe the framework holding the high priest's gemstones in Exodus 28:11, 13. The bride's garments employ Temple-craft vocabulary. She is adorned like a sacred object.‏</w:t>
      </w:r>
    </w:p>
    <w:p w14:paraId="3B722CEE" w14:textId="77777777" w:rsidR="00212F1D" w:rsidRDefault="005150DB">
      <w:pPr>
        <w:pStyle w:val="Heading3"/>
      </w:pPr>
      <w:r>
        <w:t>Verse 15-16</w:t>
      </w:r>
    </w:p>
    <w:p w14:paraId="26327536" w14:textId="77777777" w:rsidR="00212F1D" w:rsidRDefault="005150DB">
      <w:pPr>
        <w:pStyle w:val="BodySans"/>
      </w:pPr>
      <w:bdo w:val="ltr">
        <w:r>
          <w:t>׃ךְלֶמֶ</w:t>
        </w:r>
        <w:r>
          <w:t xml:space="preserve"> </w:t>
        </w:r>
        <w:r>
          <w:t>לכַיהֵבְּ</w:t>
        </w:r>
        <w:r>
          <w:t xml:space="preserve"> </w:t>
        </w:r>
        <w:r>
          <w:t>הנָיאֶבֹתְּ</w:t>
        </w:r>
        <w:r>
          <w:t xml:space="preserve"> ;</w:t>
        </w:r>
        <w:r>
          <w:t>ליגִוָ</w:t>
        </w:r>
        <w:r>
          <w:t xml:space="preserve"> </w:t>
        </w:r>
        <w:r>
          <w:t>תחֹמָשְׂבִּ</w:t>
        </w:r>
        <w:r>
          <w:t xml:space="preserve"> </w:t>
        </w:r>
        <w:r>
          <w:t>הנָלְבַוּתּ</w:t>
        </w:r>
        <w:r>
          <w:t xml:space="preserve"> </w:t>
        </w:r>
        <w:r>
          <w:t>׃ךְלָ</w:t>
        </w:r>
        <w:r>
          <w:t xml:space="preserve"> </w:t>
        </w:r>
        <w:r>
          <w:t>תוֹאבָוּמ</w:t>
        </w:r>
        <w:r>
          <w:t xml:space="preserve"> </w:t>
        </w:r>
        <w:r>
          <w:t>הָיתֶוֹערֵ</w:t>
        </w:r>
        <w:r>
          <w:t xml:space="preserve"> </w:t>
        </w:r>
        <w:r>
          <w:t>הָירֶחֲאַ</w:t>
        </w:r>
        <w:r>
          <w:t xml:space="preserve"> </w:t>
        </w:r>
        <w:r>
          <w:t>תוֹלוּתבְּ</w:t>
        </w:r>
        <w:r>
          <w:t xml:space="preserve"> ;</w:t>
        </w:r>
        <w:r>
          <w:t>ךְלֶמֶּלַ</w:t>
        </w:r>
        <w:r>
          <w:t xml:space="preserve"> </w:t>
        </w:r>
        <w:r>
          <w:t>לבַוּתּ</w:t>
        </w:r>
        <w:r>
          <w:t xml:space="preserve"> </w:t>
        </w:r>
        <w:r>
          <w:t>תוֹמקָרְלִ</w:t>
        </w:r>
        <w:r>
          <w:t>‬</w:t>
        </w:r>
      </w:bdo>
    </w:p>
    <w:p w14:paraId="78C76EC8" w14:textId="77777777" w:rsidR="00212F1D" w:rsidRDefault="005150DB">
      <w:pPr>
        <w:pStyle w:val="BodySans"/>
      </w:pPr>
      <w:r>
        <w:t xml:space="preserve">A subtle but significant grammatical shift occurs between these verses. In verse 15, the bride is described entirely in passive voice: </w:t>
      </w:r>
      <w:r>
        <w:t>תּוּבַל</w:t>
      </w:r>
      <w:r>
        <w:t xml:space="preserve">,‎ "she is led" — she does not walk; she is conducted. Her companions are also passive: </w:t>
      </w:r>
      <w:r>
        <w:t>מוּבָאוֹת</w:t>
      </w:r>
      <w:r>
        <w:t>,‎ "they are brought." But in verse 16, after one more passive (</w:t>
      </w:r>
      <w:r>
        <w:t>תּוּבַלְנָה</w:t>
      </w:r>
      <w:r>
        <w:t xml:space="preserve">,‎ "they are led"), the verse ends with an active verb: </w:t>
      </w:r>
      <w:bdo w:val="ltr">
        <w:r>
          <w:t>ךְלֶמֶ</w:t>
        </w:r>
        <w:r>
          <w:t xml:space="preserve"> </w:t>
        </w:r>
        <w:r>
          <w:t>לכַיהֵבְּ</w:t>
        </w:r>
        <w:r>
          <w:t xml:space="preserve"> </w:t>
        </w:r>
        <w:r>
          <w:t>הנָיאֶבֹתְּ</w:t>
        </w:r>
        <w:r>
          <w:t>‬</w:t>
        </w:r>
        <w:r>
          <w:t>, "they enter the palace of the king." The shift from passive to active at the precise moment of threshold-crossing enacts a recovery of agency: being led becomes arriving. The bride is conducted to the door; she walks through it.</w:t>
        </w:r>
      </w:bdo>
    </w:p>
    <w:p w14:paraId="15F1EA84" w14:textId="77777777" w:rsidR="00212F1D" w:rsidRDefault="005150DB">
      <w:pPr>
        <w:pStyle w:val="BodySans"/>
      </w:pPr>
      <w:r>
        <w:t>The joy vocabulary echoes the festive anointing of verse 8 (</w:t>
      </w:r>
      <w:r>
        <w:t>שֶׁמֶן</w:t>
      </w:r>
      <w:r>
        <w:t xml:space="preserve"> </w:t>
      </w:r>
      <w:r>
        <w:t>שָׂשׂוֹן</w:t>
      </w:r>
      <w:r>
        <w:t xml:space="preserve">,‎ "oil of gladness") without duplicating it. The root </w:t>
      </w:r>
      <w:r>
        <w:t>שׂמח</w:t>
      </w:r>
      <w:r>
        <w:t xml:space="preserve"> appears in verses 9 and 16 (</w:t>
      </w:r>
      <w:r>
        <w:t>שִׂמְּחוּךָ</w:t>
      </w:r>
      <w:r>
        <w:t xml:space="preserve"> in v. 9, </w:t>
      </w:r>
      <w:r>
        <w:t>שְׂמָחֹת</w:t>
      </w:r>
      <w:r>
        <w:t xml:space="preserve"> here), </w:t>
      </w:r>
      <w:r>
        <w:lastRenderedPageBreak/>
        <w:t>linking the king's gladness to the bridal procession — and making the wedding an extension of the anointing.‏</w:t>
      </w:r>
    </w:p>
    <w:p w14:paraId="7CBE872B" w14:textId="77777777" w:rsidR="00212F1D" w:rsidRDefault="005150DB">
      <w:pPr>
        <w:pStyle w:val="BodySans"/>
      </w:pPr>
      <w:r>
        <w:t xml:space="preserve">Edmund Spenser, writing the English language's great wedding poem </w:t>
      </w:r>
      <w:r>
        <w:rPr>
          <w:i/>
        </w:rPr>
        <w:t>Epithalamion</w:t>
      </w:r>
      <w:r>
        <w:t xml:space="preserve"> in 1595, directed the procession toward a different destination: "Bring her up to th' high altar, that she may / The sacred ceremonies there partake, / The which do endlesse matrimony make." Where Spenser anchors the processional endpoint in a sacramental altar, the psalm's destination is political — the </w:t>
      </w:r>
      <w:r>
        <w:t>הֵיכַל</w:t>
      </w:r>
      <w:r>
        <w:t xml:space="preserve"> </w:t>
      </w:r>
      <w:r>
        <w:t>מֶלֶךְ</w:t>
      </w:r>
      <w:r>
        <w:t>,‎ "palace of the king." The ivory-palace world introduced in verse 9 becomes, in verse 16, the terminal point of the bride's journey. The psalm's spatial arc closes: from fragrant</w:t>
      </w:r>
      <w:r>
        <w:t xml:space="preserve"> chambers to throne room.‏</w:t>
      </w:r>
    </w:p>
    <w:p w14:paraId="345465D2" w14:textId="77777777" w:rsidR="00212F1D" w:rsidRDefault="005150DB">
      <w:pPr>
        <w:pStyle w:val="Heading3"/>
      </w:pPr>
      <w:r>
        <w:t>Verse 17</w:t>
      </w:r>
    </w:p>
    <w:p w14:paraId="24D30407" w14:textId="77777777" w:rsidR="00212F1D" w:rsidRDefault="005150DB">
      <w:pPr>
        <w:pStyle w:val="BodySans"/>
      </w:pPr>
      <w:bdo w:val="ltr">
        <w:r>
          <w:t>׃ץרֶאָהָ</w:t>
        </w:r>
        <w:r>
          <w:t xml:space="preserve"> </w:t>
        </w:r>
        <w:r>
          <w:t>לכׇבְּ</w:t>
        </w:r>
        <w:r>
          <w:t xml:space="preserve"> </w:t>
        </w:r>
        <w:r>
          <w:t>םירִשָׂלְ</w:t>
        </w:r>
        <w:r>
          <w:t xml:space="preserve"> </w:t>
        </w:r>
        <w:r>
          <w:t>וֹמתֵישִׁתְּ</w:t>
        </w:r>
        <w:r>
          <w:t xml:space="preserve"> ;</w:t>
        </w:r>
        <w:r>
          <w:t>ךָינֶבָ</w:t>
        </w:r>
        <w:r>
          <w:t xml:space="preserve"> </w:t>
        </w:r>
        <w:r>
          <w:t>וּיהְיִ</w:t>
        </w:r>
        <w:r>
          <w:t xml:space="preserve"> </w:t>
        </w:r>
        <w:r>
          <w:t>ךָיתֶבֹאֲ</w:t>
        </w:r>
        <w:r>
          <w:t xml:space="preserve"> </w:t>
        </w:r>
        <w:r>
          <w:t>תחַתַּ</w:t>
        </w:r>
        <w:r>
          <w:t>‬</w:t>
        </w:r>
      </w:bdo>
    </w:p>
    <w:p w14:paraId="4E4E591C" w14:textId="77777777" w:rsidR="00212F1D" w:rsidRDefault="005150DB">
      <w:pPr>
        <w:pStyle w:val="BodySans"/>
      </w:pPr>
      <w:r>
        <w:t xml:space="preserve">The return to masculine address is abrupt. Without transition, the poem pivots from bridal procession to dynastic oracle: </w:t>
      </w:r>
      <w:bdo w:val="ltr">
        <w:r>
          <w:t>ךָינֶבָ</w:t>
        </w:r>
        <w:r>
          <w:t xml:space="preserve"> </w:t>
        </w:r>
        <w:r>
          <w:t>וּיהְיִ</w:t>
        </w:r>
        <w:r>
          <w:t xml:space="preserve"> </w:t>
        </w:r>
        <w:r>
          <w:t>ךָיתֶבֹאֲ</w:t>
        </w:r>
        <w:r>
          <w:t xml:space="preserve"> </w:t>
        </w:r>
        <w:r>
          <w:t>תחַתַּ</w:t>
        </w:r>
        <w:r>
          <w:t>‬</w:t>
        </w:r>
        <w:r>
          <w:t xml:space="preserve">, "In place of your fathers will be your sons." The preposition </w:t>
        </w:r>
        <w:r>
          <w:t>תַּחַת</w:t>
        </w:r>
        <w:r>
          <w:t>,‎ "in place of," signals substitution: the past (ancestors) is replaced by the future (sons). The wedding, which began as celebration, is retroactively revealed as dynastic as well — one purpose is the generation of heirs to perpetuate the line.‏</w:t>
        </w:r>
      </w:bdo>
    </w:p>
    <w:p w14:paraId="2EBD5579" w14:textId="77777777" w:rsidR="00212F1D" w:rsidRDefault="005150DB">
      <w:pPr>
        <w:pStyle w:val="BodySans"/>
      </w:pPr>
      <w:r>
        <w:t xml:space="preserve">The verb </w:t>
      </w:r>
      <w:r>
        <w:t>תְּשִׁיתֵמוֹ</w:t>
      </w:r>
      <w:r>
        <w:t xml:space="preserve">,‎ "you will appoint them," reappears in the related royal psalm, Psalm 21:10: </w:t>
      </w:r>
      <w:bdo w:val="ltr">
        <w:r>
          <w:t>שׁאֵ</w:t>
        </w:r>
        <w:r>
          <w:t xml:space="preserve"> </w:t>
        </w:r>
        <w:r>
          <w:t>רוּנּתַכְּ</w:t>
        </w:r>
        <w:r>
          <w:t xml:space="preserve"> </w:t>
        </w:r>
        <w:r>
          <w:t>וֹמתֵישִׁתְּ</w:t>
        </w:r>
        <w:r>
          <w:t>‬</w:t>
        </w:r>
        <w:r>
          <w:t xml:space="preserve">, "you will make them like a fiery furnace" — there applied to the king's enemies. The same verb form, one psalm making enemies burn, the other making sons rule. In Psalm 45, the king actively appoints his sons as </w:t>
        </w:r>
        <w:r>
          <w:t>שָׂרִים</w:t>
        </w:r>
        <w:r>
          <w:t xml:space="preserve">,‎ "princes/officials," throughout </w:t>
        </w:r>
        <w:r>
          <w:t>כׇּל</w:t>
        </w:r>
        <w:r>
          <w:t xml:space="preserve"> </w:t>
        </w:r>
        <w:r>
          <w:t>הָאָרֶץ</w:t>
        </w:r>
        <w:r>
          <w:t>,‎ "all the land." The sphere in which peoples fell under the king in verse 6 is now imagined as a realm administered by hi</w:t>
        </w:r>
        <w:r>
          <w:t>s sons.‏</w:t>
        </w:r>
      </w:bdo>
    </w:p>
    <w:p w14:paraId="3084D5AE" w14:textId="77777777" w:rsidR="00212F1D" w:rsidRDefault="005150DB">
      <w:pPr>
        <w:pStyle w:val="BodySans"/>
      </w:pPr>
      <w:r>
        <w:t xml:space="preserve">The Talmud (Bava Batra 158b) uses this verse to establish a principle of inheritance law: a grandson may claim property through his grandfather's line, even when the father has sold it, because </w:t>
      </w:r>
      <w:bdo w:val="ltr">
        <w:r>
          <w:t>ךָינֶבָ</w:t>
        </w:r>
        <w:r>
          <w:t xml:space="preserve"> </w:t>
        </w:r>
        <w:r>
          <w:t>וּיהְיִ</w:t>
        </w:r>
        <w:r>
          <w:t xml:space="preserve"> </w:t>
        </w:r>
        <w:r>
          <w:t>ךָיתֶבֹאֲ</w:t>
        </w:r>
        <w:r>
          <w:t xml:space="preserve"> </w:t>
        </w:r>
        <w:r>
          <w:t>תחַתַּ</w:t>
        </w:r>
        <w:r>
          <w:t>‬</w:t>
        </w:r>
        <w:r>
          <w:t xml:space="preserve"> — sons stand "in place of" their fathers across generations. The wedding poem's dynastic oracle becomes a legal principle.‏</w:t>
        </w:r>
      </w:bdo>
    </w:p>
    <w:p w14:paraId="73063C10" w14:textId="77777777" w:rsidR="00212F1D" w:rsidRDefault="005150DB">
      <w:pPr>
        <w:pStyle w:val="Heading3"/>
      </w:pPr>
      <w:r>
        <w:t>Verse 18</w:t>
      </w:r>
    </w:p>
    <w:p w14:paraId="513B396F" w14:textId="77777777" w:rsidR="00212F1D" w:rsidRDefault="005150DB">
      <w:pPr>
        <w:pStyle w:val="BodySans"/>
      </w:pPr>
      <w:bdo w:val="ltr">
        <w:r>
          <w:t>׃דעֶוָ</w:t>
        </w:r>
        <w:r>
          <w:t xml:space="preserve"> </w:t>
        </w:r>
        <w:r>
          <w:t>םלָעֹלְ</w:t>
        </w:r>
        <w:r>
          <w:t xml:space="preserve"> </w:t>
        </w:r>
        <w:r>
          <w:t>ךָוּדוֹהיְ</w:t>
        </w:r>
        <w:r>
          <w:t xml:space="preserve"> </w:t>
        </w:r>
        <w:r>
          <w:t>םימִּעַ</w:t>
        </w:r>
        <w:r>
          <w:t xml:space="preserve"> </w:t>
        </w:r>
        <w:r>
          <w:t>ןכֵּ</w:t>
        </w:r>
        <w:r>
          <w:t xml:space="preserve"> </w:t>
        </w:r>
        <w:r>
          <w:t>לעַ</w:t>
        </w:r>
        <w:r>
          <w:t xml:space="preserve"> ;</w:t>
        </w:r>
        <w:r>
          <w:t>רדֹוָ</w:t>
        </w:r>
        <w:r>
          <w:t xml:space="preserve"> </w:t>
        </w:r>
        <w:r>
          <w:t>רדֹּ</w:t>
        </w:r>
        <w:r>
          <w:t xml:space="preserve"> </w:t>
        </w:r>
        <w:r>
          <w:t>לכׇבְּ</w:t>
        </w:r>
        <w:r>
          <w:t xml:space="preserve"> </w:t>
        </w:r>
        <w:r>
          <w:t>ךָמְשִׁ</w:t>
        </w:r>
        <w:r>
          <w:t xml:space="preserve"> </w:t>
        </w:r>
        <w:r>
          <w:t>הרָיכִּזְאַ</w:t>
        </w:r>
        <w:r>
          <w:t>‬</w:t>
        </w:r>
      </w:bdo>
    </w:p>
    <w:p w14:paraId="68172878" w14:textId="77777777" w:rsidR="00212F1D" w:rsidRDefault="005150DB">
      <w:pPr>
        <w:pStyle w:val="BodySans"/>
      </w:pPr>
      <w:r>
        <w:t xml:space="preserve">The verb </w:t>
      </w:r>
      <w:r>
        <w:t>אַזְכִּירָה</w:t>
      </w:r>
      <w:r>
        <w:t xml:space="preserve"> is a Hiphil cohortative (the causative stem in its volitional form) of </w:t>
      </w:r>
      <w:r>
        <w:t>זכר</w:t>
      </w:r>
      <w:r>
        <w:t>:‎ not merely "I will remember" but "I will cause to be remembered." The poet claims a transitive, active role: his poem makes others remember. The Hiphil form is emphatic — this is a deliberate, world-shaping act. To cause a name to be remembered in the ancient Near Eastern world is to confer immortality: name-perpetuation is survival beyond death.</w:t>
      </w:r>
    </w:p>
    <w:p w14:paraId="5B7878EE" w14:textId="77777777" w:rsidR="00212F1D" w:rsidRDefault="005150DB">
      <w:pPr>
        <w:pStyle w:val="BodySans"/>
      </w:pPr>
      <w:r>
        <w:lastRenderedPageBreak/>
        <w:t xml:space="preserve">The third and final </w:t>
      </w:r>
      <w:r>
        <w:t>עַל</w:t>
      </w:r>
      <w:r>
        <w:t xml:space="preserve"> </w:t>
      </w:r>
      <w:r>
        <w:t>כֵּן</w:t>
      </w:r>
      <w:r>
        <w:t xml:space="preserve">,‎ "therefore," completes the psalm's logical chain. The word </w:t>
      </w:r>
      <w:r>
        <w:t>עַמִּים</w:t>
      </w:r>
      <w:r>
        <w:t xml:space="preserve">,‎ "peoples/nations," now reappears: first as conquered enemies (v. 6: </w:t>
      </w:r>
      <w:bdo w:val="ltr">
        <w:r>
          <w:t>וּלפְּיִ</w:t>
        </w:r>
        <w:r>
          <w:t xml:space="preserve"> </w:t>
        </w:r>
        <w:r>
          <w:t>ךָיתֶּחְתַּ</w:t>
        </w:r>
        <w:r>
          <w:t xml:space="preserve"> </w:t>
        </w:r>
        <w:r>
          <w:t>םימִּעַ</w:t>
        </w:r>
        <w:r>
          <w:t>‬</w:t>
        </w:r>
        <w:r>
          <w:t xml:space="preserve">, "peoples fall under you"), and now as worshipers: </w:t>
        </w:r>
        <w:r>
          <w:t>עַמִּים</w:t>
        </w:r>
        <w:r>
          <w:t xml:space="preserve"> </w:t>
        </w:r>
        <w:r>
          <w:t>יְהוֹדוּךָ</w:t>
        </w:r>
        <w:r>
          <w:t>,‎ "peoples will praise you." The poem thus moves from conquest toward acclaim.‏</w:t>
        </w:r>
      </w:bdo>
    </w:p>
    <w:p w14:paraId="37C42D89" w14:textId="77777777" w:rsidR="00212F1D" w:rsidRDefault="005150DB">
      <w:pPr>
        <w:pStyle w:val="BodySans"/>
      </w:pPr>
      <w:r>
        <w:t xml:space="preserve">The temporal formula </w:t>
      </w:r>
      <w:r>
        <w:t>לְעֹלָם</w:t>
      </w:r>
      <w:r>
        <w:t xml:space="preserve"> </w:t>
      </w:r>
      <w:r>
        <w:t>וָעֶד</w:t>
      </w:r>
      <w:r>
        <w:t>,‎ "forever and ever," closes an eternal frame opened in verse 3 (</w:t>
      </w:r>
      <w:r>
        <w:t>לְעוֹלָם</w:t>
      </w:r>
      <w:r>
        <w:t xml:space="preserve">,‎ "forever") and sustained in verse 7 </w:t>
      </w:r>
      <w:bdo w:val="ltr">
        <w:r>
          <w:t>(</w:t>
        </w:r>
        <w:r>
          <w:t>דעֶוָ</w:t>
        </w:r>
        <w:r>
          <w:t xml:space="preserve"> </w:t>
        </w:r>
        <w:r>
          <w:t>םלָוֹע</w:t>
        </w:r>
        <w:r>
          <w:t>)</w:t>
        </w:r>
        <w:r>
          <w:t>‬. Three "forevers" mark three promises: eternal blessing (v. 3), eternal throne (v. 7), eternal praise (v. 18). The psalm begins with the poet's heart stirring and ends with all peoples stirring in praise — the individual creative act has become universal liturgy.‏</w:t>
        </w:r>
      </w:bdo>
    </w:p>
    <w:p w14:paraId="7C13A9E5" w14:textId="77777777" w:rsidR="00212F1D" w:rsidRDefault="005150DB">
      <w:pPr>
        <w:pStyle w:val="BodySans"/>
      </w:pPr>
      <w:r>
        <w:t>Psalm 48:14, the other Korahite sibling psalm, commands a similar act of generational transmission:</w:t>
      </w:r>
    </w:p>
    <w:p w14:paraId="1969C130" w14:textId="77777777" w:rsidR="00212F1D" w:rsidRDefault="005150DB">
      <w:pPr>
        <w:pStyle w:val="BodySans"/>
        <w:bidi/>
        <w:ind w:left="432" w:right="432"/>
        <w:jc w:val="right"/>
      </w:pPr>
      <w:r>
        <w:rPr>
          <w:rFonts w:ascii="Times New Roman" w:hAnsi="Times New Roman"/>
          <w:sz w:val="26"/>
          <w:szCs w:val="26"/>
        </w:rPr>
        <w:t>שִׁיתוּ</w:t>
      </w:r>
      <w:r>
        <w:rPr>
          <w:rFonts w:ascii="Times New Roman" w:hAnsi="Times New Roman"/>
          <w:sz w:val="26"/>
          <w:szCs w:val="26"/>
        </w:rPr>
        <w:t xml:space="preserve"> </w:t>
      </w:r>
      <w:r>
        <w:rPr>
          <w:rFonts w:ascii="Times New Roman" w:hAnsi="Times New Roman"/>
          <w:sz w:val="26"/>
          <w:szCs w:val="26"/>
        </w:rPr>
        <w:t>לִבְּכֶם</w:t>
      </w:r>
      <w:r>
        <w:rPr>
          <w:rFonts w:ascii="Times New Roman" w:hAnsi="Times New Roman"/>
          <w:sz w:val="26"/>
          <w:szCs w:val="26"/>
        </w:rPr>
        <w:t xml:space="preserve"> </w:t>
      </w:r>
      <w:r>
        <w:rPr>
          <w:rFonts w:ascii="Times New Roman" w:hAnsi="Times New Roman"/>
          <w:sz w:val="26"/>
          <w:szCs w:val="26"/>
        </w:rPr>
        <w:t>לְחֵילָהּ</w:t>
      </w:r>
      <w:r>
        <w:rPr>
          <w:rFonts w:ascii="Times New Roman" w:hAnsi="Times New Roman"/>
          <w:sz w:val="26"/>
          <w:szCs w:val="26"/>
        </w:rPr>
        <w:t xml:space="preserve"> </w:t>
      </w:r>
      <w:r>
        <w:rPr>
          <w:rFonts w:ascii="Times New Roman" w:hAnsi="Times New Roman"/>
          <w:sz w:val="26"/>
          <w:szCs w:val="26"/>
        </w:rPr>
        <w:t>פַּסְּגוּ</w:t>
      </w:r>
      <w:r>
        <w:rPr>
          <w:rFonts w:ascii="Times New Roman" w:hAnsi="Times New Roman"/>
          <w:sz w:val="26"/>
          <w:szCs w:val="26"/>
        </w:rPr>
        <w:t xml:space="preserve"> </w:t>
      </w:r>
      <w:r>
        <w:rPr>
          <w:rFonts w:ascii="Times New Roman" w:hAnsi="Times New Roman"/>
          <w:sz w:val="26"/>
          <w:szCs w:val="26"/>
        </w:rPr>
        <w:t>אַרְמְנוֹתֶיהָ</w:t>
      </w:r>
      <w:r>
        <w:rPr>
          <w:rFonts w:ascii="Times New Roman" w:hAnsi="Times New Roman"/>
          <w:sz w:val="26"/>
          <w:szCs w:val="26"/>
        </w:rPr>
        <w:t xml:space="preserve"> </w:t>
      </w:r>
      <w:r>
        <w:rPr>
          <w:rFonts w:ascii="Times New Roman" w:hAnsi="Times New Roman"/>
          <w:sz w:val="26"/>
          <w:szCs w:val="26"/>
        </w:rPr>
        <w:t>לְמַעַן</w:t>
      </w:r>
      <w:r>
        <w:rPr>
          <w:rFonts w:ascii="Times New Roman" w:hAnsi="Times New Roman"/>
          <w:sz w:val="26"/>
          <w:szCs w:val="26"/>
        </w:rPr>
        <w:t xml:space="preserve"> </w:t>
      </w:r>
      <w:r>
        <w:rPr>
          <w:rFonts w:ascii="Times New Roman" w:hAnsi="Times New Roman"/>
          <w:sz w:val="26"/>
          <w:szCs w:val="26"/>
        </w:rPr>
        <w:t>תְּסַפְּרוּ</w:t>
      </w:r>
      <w:r>
        <w:rPr>
          <w:rFonts w:ascii="Times New Roman" w:hAnsi="Times New Roman"/>
          <w:sz w:val="26"/>
          <w:szCs w:val="26"/>
        </w:rPr>
        <w:t xml:space="preserve"> </w:t>
      </w:r>
      <w:r>
        <w:rPr>
          <w:rFonts w:ascii="Times New Roman" w:hAnsi="Times New Roman"/>
          <w:sz w:val="26"/>
          <w:szCs w:val="26"/>
        </w:rPr>
        <w:t>לְדוֹר</w:t>
      </w:r>
      <w:r>
        <w:rPr>
          <w:rFonts w:ascii="Times New Roman" w:hAnsi="Times New Roman"/>
          <w:sz w:val="26"/>
          <w:szCs w:val="26"/>
        </w:rPr>
        <w:t xml:space="preserve"> </w:t>
      </w:r>
      <w:r>
        <w:rPr>
          <w:rFonts w:ascii="Times New Roman" w:hAnsi="Times New Roman"/>
          <w:sz w:val="26"/>
          <w:szCs w:val="26"/>
        </w:rPr>
        <w:t>אַחֲרוֹן</w:t>
      </w:r>
    </w:p>
    <w:p w14:paraId="0924FFD2" w14:textId="77777777" w:rsidR="00212F1D" w:rsidRDefault="005150DB">
      <w:pPr>
        <w:pStyle w:val="BodySans"/>
      </w:pPr>
      <w:r>
        <w:t>"Take note of her ramparts, go through her citadels, that you may tell the next generation." Both Korahite psalms end with the demand that what is celebrated be transmitted forward. But Psalm 48 asks the community to tell; Psalm 45's poet claims the task for himself alone.</w:t>
      </w:r>
    </w:p>
    <w:p w14:paraId="6B76C34C" w14:textId="77777777" w:rsidR="00212F1D" w:rsidRDefault="005150DB">
      <w:pPr>
        <w:pStyle w:val="BodySans"/>
      </w:pPr>
      <w:r>
        <w:t>Yehuda Amichai, writing in modern Hebrew, dramatized the opposite of the psalmist's confidence:</w:t>
      </w:r>
    </w:p>
    <w:p w14:paraId="462F3AA9" w14:textId="77777777" w:rsidR="00212F1D" w:rsidRDefault="005150DB">
      <w:pPr>
        <w:pStyle w:val="BodySans"/>
        <w:bidi/>
        <w:ind w:left="432" w:right="432"/>
        <w:jc w:val="right"/>
      </w:pPr>
      <w:r>
        <w:rPr>
          <w:rFonts w:ascii="Times New Roman" w:hAnsi="Times New Roman"/>
          <w:sz w:val="26"/>
          <w:szCs w:val="26"/>
        </w:rPr>
        <w:t>כְּשֶׁהוּא</w:t>
      </w:r>
      <w:r>
        <w:rPr>
          <w:rFonts w:ascii="Times New Roman" w:hAnsi="Times New Roman"/>
          <w:sz w:val="26"/>
          <w:szCs w:val="26"/>
        </w:rPr>
        <w:t xml:space="preserve"> </w:t>
      </w:r>
      <w:r>
        <w:rPr>
          <w:rFonts w:ascii="Times New Roman" w:hAnsi="Times New Roman"/>
          <w:sz w:val="26"/>
          <w:szCs w:val="26"/>
        </w:rPr>
        <w:t>מְאַבֵּד</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מְחַפֵּשׂ</w:t>
      </w:r>
      <w:r>
        <w:rPr>
          <w:rFonts w:ascii="Times New Roman" w:hAnsi="Times New Roman"/>
          <w:sz w:val="26"/>
          <w:szCs w:val="26"/>
        </w:rPr>
        <w:t xml:space="preserve"> / </w:t>
      </w:r>
      <w:r>
        <w:rPr>
          <w:rFonts w:ascii="Times New Roman" w:hAnsi="Times New Roman"/>
          <w:sz w:val="26"/>
          <w:szCs w:val="26"/>
        </w:rPr>
        <w:t>כְּשֶׁהוּא</w:t>
      </w:r>
      <w:r>
        <w:rPr>
          <w:rFonts w:ascii="Times New Roman" w:hAnsi="Times New Roman"/>
          <w:sz w:val="26"/>
          <w:szCs w:val="26"/>
        </w:rPr>
        <w:t xml:space="preserve"> </w:t>
      </w:r>
      <w:r>
        <w:rPr>
          <w:rFonts w:ascii="Times New Roman" w:hAnsi="Times New Roman"/>
          <w:sz w:val="26"/>
          <w:szCs w:val="26"/>
        </w:rPr>
        <w:t>מוֹצֵא</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שׁוֹכֵחַ</w:t>
      </w:r>
    </w:p>
    <w:p w14:paraId="1CEA4F92" w14:textId="77777777" w:rsidR="00212F1D" w:rsidRDefault="005150DB">
      <w:pPr>
        <w:pStyle w:val="BodySans"/>
      </w:pPr>
      <w:r>
        <w:t>"When he loses he seeks, / when he finds he forgets." The ancient poet promises unbroken vertical memory: sons succeeding fathers, peoples praising across all generations. The modern poet insists that human memory is cyclical and self-defeating — what is found is forgotten. The psalm has now been recited for three millennia, which would seem to settle the argument in the psalmist's favor. But Amichai would likely point out that we have forgotten the king's name, his bride's face, even the specific occasion.</w:t>
      </w:r>
      <w:r>
        <w:t xml:space="preserve"> What survives is the poem, not its subject — which is, perhaps, exactly what the poet intended all along.</w:t>
      </w:r>
    </w:p>
    <w:p w14:paraId="63FB5646" w14:textId="77777777" w:rsidR="00212F1D" w:rsidRDefault="005150DB">
      <w:r>
        <w:br w:type="page"/>
      </w:r>
    </w:p>
    <w:p w14:paraId="3C29AB26" w14:textId="77777777" w:rsidR="00212F1D" w:rsidRDefault="005150DB">
      <w:pPr>
        <w:pStyle w:val="Heading2"/>
      </w:pPr>
      <w:r>
        <w:rPr>
          <w:rFonts w:ascii="Aptos" w:hAnsi="Aptos"/>
        </w:rPr>
        <w:lastRenderedPageBreak/>
        <w:t>Methodological &amp; Bibliographical Summary</w:t>
      </w:r>
    </w:p>
    <w:p w14:paraId="2597A3FA" w14:textId="77777777" w:rsidR="00212F1D" w:rsidRDefault="005150DB">
      <w:pPr>
        <w:pStyle w:val="Heading3"/>
      </w:pPr>
      <w:r>
        <w:rPr>
          <w:rFonts w:ascii="Aptos" w:hAnsi="Aptos"/>
        </w:rPr>
        <w:t>Research &amp; Data Inputs</w:t>
      </w:r>
    </w:p>
    <w:p w14:paraId="457A7920" w14:textId="77777777" w:rsidR="00212F1D" w:rsidRDefault="005150DB">
      <w:pPr>
        <w:pStyle w:val="SummaryText"/>
      </w:pPr>
      <w:r>
        <w:rPr>
          <w:rFonts w:ascii="Aptos" w:hAnsi="Aptos"/>
          <w:b/>
        </w:rPr>
        <w:t>Psalm Verses Analyzed</w:t>
      </w:r>
      <w:r>
        <w:rPr>
          <w:rFonts w:ascii="Aptos" w:hAnsi="Aptos"/>
        </w:rPr>
        <w:t>: 18</w:t>
      </w:r>
    </w:p>
    <w:p w14:paraId="06858929" w14:textId="77777777" w:rsidR="00212F1D" w:rsidRDefault="005150DB">
      <w:pPr>
        <w:pStyle w:val="SummaryText"/>
      </w:pPr>
      <w:r>
        <w:rPr>
          <w:rFonts w:ascii="Aptos" w:hAnsi="Aptos"/>
          <w:b/>
        </w:rPr>
        <w:t>LXX (Septuagint) Verses Reviewed</w:t>
      </w:r>
      <w:r>
        <w:rPr>
          <w:rFonts w:ascii="Aptos" w:hAnsi="Aptos"/>
        </w:rPr>
        <w:t>: 18</w:t>
      </w:r>
    </w:p>
    <w:p w14:paraId="4BEB96C7" w14:textId="77777777" w:rsidR="00212F1D" w:rsidRDefault="005150DB">
      <w:pPr>
        <w:pStyle w:val="SummaryText"/>
      </w:pPr>
      <w:r>
        <w:rPr>
          <w:rFonts w:ascii="Aptos" w:hAnsi="Aptos"/>
          <w:b/>
        </w:rPr>
        <w:t>Phonetic Transcriptions Generated</w:t>
      </w:r>
      <w:r>
        <w:rPr>
          <w:rFonts w:ascii="Aptos" w:hAnsi="Aptos"/>
        </w:rPr>
        <w:t>: 18</w:t>
      </w:r>
    </w:p>
    <w:p w14:paraId="28042291" w14:textId="77777777" w:rsidR="00212F1D" w:rsidRDefault="005150DB">
      <w:pPr>
        <w:pStyle w:val="SummaryText"/>
      </w:pPr>
      <w:r>
        <w:rPr>
          <w:rFonts w:ascii="Aptos" w:hAnsi="Aptos"/>
          <w:b/>
        </w:rPr>
        <w:t>Ugaritic Parallels Reviewed</w:t>
      </w:r>
      <w:r>
        <w:rPr>
          <w:rFonts w:ascii="Aptos" w:hAnsi="Aptos"/>
        </w:rPr>
        <w:t>: 0</w:t>
      </w:r>
    </w:p>
    <w:p w14:paraId="41AED916" w14:textId="77777777" w:rsidR="00212F1D" w:rsidRDefault="005150DB">
      <w:pPr>
        <w:pStyle w:val="SummaryText"/>
      </w:pPr>
      <w:r>
        <w:rPr>
          <w:rFonts w:ascii="Aptos" w:hAnsi="Aptos"/>
          <w:b/>
        </w:rPr>
        <w:t>Lexicon Entries (BDB/Klein) Reviewed</w:t>
      </w:r>
      <w:r>
        <w:rPr>
          <w:rFonts w:ascii="Aptos" w:hAnsi="Aptos"/>
        </w:rPr>
        <w:t>: 30</w:t>
      </w:r>
    </w:p>
    <w:p w14:paraId="6BCAF49C" w14:textId="77777777" w:rsidR="00212F1D" w:rsidRDefault="005150DB">
      <w:pPr>
        <w:pStyle w:val="SummaryText"/>
      </w:pPr>
      <w:r>
        <w:rPr>
          <w:rFonts w:ascii="Aptos" w:hAnsi="Aptos"/>
          <w:b/>
        </w:rPr>
        <w:t>Traditional Commentaries Reviewed</w:t>
      </w:r>
      <w:r>
        <w:rPr>
          <w:rFonts w:ascii="Aptos" w:hAnsi="Aptos"/>
        </w:rPr>
        <w:t>: 108 (Ibn Ezra (18); Malbim (14); Meiri (18); Metzudat David (16); Radak (18); Rashi (17); Torah Temimah (7))</w:t>
      </w:r>
    </w:p>
    <w:p w14:paraId="6416F9C8" w14:textId="77777777" w:rsidR="00212F1D" w:rsidRDefault="005150DB">
      <w:pPr>
        <w:pStyle w:val="SummaryText"/>
      </w:pPr>
      <w:r>
        <w:rPr>
          <w:rFonts w:ascii="Aptos" w:hAnsi="Aptos"/>
          <w:b/>
        </w:rPr>
        <w:t>Concordance Entries Reviewed</w:t>
      </w:r>
      <w:r>
        <w:rPr>
          <w:rFonts w:ascii="Aptos" w:hAnsi="Aptos"/>
        </w:rPr>
        <w:t>: 9</w:t>
      </w:r>
    </w:p>
    <w:p w14:paraId="60796A43" w14:textId="77777777" w:rsidR="00212F1D" w:rsidRDefault="005150DB">
      <w:pPr>
        <w:pStyle w:val="SummaryText"/>
      </w:pPr>
      <w:r>
        <w:rPr>
          <w:rFonts w:ascii="Aptos" w:hAnsi="Aptos"/>
          <w:b/>
        </w:rPr>
        <w:t>Figurative Concordance Matches Reviewed</w:t>
      </w:r>
      <w:r>
        <w:rPr>
          <w:rFonts w:ascii="Aptos" w:hAnsi="Aptos"/>
        </w:rPr>
        <w:t>: 400 (inner (50); ivory (50); name (50); pen (50); poured (50); riding (50); sword (50); throne (50))</w:t>
      </w:r>
    </w:p>
    <w:p w14:paraId="2CEE68CE" w14:textId="77777777" w:rsidR="00212F1D" w:rsidRDefault="005150DB">
      <w:pPr>
        <w:pStyle w:val="SummaryText"/>
      </w:pPr>
      <w:r>
        <w:rPr>
          <w:rFonts w:ascii="Aptos" w:hAnsi="Aptos"/>
          <w:b/>
        </w:rPr>
        <w:t>Rabbi Jonathan Sacks References Reviewed</w:t>
      </w:r>
      <w:r>
        <w:rPr>
          <w:rFonts w:ascii="Aptos" w:hAnsi="Aptos"/>
        </w:rPr>
        <w:t>: 5</w:t>
      </w:r>
    </w:p>
    <w:p w14:paraId="51375FDB" w14:textId="77777777" w:rsidR="00212F1D" w:rsidRDefault="005150DB">
      <w:pPr>
        <w:pStyle w:val="SummaryText"/>
      </w:pPr>
      <w:r>
        <w:rPr>
          <w:rFonts w:ascii="Aptos" w:hAnsi="Aptos"/>
          <w:b/>
        </w:rPr>
        <w:t>Similar Psalms Analyzed</w:t>
      </w:r>
      <w:r>
        <w:rPr>
          <w:rFonts w:ascii="Aptos" w:hAnsi="Aptos"/>
        </w:rPr>
        <w:t>: 5 (Psalms 48, 106, 21, 97, 64)</w:t>
      </w:r>
    </w:p>
    <w:p w14:paraId="5465372A" w14:textId="77777777" w:rsidR="00212F1D" w:rsidRDefault="005150DB">
      <w:pPr>
        <w:pStyle w:val="SummaryText"/>
      </w:pPr>
      <w:r>
        <w:rPr>
          <w:rFonts w:ascii="Aptos" w:hAnsi="Aptos"/>
          <w:b/>
        </w:rPr>
        <w:t>Deep Web Research</w:t>
      </w:r>
      <w:r>
        <w:rPr>
          <w:rFonts w:ascii="Aptos" w:hAnsi="Aptos"/>
        </w:rPr>
        <w:t>: Yes</w:t>
      </w:r>
    </w:p>
    <w:p w14:paraId="4A022198" w14:textId="77777777" w:rsidR="00212F1D" w:rsidRDefault="005150DB">
      <w:pPr>
        <w:pStyle w:val="SummaryText"/>
      </w:pPr>
      <w:r>
        <w:rPr>
          <w:rFonts w:ascii="Aptos" w:hAnsi="Aptos"/>
          <w:b/>
        </w:rPr>
        <w:t>Literary Echoes Research</w:t>
      </w:r>
      <w:r>
        <w:rPr>
          <w:rFonts w:ascii="Aptos" w:hAnsi="Aptos"/>
        </w:rPr>
        <w:t>: Yes</w:t>
      </w:r>
    </w:p>
    <w:p w14:paraId="4ECFAE2B" w14:textId="77777777" w:rsidR="00212F1D" w:rsidRDefault="005150DB">
      <w:pPr>
        <w:pStyle w:val="SummaryText"/>
      </w:pPr>
      <w:r>
        <w:rPr>
          <w:rFonts w:ascii="Aptos" w:hAnsi="Aptos"/>
          <w:b/>
        </w:rPr>
        <w:t>Sections Trimmed for Context</w:t>
      </w:r>
      <w:r>
        <w:rPr>
          <w:rFonts w:ascii="Aptos" w:hAnsi="Aptos"/>
        </w:rPr>
        <w:t>: None</w:t>
      </w:r>
    </w:p>
    <w:p w14:paraId="10597B52" w14:textId="77777777" w:rsidR="00212F1D" w:rsidRDefault="005150DB">
      <w:pPr>
        <w:pStyle w:val="SummaryText"/>
      </w:pPr>
      <w:r>
        <w:rPr>
          <w:rFonts w:ascii="Aptos" w:hAnsi="Aptos"/>
          <w:b/>
        </w:rPr>
        <w:t>Master Editor Prompt Size</w:t>
      </w:r>
      <w:r>
        <w:rPr>
          <w:rFonts w:ascii="Aptos" w:hAnsi="Aptos"/>
        </w:rPr>
        <w:t>: 261,494 characters</w:t>
      </w:r>
    </w:p>
    <w:p w14:paraId="53DCA825" w14:textId="77777777" w:rsidR="00212F1D" w:rsidRDefault="005150DB">
      <w:pPr>
        <w:pStyle w:val="Heading3"/>
      </w:pPr>
      <w:r>
        <w:rPr>
          <w:rFonts w:ascii="Aptos" w:hAnsi="Aptos"/>
        </w:rPr>
        <w:t>Models Used</w:t>
      </w:r>
    </w:p>
    <w:p w14:paraId="532B657D" w14:textId="77777777" w:rsidR="00212F1D" w:rsidRDefault="005150DB">
      <w:pPr>
        <w:pStyle w:val="SummaryText"/>
      </w:pPr>
      <w:r>
        <w:rPr>
          <w:rFonts w:ascii="Aptos" w:hAnsi="Aptos"/>
          <w:b/>
        </w:rPr>
        <w:t>Structural Analysis (Macro)</w:t>
      </w:r>
      <w:r>
        <w:rPr>
          <w:rFonts w:ascii="Aptos" w:hAnsi="Aptos"/>
        </w:rPr>
        <w:t>: claude-opus-4-6</w:t>
      </w:r>
    </w:p>
    <w:p w14:paraId="42E14247" w14:textId="77777777" w:rsidR="00212F1D" w:rsidRDefault="005150DB">
      <w:pPr>
        <w:pStyle w:val="SummaryText"/>
      </w:pPr>
      <w:r>
        <w:rPr>
          <w:rFonts w:ascii="Aptos" w:hAnsi="Aptos"/>
          <w:b/>
        </w:rPr>
        <w:t>Verse Discovery (Micro)</w:t>
      </w:r>
      <w:r>
        <w:rPr>
          <w:rFonts w:ascii="Aptos" w:hAnsi="Aptos"/>
        </w:rPr>
        <w:t>: claude-sonnet-4-6</w:t>
      </w:r>
    </w:p>
    <w:p w14:paraId="56B87DC6" w14:textId="77777777" w:rsidR="00212F1D" w:rsidRDefault="005150DB">
      <w:pPr>
        <w:pStyle w:val="SummaryText"/>
      </w:pPr>
      <w:r>
        <w:rPr>
          <w:rFonts w:ascii="Aptos" w:hAnsi="Aptos"/>
          <w:b/>
        </w:rPr>
        <w:t>Liturgical Librarian</w:t>
      </w:r>
      <w:r>
        <w:rPr>
          <w:rFonts w:ascii="Aptos" w:hAnsi="Aptos"/>
        </w:rPr>
        <w:t>: gpt-5.1</w:t>
      </w:r>
    </w:p>
    <w:p w14:paraId="7EBE08EA" w14:textId="77777777" w:rsidR="00212F1D" w:rsidRDefault="005150DB">
      <w:pPr>
        <w:pStyle w:val="SummaryText"/>
      </w:pPr>
      <w:r>
        <w:rPr>
          <w:rFonts w:ascii="Aptos" w:hAnsi="Aptos"/>
          <w:b/>
        </w:rPr>
        <w:t>Figurative Curator</w:t>
      </w:r>
      <w:r>
        <w:rPr>
          <w:rFonts w:ascii="Aptos" w:hAnsi="Aptos"/>
        </w:rPr>
        <w:t>: gpt-5.4</w:t>
      </w:r>
    </w:p>
    <w:p w14:paraId="5B69001A" w14:textId="77777777" w:rsidR="00212F1D" w:rsidRDefault="005150DB">
      <w:pPr>
        <w:pStyle w:val="SummaryText"/>
      </w:pPr>
      <w:r>
        <w:rPr>
          <w:rFonts w:ascii="Aptos" w:hAnsi="Aptos"/>
          <w:b/>
        </w:rPr>
        <w:t>Commentary (Master Writer)</w:t>
      </w:r>
      <w:r>
        <w:rPr>
          <w:rFonts w:ascii="Aptos" w:hAnsi="Aptos"/>
        </w:rPr>
        <w:t>: claude-opus-4-6</w:t>
      </w:r>
    </w:p>
    <w:p w14:paraId="6635D277" w14:textId="77777777" w:rsidR="00212F1D" w:rsidRDefault="005150DB">
      <w:pPr>
        <w:pStyle w:val="SummaryText"/>
      </w:pPr>
      <w:r>
        <w:rPr>
          <w:rFonts w:ascii="Aptos" w:hAnsi="Aptos"/>
          <w:b/>
        </w:rPr>
        <w:t>Citation Verifier Filter</w:t>
      </w:r>
      <w:r>
        <w:rPr>
          <w:rFonts w:ascii="Aptos" w:hAnsi="Aptos"/>
        </w:rPr>
        <w:t>: gpt-5.1</w:t>
      </w:r>
    </w:p>
    <w:p w14:paraId="39D80416" w14:textId="77777777" w:rsidR="00212F1D" w:rsidRDefault="005150DB">
      <w:pPr>
        <w:pStyle w:val="SummaryText"/>
      </w:pPr>
      <w:r>
        <w:rPr>
          <w:rFonts w:ascii="Aptos" w:hAnsi="Aptos"/>
          <w:b/>
        </w:rPr>
        <w:t>Copy Editor</w:t>
      </w:r>
      <w:r>
        <w:rPr>
          <w:rFonts w:ascii="Aptos" w:hAnsi="Aptos"/>
        </w:rPr>
        <w:t>: gpt-5.4</w:t>
      </w:r>
    </w:p>
    <w:p w14:paraId="2F218634" w14:textId="77777777" w:rsidR="00212F1D" w:rsidRDefault="005150DB">
      <w:pPr>
        <w:pStyle w:val="Heading3"/>
      </w:pPr>
      <w:r>
        <w:rPr>
          <w:rFonts w:ascii="Aptos" w:hAnsi="Aptos"/>
        </w:rPr>
        <w:t>Date Produced</w:t>
      </w:r>
    </w:p>
    <w:p w14:paraId="342633EF" w14:textId="77777777" w:rsidR="00212F1D" w:rsidRDefault="005150DB">
      <w:pPr>
        <w:pStyle w:val="SummaryText"/>
      </w:pPr>
      <w:r>
        <w:rPr>
          <w:rFonts w:ascii="Aptos" w:hAnsi="Aptos"/>
        </w:rPr>
        <w:t>March 27, 2026</w:t>
      </w:r>
    </w:p>
    <w:sectPr w:rsidR="00212F1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32591" w14:textId="77777777" w:rsidR="005150DB" w:rsidRDefault="005150DB">
      <w:pPr>
        <w:spacing w:after="0" w:line="240" w:lineRule="auto"/>
      </w:pPr>
      <w:r>
        <w:separator/>
      </w:r>
    </w:p>
  </w:endnote>
  <w:endnote w:type="continuationSeparator" w:id="0">
    <w:p w14:paraId="007A1ACB" w14:textId="77777777" w:rsidR="005150DB" w:rsidRDefault="00515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56FE" w14:textId="28136022" w:rsidR="00212F1D" w:rsidRDefault="005150DB">
    <w:pPr>
      <w:pStyle w:val="Footer"/>
      <w:jc w:val="right"/>
    </w:pPr>
    <w:r>
      <w:fldChar w:fldCharType="begin"/>
    </w:r>
    <w:r>
      <w:instrText>PAGE</w:instrText>
    </w:r>
    <w:r w:rsidR="00350EAE">
      <w:fldChar w:fldCharType="separate"/>
    </w:r>
    <w:r w:rsidR="00350E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BC202" w14:textId="77777777" w:rsidR="005150DB" w:rsidRDefault="005150DB">
      <w:pPr>
        <w:spacing w:after="0" w:line="240" w:lineRule="auto"/>
      </w:pPr>
      <w:r>
        <w:separator/>
      </w:r>
    </w:p>
  </w:footnote>
  <w:footnote w:type="continuationSeparator" w:id="0">
    <w:p w14:paraId="07DDEB85" w14:textId="77777777" w:rsidR="005150DB" w:rsidRDefault="00515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892988">
    <w:abstractNumId w:val="8"/>
  </w:num>
  <w:num w:numId="2" w16cid:durableId="1588270493">
    <w:abstractNumId w:val="6"/>
  </w:num>
  <w:num w:numId="3" w16cid:durableId="446508765">
    <w:abstractNumId w:val="5"/>
  </w:num>
  <w:num w:numId="4" w16cid:durableId="900015720">
    <w:abstractNumId w:val="4"/>
  </w:num>
  <w:num w:numId="5" w16cid:durableId="1347557401">
    <w:abstractNumId w:val="7"/>
  </w:num>
  <w:num w:numId="6" w16cid:durableId="1937249610">
    <w:abstractNumId w:val="3"/>
  </w:num>
  <w:num w:numId="7" w16cid:durableId="64885838">
    <w:abstractNumId w:val="2"/>
  </w:num>
  <w:num w:numId="8" w16cid:durableId="355086995">
    <w:abstractNumId w:val="1"/>
  </w:num>
  <w:num w:numId="9" w16cid:durableId="653098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F1D"/>
    <w:rsid w:val="0029639D"/>
    <w:rsid w:val="00326F90"/>
    <w:rsid w:val="00350EAE"/>
    <w:rsid w:val="005150DB"/>
    <w:rsid w:val="005923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CF3668-F67E-409C-8CA4-73A24BC94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7459</Words>
  <Characters>42517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2026-03-27T12:55:00Z</dcterms:created>
  <dcterms:modified xsi:type="dcterms:W3CDTF">2026-03-27T12:55:00Z</dcterms:modified>
  <cp:category/>
</cp:coreProperties>
</file>