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2FCBF" w14:textId="77777777" w:rsidR="00AC66DA" w:rsidRDefault="00CC5C72">
      <w:pPr>
        <w:pStyle w:val="Heading1"/>
      </w:pPr>
      <w:r>
        <w:t>Commentary on Psalm 100</w:t>
      </w:r>
    </w:p>
    <w:p w14:paraId="5FD6DA97" w14:textId="77777777" w:rsidR="00AC66DA" w:rsidRDefault="00CC5C72">
      <w:pPr>
        <w:pStyle w:val="Heading2"/>
      </w:pPr>
      <w:r>
        <w:t>Psalm 100</w:t>
      </w:r>
    </w:p>
    <w:tbl>
      <w:tblPr>
        <w:tblW w:w="0" w:type="auto"/>
        <w:tblLook w:val="04A0" w:firstRow="1" w:lastRow="0" w:firstColumn="1" w:lastColumn="0" w:noHBand="0" w:noVBand="1"/>
      </w:tblPr>
      <w:tblGrid>
        <w:gridCol w:w="4680"/>
        <w:gridCol w:w="4680"/>
      </w:tblGrid>
      <w:tr w:rsidR="00AC66DA" w14:paraId="63A5625B" w14:textId="77777777">
        <w:tc>
          <w:tcPr>
            <w:tcW w:w="4680" w:type="dxa"/>
          </w:tcPr>
          <w:p w14:paraId="508CBD54" w14:textId="77777777" w:rsidR="00AC66DA" w:rsidRDefault="00CC5C72">
            <w:r>
              <w:rPr>
                <w:b/>
              </w:rPr>
              <w:t xml:space="preserve">1. </w:t>
            </w:r>
            <w:r>
              <w:rPr>
                <w:rtl/>
              </w:rPr>
              <w:t>מִזְמ֥וֹר לְתוֹדָ֑ה הָרִ֥יעוּ לַ֝ה׳ כׇּל־הָאָֽרֶץ׃</w:t>
            </w:r>
          </w:p>
        </w:tc>
        <w:tc>
          <w:tcPr>
            <w:tcW w:w="4680" w:type="dxa"/>
          </w:tcPr>
          <w:p w14:paraId="42481DA0" w14:textId="77777777" w:rsidR="00AC66DA" w:rsidRDefault="00CC5C72">
            <w:r>
              <w:rPr>
                <w:rFonts w:ascii="Cambria" w:hAnsi="Cambria"/>
              </w:rPr>
              <w:t>A psalm for praise.</w:t>
            </w:r>
            <w:r>
              <w:rPr>
                <w:rFonts w:ascii="Cambria" w:hAnsi="Cambria"/>
              </w:rPr>
              <w:br/>
              <w:t>Raise a shout for the LORD, all the earth;</w:t>
            </w:r>
          </w:p>
        </w:tc>
      </w:tr>
      <w:tr w:rsidR="00AC66DA" w14:paraId="1A149307" w14:textId="77777777">
        <w:tc>
          <w:tcPr>
            <w:tcW w:w="4680" w:type="dxa"/>
          </w:tcPr>
          <w:p w14:paraId="5ABB3817" w14:textId="77777777" w:rsidR="00AC66DA" w:rsidRDefault="00CC5C72">
            <w:r>
              <w:rPr>
                <w:b/>
              </w:rPr>
              <w:t xml:space="preserve">2. </w:t>
            </w:r>
            <w:r>
              <w:rPr>
                <w:rtl/>
              </w:rPr>
              <w:t>עִבְד֣וּ אֶת־ה׳ בְּשִׂמְחָ֑ה בֹּ֥אוּ לְ֝פָנָ֗יו בִּרְנָנָֽה׃</w:t>
            </w:r>
          </w:p>
        </w:tc>
        <w:tc>
          <w:tcPr>
            <w:tcW w:w="4680" w:type="dxa"/>
          </w:tcPr>
          <w:p w14:paraId="5B63ADEF" w14:textId="77777777" w:rsidR="00AC66DA" w:rsidRDefault="00CC5C72">
            <w:r>
              <w:rPr>
                <w:rFonts w:ascii="Cambria" w:hAnsi="Cambria"/>
              </w:rPr>
              <w:t>worship the LORD in gladness;</w:t>
            </w:r>
            <w:r>
              <w:rPr>
                <w:rFonts w:ascii="Cambria" w:hAnsi="Cambria"/>
              </w:rPr>
              <w:br/>
              <w:t>come into His presence with shouts of joy.</w:t>
            </w:r>
          </w:p>
        </w:tc>
      </w:tr>
      <w:tr w:rsidR="00AC66DA" w14:paraId="00AAD77E" w14:textId="77777777">
        <w:tc>
          <w:tcPr>
            <w:tcW w:w="4680" w:type="dxa"/>
          </w:tcPr>
          <w:p w14:paraId="225927EC" w14:textId="77777777" w:rsidR="00AC66DA" w:rsidRDefault="00CC5C72">
            <w:r>
              <w:rPr>
                <w:b/>
              </w:rPr>
              <w:t xml:space="preserve">3. </w:t>
            </w:r>
            <w:r>
              <w:rPr>
                <w:rtl/>
              </w:rPr>
              <w:t>דְּע֗וּ כִּֽי־ה׳֮ ה֤וּא אֱלֹ֫קִ֥ים הֽוּא־עָ֭שָׂנוּ (ולא) [וְל֣וֹ] אֲנַ֑חְנוּ עַ֝מּ֗וֹ וְצֹ֣אן מַרְעִיתֽוֹ׃</w:t>
            </w:r>
          </w:p>
        </w:tc>
        <w:tc>
          <w:tcPr>
            <w:tcW w:w="4680" w:type="dxa"/>
          </w:tcPr>
          <w:p w14:paraId="515D3AF0" w14:textId="77777777" w:rsidR="00AC66DA" w:rsidRDefault="00CC5C72">
            <w:r>
              <w:rPr>
                <w:rFonts w:ascii="Cambria" w:hAnsi="Cambria"/>
              </w:rPr>
              <w:t>Acknowledge that the LORD is God;</w:t>
            </w:r>
            <w:r>
              <w:rPr>
                <w:rFonts w:ascii="Cambria" w:hAnsi="Cambria"/>
              </w:rPr>
              <w:br/>
              <w:t>He made us and we are His,</w:t>
            </w:r>
            <w:r>
              <w:rPr>
                <w:rFonts w:ascii="Cambria" w:hAnsi="Cambria"/>
              </w:rPr>
              <w:br/>
              <w:t>His people, the flock He tends.</w:t>
            </w:r>
          </w:p>
        </w:tc>
      </w:tr>
      <w:tr w:rsidR="00AC66DA" w14:paraId="51BDEF03" w14:textId="77777777">
        <w:tc>
          <w:tcPr>
            <w:tcW w:w="4680" w:type="dxa"/>
          </w:tcPr>
          <w:p w14:paraId="3519A922" w14:textId="77777777" w:rsidR="00AC66DA" w:rsidRDefault="00CC5C72">
            <w:r>
              <w:rPr>
                <w:b/>
              </w:rPr>
              <w:t xml:space="preserve">4. </w:t>
            </w:r>
            <w:r>
              <w:rPr>
                <w:rtl/>
              </w:rPr>
              <w:t>בֹּ֤אוּ שְׁעָרָ֨יו ׀ בְּתוֹדָ֗ה חֲצֵרֹתָ֥יו בִּתְהִלָּ֑ה הוֹדוּ־ל֝֗וֹ בָּרְכ֥וּ שְׁמֽוֹ׃</w:t>
            </w:r>
          </w:p>
        </w:tc>
        <w:tc>
          <w:tcPr>
            <w:tcW w:w="4680" w:type="dxa"/>
          </w:tcPr>
          <w:p w14:paraId="347A4536" w14:textId="77777777" w:rsidR="00AC66DA" w:rsidRDefault="00CC5C72">
            <w:r>
              <w:rPr>
                <w:rFonts w:ascii="Cambria" w:hAnsi="Cambria"/>
              </w:rPr>
              <w:t>Enter His gates with praise,</w:t>
            </w:r>
            <w:r>
              <w:rPr>
                <w:rFonts w:ascii="Cambria" w:hAnsi="Cambria"/>
              </w:rPr>
              <w:br/>
              <w:t>His courts with acclamation.</w:t>
            </w:r>
            <w:r>
              <w:rPr>
                <w:rFonts w:ascii="Cambria" w:hAnsi="Cambria"/>
              </w:rPr>
              <w:br/>
              <w:t>Praise Him!</w:t>
            </w:r>
            <w:r>
              <w:rPr>
                <w:rFonts w:ascii="Cambria" w:hAnsi="Cambria"/>
              </w:rPr>
              <w:br/>
              <w:t>Bless His name!</w:t>
            </w:r>
          </w:p>
        </w:tc>
      </w:tr>
      <w:tr w:rsidR="00AC66DA" w14:paraId="4B63D35A" w14:textId="77777777">
        <w:tc>
          <w:tcPr>
            <w:tcW w:w="4680" w:type="dxa"/>
          </w:tcPr>
          <w:p w14:paraId="7E8725BB" w14:textId="77777777" w:rsidR="00AC66DA" w:rsidRDefault="00CC5C72">
            <w:r>
              <w:rPr>
                <w:b/>
              </w:rPr>
              <w:t xml:space="preserve">5. </w:t>
            </w:r>
            <w:r>
              <w:rPr>
                <w:rtl/>
              </w:rPr>
              <w:t>כִּי־ט֣וֹב ה׳ לְעוֹלָ֣ם חַסְדּ֑וֹ וְעַד־דֹּ֥ר וָ֝דֹ֗ר אֱמוּנָתֽוֹ׃ {פ}</w:t>
            </w:r>
          </w:p>
        </w:tc>
        <w:tc>
          <w:tcPr>
            <w:tcW w:w="4680" w:type="dxa"/>
          </w:tcPr>
          <w:p w14:paraId="21BF8526" w14:textId="77777777" w:rsidR="00AC66DA" w:rsidRDefault="00CC5C72">
            <w:r>
              <w:rPr>
                <w:rFonts w:ascii="Cambria" w:hAnsi="Cambria"/>
              </w:rPr>
              <w:t>For the LORD is good;</w:t>
            </w:r>
            <w:r>
              <w:rPr>
                <w:rFonts w:ascii="Cambria" w:hAnsi="Cambria"/>
              </w:rPr>
              <w:br/>
              <w:t>His steadfast love is eternal;</w:t>
            </w:r>
            <w:r>
              <w:rPr>
                <w:rFonts w:ascii="Cambria" w:hAnsi="Cambria"/>
              </w:rPr>
              <w:br/>
              <w:t>His faithfulness is for all generations.</w:t>
            </w:r>
          </w:p>
        </w:tc>
      </w:tr>
    </w:tbl>
    <w:p w14:paraId="4FB007A6" w14:textId="77777777" w:rsidR="00AC66DA" w:rsidRDefault="00AC66DA"/>
    <w:p w14:paraId="2F2250FC" w14:textId="77777777" w:rsidR="00AC66DA" w:rsidRDefault="00CC5C72">
      <w:r>
        <w:br w:type="page"/>
      </w:r>
    </w:p>
    <w:p w14:paraId="528999AE" w14:textId="77777777" w:rsidR="00AC66DA" w:rsidRDefault="00CC5C72">
      <w:pPr>
        <w:pStyle w:val="Heading2"/>
      </w:pPr>
      <w:r>
        <w:lastRenderedPageBreak/>
        <w:t>Questions for the Reader</w:t>
      </w:r>
    </w:p>
    <w:p w14:paraId="03D982A7" w14:textId="77777777" w:rsidR="00AC66DA" w:rsidRDefault="00CC5C72">
      <w:pPr>
        <w:pStyle w:val="BodySans"/>
      </w:pPr>
      <w:r>
        <w:rPr>
          <w:i/>
        </w:rPr>
        <w:t>Before reading this commentary, consider the following questions:</w:t>
      </w:r>
    </w:p>
    <w:p w14:paraId="4A75FD5C" w14:textId="77777777" w:rsidR="00AC66DA" w:rsidRDefault="00CC5C72">
      <w:pPr>
        <w:pStyle w:val="BodySans"/>
      </w:pPr>
      <w:r>
        <w:rPr>
          <w:b/>
        </w:rPr>
        <w:t xml:space="preserve">1. </w:t>
      </w:r>
      <w:r>
        <w:t xml:space="preserve">Psalm 100 invites “all the earth” </w:t>
      </w:r>
      <w:bdo w:val="ltr">
        <w:r>
          <w:t>(</w:t>
        </w:r>
        <w:r>
          <w:t>ץרֶאָהָ־לכׇּ</w:t>
        </w:r>
        <w:r>
          <w:t>)</w:t>
        </w:r>
        <w:r>
          <w:t>‬ into God’s courts but never mentions “clean hands” or a “pure heart” the way Psalms 15 and 24 do. What kind of spiritual world is imagined when the only stated requirement for entering sacred space is thanksgiving?‏</w:t>
        </w:r>
      </w:bdo>
    </w:p>
    <w:p w14:paraId="2B859135" w14:textId="77777777" w:rsidR="00AC66DA" w:rsidRDefault="00CC5C72">
      <w:pPr>
        <w:pStyle w:val="BodySans"/>
      </w:pPr>
      <w:r>
        <w:rPr>
          <w:b/>
        </w:rPr>
        <w:t xml:space="preserve">2. </w:t>
      </w:r>
      <w:r>
        <w:t xml:space="preserve">In verse 3, does it matter to you whether you read </w:t>
      </w:r>
      <w:r>
        <w:t>וְלֹא</w:t>
      </w:r>
      <w:r>
        <w:t xml:space="preserve"> </w:t>
      </w:r>
      <w:r>
        <w:t>אֲנַחְנוּ</w:t>
      </w:r>
      <w:r>
        <w:t xml:space="preserve"> (“and not we ourselves”) or </w:t>
      </w:r>
      <w:r>
        <w:t>וְלוֹ</w:t>
      </w:r>
      <w:r>
        <w:t xml:space="preserve"> </w:t>
      </w:r>
      <w:r>
        <w:t>אֲנַחְנוּ</w:t>
      </w:r>
      <w:r>
        <w:t xml:space="preserve"> (“and we are His”)? How does each reading challenge modern habits of saying, in Henley’s phrase, “I am the master of my fate”?‏</w:t>
      </w:r>
    </w:p>
    <w:p w14:paraId="3E206F7A" w14:textId="77777777" w:rsidR="00AC66DA" w:rsidRDefault="00CC5C72">
      <w:pPr>
        <w:pStyle w:val="BodySans"/>
      </w:pPr>
      <w:r>
        <w:rPr>
          <w:b/>
        </w:rPr>
        <w:t xml:space="preserve">3. </w:t>
      </w:r>
      <w:r>
        <w:t xml:space="preserve">The psalm moves from the raw shout of </w:t>
      </w:r>
      <w:r>
        <w:t>הָרִיעוּ</w:t>
      </w:r>
      <w:r>
        <w:t xml:space="preserve"> to the more tuneful </w:t>
      </w:r>
      <w:r>
        <w:t>בִּרְנָנָה</w:t>
      </w:r>
      <w:r>
        <w:t xml:space="preserve"> and finally to the settled confession, </w:t>
      </w:r>
      <w:r>
        <w:t>כִּי</w:t>
      </w:r>
      <w:r>
        <w:t xml:space="preserve"> </w:t>
      </w:r>
      <w:r>
        <w:t>טוֹב</w:t>
      </w:r>
      <w:r>
        <w:t xml:space="preserve"> </w:t>
      </w:r>
      <w:r>
        <w:t>ה׳</w:t>
      </w:r>
      <w:r>
        <w:t>. What might that progression—from noise, to song, to creed—suggest about how genuine gratitude actually unfolds?‏</w:t>
      </w:r>
    </w:p>
    <w:p w14:paraId="7D617142" w14:textId="77777777" w:rsidR="00AC66DA" w:rsidRDefault="00CC5C72">
      <w:pPr>
        <w:pStyle w:val="BodySans"/>
      </w:pPr>
      <w:r>
        <w:rPr>
          <w:b/>
        </w:rPr>
        <w:t xml:space="preserve">4. </w:t>
      </w:r>
      <w:r>
        <w:t xml:space="preserve">Sheep are not productive like vineyards; they are simply dependent. When Psalm 100 calls us “the sheep of his pasture” </w:t>
      </w:r>
      <w:bdo w:val="ltr">
        <w:r>
          <w:t>(</w:t>
        </w:r>
        <w:r>
          <w:t>וֹתיעִרְמַ</w:t>
        </w:r>
        <w:r>
          <w:t xml:space="preserve"> </w:t>
        </w:r>
        <w:r>
          <w:t>ןאצֹ</w:t>
        </w:r>
        <w:r>
          <w:t>)</w:t>
        </w:r>
        <w:r>
          <w:t>‬, what vision of our value before God is it offering—especially in contrast to cultures, ancient and modern, that define worth by output?‏</w:t>
        </w:r>
      </w:bdo>
    </w:p>
    <w:p w14:paraId="1E42FE4B" w14:textId="77777777" w:rsidR="00AC66DA" w:rsidRDefault="00CC5C72">
      <w:pPr>
        <w:pStyle w:val="BodySans"/>
      </w:pPr>
      <w:r>
        <w:rPr>
          <w:b/>
        </w:rPr>
        <w:t xml:space="preserve">5. </w:t>
      </w:r>
      <w:r>
        <w:t xml:space="preserve">Verse 5 compresses God’s character into three words: good </w:t>
      </w:r>
      <w:bdo w:val="ltr">
        <w:r>
          <w:t>(</w:t>
        </w:r>
        <w:r>
          <w:t>בוֹט</w:t>
        </w:r>
        <w:r>
          <w:t>)</w:t>
        </w:r>
        <w:r>
          <w:t xml:space="preserve">‬, steadfast love </w:t>
        </w:r>
        <w:bdo w:val="ltr">
          <w:r>
            <w:t>(</w:t>
          </w:r>
          <w:r>
            <w:t>דסֶחֶ</w:t>
          </w:r>
          <w:r>
            <w:t>)</w:t>
          </w:r>
          <w:r>
            <w:t xml:space="preserve">‬, faithfulness </w:t>
          </w:r>
          <w:bdo w:val="ltr">
            <w:r>
              <w:t>(</w:t>
            </w:r>
            <w:r>
              <w:t>הנָוּמאֱ</w:t>
            </w:r>
            <w:r>
              <w:t>)</w:t>
            </w:r>
            <w:r>
              <w:t>‬. If these were the only three things you could say about God, what aspects of your own experience would they illuminate—and what would remain unsaid?‏</w:t>
            </w:r>
          </w:bdo>
        </w:bdo>
      </w:bdo>
    </w:p>
    <w:p w14:paraId="0B224CE7" w14:textId="77777777" w:rsidR="00AC66DA" w:rsidRDefault="00CC5C72">
      <w:pPr>
        <w:pStyle w:val="BodySans"/>
      </w:pPr>
      <w:r>
        <w:rPr>
          <w:b/>
        </w:rPr>
        <w:t xml:space="preserve">6. </w:t>
      </w:r>
      <w:r>
        <w:t>Imagine Psalm 100 as the soundtrack to the todah feast in Leviticus 7, with tables groaning under bread that must be eaten before morning. How might that noisy, crowded scene change the way you hear its commands to “serve YHWH in gladness” and “enter his gates with todah”?</w:t>
      </w:r>
    </w:p>
    <w:p w14:paraId="3DED0299" w14:textId="77777777" w:rsidR="00AC66DA" w:rsidRDefault="00AC66DA"/>
    <w:p w14:paraId="488988C4" w14:textId="77777777" w:rsidR="00AC66DA" w:rsidRDefault="00CC5C72">
      <w:pPr>
        <w:pStyle w:val="Heading2"/>
      </w:pPr>
      <w:r>
        <w:t>Introduction</w:t>
      </w:r>
    </w:p>
    <w:p w14:paraId="5F50913B" w14:textId="77777777" w:rsidR="00AC66DA" w:rsidRDefault="00CC5C72">
      <w:pPr>
        <w:pStyle w:val="BodySans"/>
      </w:pPr>
      <w:r>
        <w:t xml:space="preserve">“Enter God’s presence” is one of the most audacious invitations in the Bible. Elsewhere it comes with a long list of conditions. Psalm 15 asks, </w:t>
      </w:r>
      <w:r>
        <w:t>מִי־יָגוּר</w:t>
      </w:r>
      <w:r>
        <w:t xml:space="preserve"> </w:t>
      </w:r>
      <w:r>
        <w:t>בְּאָהֳלֶךָ</w:t>
      </w:r>
      <w:r>
        <w:t xml:space="preserve"> (“Who may sojourn in Your tent?”) and answers with an ethical résumé: those who walk blamelessly, speak truth, refuse bribes. Psalm 24 is just as demanding: </w:t>
      </w:r>
      <w:r>
        <w:t>מִי־יַעֲלֶה</w:t>
      </w:r>
      <w:r>
        <w:t xml:space="preserve"> </w:t>
      </w:r>
      <w:r>
        <w:t>בְּהַר־ה׳</w:t>
      </w:r>
      <w:r>
        <w:t xml:space="preserve"> (“Who may ascend the mountain of YHWH?”) Only “clean hands and a pure heart.”</w:t>
      </w:r>
    </w:p>
    <w:p w14:paraId="30E06FF5" w14:textId="77777777" w:rsidR="00AC66DA" w:rsidRDefault="00CC5C72">
      <w:pPr>
        <w:pStyle w:val="BodySans"/>
      </w:pPr>
      <w:r>
        <w:t>Psalm 100 describes the same approach to God’s sanctuary—but drops the vetting entirely. No moral prerequisites. No introspective checklist. Just a series of urgent commands: shout, serve, come, know, enter, give thanks, bless. The only “password” to the holy place is gratitude.</w:t>
      </w:r>
    </w:p>
    <w:p w14:paraId="2D33D695" w14:textId="77777777" w:rsidR="00AC66DA" w:rsidRDefault="00CC5C72">
      <w:pPr>
        <w:pStyle w:val="BodySans"/>
      </w:pPr>
      <w:r>
        <w:lastRenderedPageBreak/>
        <w:t xml:space="preserve">That is the first surprise. The second is hidden in the Hebrew of verse 3, where we read, </w:t>
      </w:r>
      <w:r>
        <w:t>הוּא</w:t>
      </w:r>
      <w:r>
        <w:t xml:space="preserve"> </w:t>
      </w:r>
      <w:r>
        <w:t>עָשָׂנוּ</w:t>
      </w:r>
      <w:r>
        <w:t xml:space="preserve"> </w:t>
      </w:r>
      <w:r>
        <w:t>וְלֹא</w:t>
      </w:r>
      <w:r>
        <w:t xml:space="preserve"> </w:t>
      </w:r>
      <w:bdo w:val="ltr">
        <w:r>
          <w:t>[</w:t>
        </w:r>
        <w:r>
          <w:t>וֹלוְ</w:t>
        </w:r>
        <w:r>
          <w:t>]</w:t>
        </w:r>
        <w:r>
          <w:t xml:space="preserve">‬ </w:t>
        </w:r>
        <w:r>
          <w:t>אֲנַחְנוּ</w:t>
        </w:r>
        <w:r>
          <w:t>. The consonants can say either “He made us, and not we ourselves” or “He made us, and we are His.” The Masoretic tradition preserves both readings on purpose. In a single half‑line, the psalm both denies our autonomy and affirms our belonging.‏</w:t>
        </w:r>
      </w:bdo>
    </w:p>
    <w:p w14:paraId="38BBDE08" w14:textId="77777777" w:rsidR="00AC66DA" w:rsidRDefault="00CC5C72">
      <w:pPr>
        <w:pStyle w:val="BodySans"/>
      </w:pPr>
      <w:r>
        <w:t>The poem is short—five verses—but tightly constructed. Its movement is easy to miss in translation, so it helps to see the floor plan:</w:t>
      </w:r>
    </w:p>
    <w:p w14:paraId="1A41B2D3" w14:textId="77777777" w:rsidR="00AC66DA" w:rsidRDefault="00CC5C72">
      <w:pPr>
        <w:pStyle w:val="ListBullet"/>
      </w:pPr>
      <w:r>
        <w:rPr>
          <w:rFonts w:ascii="Aptos" w:hAnsi="Aptos"/>
          <w:b/>
        </w:rPr>
        <w:t>Superscription (v.1a)</w:t>
      </w:r>
      <w:r>
        <w:rPr>
          <w:rFonts w:ascii="Aptos" w:hAnsi="Aptos"/>
        </w:rPr>
        <w:t xml:space="preserve">: </w:t>
      </w:r>
      <w:r>
        <w:rPr>
          <w:rFonts w:ascii="Aptos" w:hAnsi="Aptos"/>
        </w:rPr>
        <w:t>מִזְמוֹר</w:t>
      </w:r>
      <w:r>
        <w:rPr>
          <w:rFonts w:ascii="Aptos" w:hAnsi="Aptos"/>
        </w:rPr>
        <w:t xml:space="preserve"> </w:t>
      </w:r>
      <w:r>
        <w:rPr>
          <w:rFonts w:ascii="Aptos" w:hAnsi="Aptos"/>
        </w:rPr>
        <w:t>לְתוֹדָה</w:t>
      </w:r>
      <w:r>
        <w:rPr>
          <w:rFonts w:ascii="Aptos" w:hAnsi="Aptos"/>
        </w:rPr>
        <w:t>, “a psalm for thanksgiving / for the thank‑offering” — a liturgical label with ritual overtones.‏</w:t>
      </w:r>
    </w:p>
    <w:p w14:paraId="6575FAED" w14:textId="77777777" w:rsidR="00AC66DA" w:rsidRDefault="00CC5C72">
      <w:pPr>
        <w:pStyle w:val="ListBullet"/>
      </w:pPr>
      <w:r>
        <w:rPr>
          <w:rFonts w:ascii="Aptos" w:hAnsi="Aptos"/>
          <w:b/>
        </w:rPr>
        <w:t>Universal summons (vv.1b–2)</w:t>
      </w:r>
      <w:r>
        <w:rPr>
          <w:rFonts w:ascii="Aptos" w:hAnsi="Aptos"/>
        </w:rPr>
        <w:t xml:space="preserve">: Three imperatives to “all the earth” </w:t>
      </w:r>
      <w:bdo w:val="ltr">
        <w:r>
          <w:rPr>
            <w:rFonts w:ascii="Aptos" w:hAnsi="Aptos"/>
          </w:rPr>
          <w:t>(</w:t>
        </w:r>
        <w:r>
          <w:rPr>
            <w:rFonts w:ascii="Aptos" w:hAnsi="Aptos"/>
          </w:rPr>
          <w:t>ץרֶאָהָ־לכׇּ</w:t>
        </w:r>
        <w:r>
          <w:rPr>
            <w:rFonts w:ascii="Aptos" w:hAnsi="Aptos"/>
          </w:rPr>
          <w:t>)</w:t>
        </w:r>
        <w:r>
          <w:rPr>
            <w:rFonts w:ascii="Aptos" w:hAnsi="Aptos"/>
          </w:rPr>
          <w:t xml:space="preserve">‬: </w:t>
        </w:r>
        <w:r>
          <w:rPr>
            <w:rFonts w:ascii="Aptos" w:hAnsi="Aptos"/>
          </w:rPr>
          <w:t>הָרִיעוּ</w:t>
        </w:r>
        <w:r>
          <w:rPr>
            <w:rFonts w:ascii="Aptos" w:hAnsi="Aptos"/>
          </w:rPr>
          <w:t xml:space="preserve"> “raise a shout,” </w:t>
        </w:r>
        <w:r>
          <w:rPr>
            <w:rFonts w:ascii="Aptos" w:hAnsi="Aptos"/>
          </w:rPr>
          <w:t>עִבְדוּ</w:t>
        </w:r>
        <w:r>
          <w:rPr>
            <w:rFonts w:ascii="Aptos" w:hAnsi="Aptos"/>
          </w:rPr>
          <w:t xml:space="preserve"> “serve,” </w:t>
        </w:r>
        <w:r>
          <w:rPr>
            <w:rFonts w:ascii="Aptos" w:hAnsi="Aptos"/>
          </w:rPr>
          <w:t>בֹּאוּ</w:t>
        </w:r>
        <w:r>
          <w:rPr>
            <w:rFonts w:ascii="Aptos" w:hAnsi="Aptos"/>
          </w:rPr>
          <w:t xml:space="preserve"> “come before him.”</w:t>
        </w:r>
      </w:bdo>
    </w:p>
    <w:p w14:paraId="7A2851BA" w14:textId="77777777" w:rsidR="00AC66DA" w:rsidRDefault="00CC5C72">
      <w:pPr>
        <w:pStyle w:val="ListBullet"/>
      </w:pPr>
      <w:r>
        <w:rPr>
          <w:rFonts w:ascii="Aptos" w:hAnsi="Aptos"/>
          <w:b/>
        </w:rPr>
        <w:t>Theological hinge (v.3)</w:t>
      </w:r>
      <w:r>
        <w:rPr>
          <w:rFonts w:ascii="Aptos" w:hAnsi="Aptos"/>
        </w:rPr>
        <w:t xml:space="preserve">: The lone cognitive command, </w:t>
      </w:r>
      <w:r>
        <w:rPr>
          <w:rFonts w:ascii="Aptos" w:hAnsi="Aptos"/>
        </w:rPr>
        <w:t>דְּעוּ</w:t>
      </w:r>
      <w:r>
        <w:rPr>
          <w:rFonts w:ascii="Aptos" w:hAnsi="Aptos"/>
        </w:rPr>
        <w:t xml:space="preserve"> (“know”), followed by four rapid identity statements: YHWH is God; he made us; we are (not) self‑made / we are His; we are his people, the sheep of his pasture.‏</w:t>
      </w:r>
    </w:p>
    <w:p w14:paraId="77D44188" w14:textId="77777777" w:rsidR="00AC66DA" w:rsidRDefault="00CC5C72">
      <w:pPr>
        <w:pStyle w:val="ListBullet"/>
      </w:pPr>
      <w:r>
        <w:rPr>
          <w:rFonts w:ascii="Aptos" w:hAnsi="Aptos"/>
          <w:b/>
        </w:rPr>
        <w:t>Entrance proper (v.4)</w:t>
      </w:r>
      <w:r>
        <w:rPr>
          <w:rFonts w:ascii="Aptos" w:hAnsi="Aptos"/>
        </w:rPr>
        <w:t>: Three more imperatives—</w:t>
      </w:r>
      <w:r>
        <w:rPr>
          <w:rFonts w:ascii="Aptos" w:hAnsi="Aptos"/>
        </w:rPr>
        <w:t>בֹּאוּ</w:t>
      </w:r>
      <w:r>
        <w:rPr>
          <w:rFonts w:ascii="Aptos" w:hAnsi="Aptos"/>
        </w:rPr>
        <w:t xml:space="preserve"> “enter,” </w:t>
      </w:r>
      <w:r>
        <w:rPr>
          <w:rFonts w:ascii="Aptos" w:hAnsi="Aptos"/>
        </w:rPr>
        <w:t>הוֹדוּ</w:t>
      </w:r>
      <w:r>
        <w:rPr>
          <w:rFonts w:ascii="Aptos" w:hAnsi="Aptos"/>
        </w:rPr>
        <w:t xml:space="preserve"> “give thanks,” </w:t>
      </w:r>
      <w:r>
        <w:rPr>
          <w:rFonts w:ascii="Aptos" w:hAnsi="Aptos"/>
        </w:rPr>
        <w:t>בָּרְכוּ</w:t>
      </w:r>
      <w:r>
        <w:rPr>
          <w:rFonts w:ascii="Aptos" w:hAnsi="Aptos"/>
        </w:rPr>
        <w:t xml:space="preserve"> “bless”—now explicitly at “his gates” and “his courts.”</w:t>
      </w:r>
    </w:p>
    <w:p w14:paraId="24E2ED14" w14:textId="77777777" w:rsidR="00AC66DA" w:rsidRDefault="00CC5C72">
      <w:pPr>
        <w:pStyle w:val="ListBullet"/>
      </w:pPr>
      <w:r>
        <w:rPr>
          <w:rFonts w:ascii="Aptos" w:hAnsi="Aptos"/>
          <w:b/>
        </w:rPr>
        <w:t>Grounding confession (v.5)</w:t>
      </w:r>
      <w:r>
        <w:rPr>
          <w:rFonts w:ascii="Aptos" w:hAnsi="Aptos"/>
        </w:rPr>
        <w:t xml:space="preserve">: No commands at all—only why this access is possible: </w:t>
      </w:r>
      <w:r>
        <w:rPr>
          <w:rFonts w:ascii="Aptos" w:hAnsi="Aptos"/>
        </w:rPr>
        <w:t>כִּי־טוֹב</w:t>
      </w:r>
      <w:r>
        <w:rPr>
          <w:rFonts w:ascii="Aptos" w:hAnsi="Aptos"/>
        </w:rPr>
        <w:t xml:space="preserve"> </w:t>
      </w:r>
      <w:r>
        <w:rPr>
          <w:rFonts w:ascii="Aptos" w:hAnsi="Aptos"/>
        </w:rPr>
        <w:t>ה׳</w:t>
      </w:r>
      <w:r>
        <w:rPr>
          <w:rFonts w:ascii="Aptos" w:hAnsi="Aptos"/>
        </w:rPr>
        <w:t xml:space="preserve"> </w:t>
      </w:r>
      <w:r>
        <w:rPr>
          <w:rFonts w:ascii="Aptos" w:hAnsi="Aptos"/>
        </w:rPr>
        <w:t>לְעוֹלָם</w:t>
      </w:r>
      <w:r>
        <w:rPr>
          <w:rFonts w:ascii="Aptos" w:hAnsi="Aptos"/>
        </w:rPr>
        <w:t xml:space="preserve"> </w:t>
      </w:r>
      <w:r>
        <w:rPr>
          <w:rFonts w:ascii="Aptos" w:hAnsi="Aptos"/>
        </w:rPr>
        <w:t>חַסְדּוֹ</w:t>
      </w:r>
      <w:r>
        <w:rPr>
          <w:rFonts w:ascii="Aptos" w:hAnsi="Aptos"/>
        </w:rPr>
        <w:t xml:space="preserve"> </w:t>
      </w:r>
      <w:r>
        <w:rPr>
          <w:rFonts w:ascii="Aptos" w:hAnsi="Aptos"/>
        </w:rPr>
        <w:t>וְעַד־דֹּר</w:t>
      </w:r>
      <w:r>
        <w:rPr>
          <w:rFonts w:ascii="Aptos" w:hAnsi="Aptos"/>
        </w:rPr>
        <w:t xml:space="preserve"> </w:t>
      </w:r>
      <w:r>
        <w:rPr>
          <w:rFonts w:ascii="Aptos" w:hAnsi="Aptos"/>
        </w:rPr>
        <w:t>וָדֹר</w:t>
      </w:r>
      <w:r>
        <w:rPr>
          <w:rFonts w:ascii="Aptos" w:hAnsi="Aptos"/>
        </w:rPr>
        <w:t xml:space="preserve"> </w:t>
      </w:r>
      <w:r>
        <w:rPr>
          <w:rFonts w:ascii="Aptos" w:hAnsi="Aptos"/>
        </w:rPr>
        <w:t>אֱמוּנָתוֹ</w:t>
      </w:r>
      <w:r>
        <w:rPr>
          <w:rFonts w:ascii="Aptos" w:hAnsi="Aptos"/>
        </w:rPr>
        <w:t>, “For YHWH is good; his steadfast love is forever; his faithfulness for all generations.”</w:t>
      </w:r>
    </w:p>
    <w:p w14:paraId="30ADD6AF" w14:textId="77777777" w:rsidR="00AC66DA" w:rsidRDefault="00CC5C72">
      <w:pPr>
        <w:pStyle w:val="BodySans"/>
      </w:pPr>
      <w:r>
        <w:t xml:space="preserve">Seven imperatives—three before “know” and three after—form a 3‑1‑3 pattern. The poem pivots on the demand to understand. Noise and movement (vv.1–2) must pass through a moment of recognition (v.3) before they become true worship (v.4). That architecture already suggests the psalm’s governing claim: </w:t>
      </w:r>
      <w:r>
        <w:rPr>
          <w:b/>
        </w:rPr>
        <w:t>gratitude is not a vague mood but a response to a particular knowledge of who God is and who we are.</w:t>
      </w:r>
    </w:p>
    <w:p w14:paraId="1811B6D1" w14:textId="77777777" w:rsidR="00AC66DA" w:rsidRDefault="00CC5C72">
      <w:pPr>
        <w:pStyle w:val="Heading4"/>
      </w:pPr>
      <w:r>
        <w:t>Todah as the Gate</w:t>
      </w:r>
    </w:p>
    <w:p w14:paraId="7A9F2F16" w14:textId="77777777" w:rsidR="00AC66DA" w:rsidRDefault="00CC5C72">
      <w:pPr>
        <w:pStyle w:val="BodySans"/>
      </w:pPr>
      <w:r>
        <w:t xml:space="preserve">The superscription, </w:t>
      </w:r>
      <w:r>
        <w:t>מִזְמוֹר</w:t>
      </w:r>
      <w:r>
        <w:t xml:space="preserve"> </w:t>
      </w:r>
      <w:r>
        <w:t>לְתוֹדָה</w:t>
      </w:r>
      <w:r>
        <w:t xml:space="preserve"> (“a psalm for todah”), is unique in the Psalter. The noun </w:t>
      </w:r>
      <w:r>
        <w:t>תּוֹדָה</w:t>
      </w:r>
      <w:r>
        <w:t xml:space="preserve"> carries a built‑in ambiguity. It can mean “thanksgiving” in the abstract, but also the concrete “thank‑offering” of Leviticus 7: a specific sacrifice brought after surviving peril. There, the worshipper must bring an animal and forty loaves of bread, including leavened ones, and consume them all “on the day that it is offered” (Leviticus 7:15). One person cannot eat that much. A todah sacrifice forces you to gather others an</w:t>
      </w:r>
      <w:r>
        <w:t>d tell your story. Private deliverance becomes public feast.‏</w:t>
      </w:r>
    </w:p>
    <w:p w14:paraId="47DE63EA" w14:textId="77777777" w:rsidR="00AC66DA" w:rsidRDefault="00CC5C72">
      <w:pPr>
        <w:pStyle w:val="BodySans"/>
      </w:pPr>
      <w:r>
        <w:t xml:space="preserve">Rashi catches this when he glosses the title: </w:t>
      </w:r>
      <w:r>
        <w:t>מִזְמוֹר</w:t>
      </w:r>
      <w:r>
        <w:t xml:space="preserve"> </w:t>
      </w:r>
      <w:r>
        <w:t>לְתוֹדָה</w:t>
      </w:r>
      <w:r>
        <w:t xml:space="preserve">… </w:t>
      </w:r>
      <w:r>
        <w:t>לְאָמְרוֹ</w:t>
      </w:r>
      <w:r>
        <w:t xml:space="preserve"> </w:t>
      </w:r>
      <w:r>
        <w:t>עַל</w:t>
      </w:r>
      <w:r>
        <w:t xml:space="preserve"> </w:t>
      </w:r>
      <w:r>
        <w:t>זִבְחֵי</w:t>
      </w:r>
      <w:r>
        <w:t xml:space="preserve"> </w:t>
      </w:r>
      <w:r>
        <w:t>תּוֹדָה</w:t>
      </w:r>
      <w:r>
        <w:t>, “a song for a thanksgiving offering—to recite it over thanksgiving sacrifices.” The psalm is not just about thankfulness; it was the liturgy for that crowded table.‏</w:t>
      </w:r>
    </w:p>
    <w:p w14:paraId="39ABEAD7" w14:textId="77777777" w:rsidR="00AC66DA" w:rsidRDefault="00CC5C72">
      <w:pPr>
        <w:pStyle w:val="BodySans"/>
      </w:pPr>
      <w:r>
        <w:lastRenderedPageBreak/>
        <w:t xml:space="preserve">This background sharpens verse 4: </w:t>
      </w:r>
      <w:r>
        <w:t>בֹּאוּ</w:t>
      </w:r>
      <w:r>
        <w:t xml:space="preserve"> </w:t>
      </w:r>
      <w:r>
        <w:t>שְׁעָרָיו</w:t>
      </w:r>
      <w:r>
        <w:t xml:space="preserve"> </w:t>
      </w:r>
      <w:r>
        <w:t>בְּתוֹדָה</w:t>
      </w:r>
      <w:r>
        <w:t xml:space="preserve"> </w:t>
      </w:r>
      <w:r>
        <w:t>חֲצֵרֹתָיו</w:t>
      </w:r>
      <w:r>
        <w:t xml:space="preserve"> </w:t>
      </w:r>
      <w:r>
        <w:t>בִּתְהִלָּה</w:t>
      </w:r>
      <w:r>
        <w:t xml:space="preserve"> (“Enter his gates with todah, his courts with praise”). The psalm’s own title reappears in the body: todah is how one steps through the gates. Where other entrance psalms ask “who may ascend?” Psalm 100 asks, more simply, “what should you be carrying as you come?” Not ethical credentials, not magical incantations as in Mesopotamian gate liturgies, but an armload of gratitude and a story of rescue.‏</w:t>
      </w:r>
    </w:p>
    <w:p w14:paraId="135D03FD" w14:textId="77777777" w:rsidR="00AC66DA" w:rsidRDefault="00CC5C72">
      <w:pPr>
        <w:pStyle w:val="BodySans"/>
      </w:pPr>
      <w:r>
        <w:t xml:space="preserve">Ancient Near Eastern temple rituals were often anxious affairs. The gods in the Babylonian </w:t>
      </w:r>
      <w:r>
        <w:rPr>
          <w:i/>
        </w:rPr>
        <w:t>Enuma Elish</w:t>
      </w:r>
      <w:r>
        <w:t xml:space="preserve"> create humans from the blood of a rebel deity so that humans can perform their drudgery. The word for this labor, </w:t>
      </w:r>
      <w:r>
        <w:rPr>
          <w:i/>
        </w:rPr>
        <w:t>dullu</w:t>
      </w:r>
      <w:r>
        <w:t xml:space="preserve">, is joyless work transferred from divine shoulders to human ones. Against that backdrop, verse 2 is quietly revolutionary: </w:t>
      </w:r>
      <w:r>
        <w:t>עִבְדוּ</w:t>
      </w:r>
      <w:r>
        <w:t xml:space="preserve"> </w:t>
      </w:r>
      <w:r>
        <w:t>אֶת־ה׳</w:t>
      </w:r>
      <w:r>
        <w:t xml:space="preserve"> </w:t>
      </w:r>
      <w:r>
        <w:t>בְּשִׂמְחָה</w:t>
      </w:r>
      <w:r>
        <w:t xml:space="preserve"> (“Serve YHWH in gladness”). The same verb </w:t>
      </w:r>
      <w:r>
        <w:t>עָבַד</w:t>
      </w:r>
      <w:r>
        <w:t xml:space="preserve"> that can mean “be enslaved” now names a vocation whose distinguishing mark is joy.‏</w:t>
      </w:r>
    </w:p>
    <w:p w14:paraId="726EB821" w14:textId="77777777" w:rsidR="00AC66DA" w:rsidRDefault="00CC5C72">
      <w:pPr>
        <w:pStyle w:val="BodySans"/>
      </w:pPr>
      <w:r>
        <w:t>Malbim, a 19th‑century commentator, draws the contrast explicitly. Serving a human master, he notes, brings no guarantee of reward; even if payment comes, it comes later, so the work itself is done “</w:t>
      </w:r>
      <w:r>
        <w:t>בעצב</w:t>
      </w:r>
      <w:r>
        <w:t>,” in heaviness. But “</w:t>
      </w:r>
      <w:r>
        <w:t>עֲבוֹדַת</w:t>
      </w:r>
      <w:r>
        <w:t xml:space="preserve"> </w:t>
      </w:r>
      <w:r>
        <w:t>ה</w:t>
      </w:r>
      <w:r>
        <w:t xml:space="preserve">’… </w:t>
      </w:r>
      <w:r>
        <w:t>עַצְמָהּ</w:t>
      </w:r>
      <w:r>
        <w:t xml:space="preserve"> </w:t>
      </w:r>
      <w:r>
        <w:t>הִיא</w:t>
      </w:r>
      <w:r>
        <w:t xml:space="preserve"> </w:t>
      </w:r>
      <w:r>
        <w:t>הַשָּׂכָר</w:t>
      </w:r>
      <w:r>
        <w:t>”—“the service of God is itself the reward.” Hence the paradoxical command to be happy slaves. The psalm rewrites the job description of humanity: not conscript laborers to capricious gods, but joyful courtiers streaming into a generous king’s presence.‏</w:t>
      </w:r>
    </w:p>
    <w:p w14:paraId="1C9AC52C" w14:textId="77777777" w:rsidR="00AC66DA" w:rsidRDefault="00CC5C72">
      <w:pPr>
        <w:pStyle w:val="Heading4"/>
      </w:pPr>
      <w:r>
        <w:t>“Know That He Made Us”</w:t>
      </w:r>
    </w:p>
    <w:p w14:paraId="788AF422" w14:textId="77777777" w:rsidR="00AC66DA" w:rsidRDefault="00CC5C72">
      <w:pPr>
        <w:pStyle w:val="BodySans"/>
      </w:pPr>
      <w:r>
        <w:t xml:space="preserve">The psalm’s center of gravity is verse 3: </w:t>
      </w:r>
      <w:r>
        <w:t>דְּעוּ</w:t>
      </w:r>
      <w:r>
        <w:t xml:space="preserve"> </w:t>
      </w:r>
      <w:r>
        <w:t>כִּי־ה׳</w:t>
      </w:r>
      <w:r>
        <w:t xml:space="preserve"> </w:t>
      </w:r>
      <w:r>
        <w:t>הוּא</w:t>
      </w:r>
      <w:r>
        <w:t xml:space="preserve"> </w:t>
      </w:r>
      <w:r>
        <w:t>אֱלֹקִים</w:t>
      </w:r>
      <w:r>
        <w:t xml:space="preserve"> (“Know that YHWH—He is God”). The formula resonates with Deuteronomy’s creeds: </w:t>
      </w:r>
      <w:r>
        <w:t>אַתָּה</w:t>
      </w:r>
      <w:r>
        <w:t xml:space="preserve"> </w:t>
      </w:r>
      <w:r>
        <w:t>הׇרְאֵתָ</w:t>
      </w:r>
      <w:r>
        <w:t xml:space="preserve"> </w:t>
      </w:r>
      <w:r>
        <w:t>לָדַעַת</w:t>
      </w:r>
      <w:r>
        <w:t xml:space="preserve"> </w:t>
      </w:r>
      <w:r>
        <w:t>כִּי</w:t>
      </w:r>
      <w:r>
        <w:t xml:space="preserve"> </w:t>
      </w:r>
      <w:r>
        <w:t>ה׳</w:t>
      </w:r>
      <w:r>
        <w:t xml:space="preserve"> </w:t>
      </w:r>
      <w:r>
        <w:t>הוּא</w:t>
      </w:r>
      <w:r>
        <w:t xml:space="preserve"> </w:t>
      </w:r>
      <w:r>
        <w:t>הָאֱלֹקִים</w:t>
      </w:r>
      <w:r>
        <w:t xml:space="preserve"> </w:t>
      </w:r>
      <w:r>
        <w:t>אֵין</w:t>
      </w:r>
      <w:r>
        <w:t xml:space="preserve"> </w:t>
      </w:r>
      <w:r>
        <w:t>עוֹד</w:t>
      </w:r>
      <w:r>
        <w:t xml:space="preserve"> </w:t>
      </w:r>
      <w:r>
        <w:t>מִלְּבַדּוֹ</w:t>
      </w:r>
      <w:r>
        <w:t xml:space="preserve"> (“You have been shown to know that YHWH is the God; there is none besides him,” Deuteronomy 4:35). Here, as there, “know” </w:t>
      </w:r>
      <w:bdo w:val="ltr">
        <w:r>
          <w:t>(</w:t>
        </w:r>
        <w:r>
          <w:t>עדַיָ</w:t>
        </w:r>
        <w:r>
          <w:t>)</w:t>
        </w:r>
        <w:r>
          <w:t>‬ is not bare information but covenantal acknowledgment—what it means to bend the knee.‏</w:t>
        </w:r>
      </w:bdo>
    </w:p>
    <w:p w14:paraId="05C4C3AD" w14:textId="77777777" w:rsidR="00AC66DA" w:rsidRDefault="00CC5C72">
      <w:pPr>
        <w:pStyle w:val="BodySans"/>
      </w:pPr>
      <w:r>
        <w:t>The line then compresses a theology of creation and belonging into a few syllables:</w:t>
      </w:r>
    </w:p>
    <w:p w14:paraId="6893791F" w14:textId="77777777" w:rsidR="00AC66DA" w:rsidRDefault="00CC5C72">
      <w:pPr>
        <w:pStyle w:val="BodySans"/>
        <w:ind w:left="720"/>
      </w:pPr>
      <w:r>
        <w:rPr>
          <w:i/>
        </w:rPr>
        <w:t>הוּא־עָשָׂנוּ</w:t>
      </w:r>
      <w:r>
        <w:rPr>
          <w:i/>
        </w:rPr>
        <w:t xml:space="preserve"> </w:t>
      </w:r>
      <w:r>
        <w:rPr>
          <w:i/>
        </w:rPr>
        <w:t>וְלֹא</w:t>
      </w:r>
      <w:r>
        <w:rPr>
          <w:i/>
        </w:rPr>
        <w:t xml:space="preserve"> </w:t>
      </w:r>
      <w:bdo w:val="ltr">
        <w:r>
          <w:rPr>
            <w:i/>
          </w:rPr>
          <w:t>[</w:t>
        </w:r>
        <w:r>
          <w:rPr>
            <w:i/>
          </w:rPr>
          <w:t>וֹלוְ</w:t>
        </w:r>
        <w:r>
          <w:rPr>
            <w:i/>
          </w:rPr>
          <w:t>]</w:t>
        </w:r>
        <w:r>
          <w:rPr>
            <w:i/>
          </w:rPr>
          <w:t xml:space="preserve">‬ </w:t>
        </w:r>
        <w:r>
          <w:rPr>
            <w:i/>
          </w:rPr>
          <w:t>אֲנַחְנוּ</w:t>
        </w:r>
        <w:r>
          <w:rPr>
            <w:i/>
          </w:rPr>
          <w:t xml:space="preserve">, </w:t>
        </w:r>
        <w:r>
          <w:rPr>
            <w:i/>
          </w:rPr>
          <w:t>עַמּוֹ</w:t>
        </w:r>
        <w:r>
          <w:rPr>
            <w:i/>
          </w:rPr>
          <w:t xml:space="preserve"> </w:t>
        </w:r>
        <w:r>
          <w:rPr>
            <w:i/>
          </w:rPr>
          <w:t>וְצֹאן</w:t>
        </w:r>
        <w:r>
          <w:rPr>
            <w:i/>
          </w:rPr>
          <w:t xml:space="preserve"> </w:t>
        </w:r>
        <w:r>
          <w:rPr>
            <w:i/>
          </w:rPr>
          <w:t>מַרְעִיתוֹ</w:t>
        </w:r>
      </w:bdo>
    </w:p>
    <w:p w14:paraId="7C9A79B8" w14:textId="77777777" w:rsidR="00AC66DA" w:rsidRDefault="00CC5C72">
      <w:pPr>
        <w:pStyle w:val="BodySans"/>
        <w:ind w:left="720"/>
      </w:pPr>
      <w:r>
        <w:rPr>
          <w:i/>
        </w:rPr>
        <w:t>“He made us and not we ourselves / and we are His; his people and the sheep of his pasture.”</w:t>
      </w:r>
    </w:p>
    <w:p w14:paraId="4D3C716B" w14:textId="77777777" w:rsidR="00AC66DA" w:rsidRDefault="00CC5C72">
      <w:pPr>
        <w:pStyle w:val="BodySans"/>
      </w:pPr>
      <w:r>
        <w:t xml:space="preserve">The scribal tradition points us to both readings of </w:t>
      </w:r>
      <w:r>
        <w:t>וְלוֹ</w:t>
      </w:r>
      <w:r>
        <w:t xml:space="preserve"> / </w:t>
      </w:r>
      <w:r>
        <w:t>וְלֹא</w:t>
      </w:r>
      <w:r>
        <w:t>, pronounced identically /w</w:t>
      </w:r>
      <w:r>
        <w:t>ə</w:t>
      </w:r>
      <w:r>
        <w:t xml:space="preserve">lo/. The written form </w:t>
      </w:r>
      <w:r>
        <w:t>וְלֹא</w:t>
      </w:r>
      <w:r>
        <w:t xml:space="preserve">, “and not,” denies self‑origination: we did not bring ourselves into being, however much our culture might cherish Henley’s boast, “I am the master of my fate, / I am the captain of my soul.” Ezekiel puts similar arrogance in Pharaoh’s mouth: </w:t>
      </w:r>
      <w:r>
        <w:t>לִי</w:t>
      </w:r>
      <w:r>
        <w:t xml:space="preserve"> </w:t>
      </w:r>
      <w:r>
        <w:t>יְאֹרִי</w:t>
      </w:r>
      <w:r>
        <w:t xml:space="preserve"> </w:t>
      </w:r>
      <w:r>
        <w:t>וַאֲנִי</w:t>
      </w:r>
      <w:r>
        <w:t xml:space="preserve"> </w:t>
      </w:r>
      <w:r>
        <w:t>עָשִׂיתִנִי</w:t>
      </w:r>
      <w:r>
        <w:t xml:space="preserve"> (“The Nile is mine and I made myself,” Ezekiel 29:3). Psalm 100 quietly answers: no, He made us, and not we ourselves.‏</w:t>
      </w:r>
    </w:p>
    <w:p w14:paraId="22D7ED2A" w14:textId="77777777" w:rsidR="00AC66DA" w:rsidRDefault="00CC5C72">
      <w:pPr>
        <w:pStyle w:val="BodySans"/>
      </w:pPr>
      <w:r>
        <w:lastRenderedPageBreak/>
        <w:t xml:space="preserve">The marginal reading </w:t>
      </w:r>
      <w:r>
        <w:t>וְלוֹ</w:t>
      </w:r>
      <w:r>
        <w:t>, “and we are His,” completes the thought. Creation entails ownership. Malbim unpacks the line in four ascending relationships: God “made us from nothing” (creation), “and we are His” (acquisition), “his people” (political community), “and the sheep of his pasture” (ongoing care and sustenance). The psalm reaches for the potter‑clay language of Isaiah—“</w:t>
      </w:r>
      <w:r>
        <w:t>הֲיֹאמַר</w:t>
      </w:r>
      <w:r>
        <w:t xml:space="preserve"> </w:t>
      </w:r>
      <w:r>
        <w:t>חֹמֶר</w:t>
      </w:r>
      <w:r>
        <w:t xml:space="preserve"> </w:t>
      </w:r>
      <w:r>
        <w:t>לְיֹצְרוֹ</w:t>
      </w:r>
      <w:r>
        <w:t xml:space="preserve"> </w:t>
      </w:r>
      <w:r>
        <w:t>מַה־תַּעֲשֶׂה</w:t>
      </w:r>
      <w:r>
        <w:t>” (“Shall the clay say to its potter, ‘What are you doing?’” Isaiah 45:9)—but immediately softens it into a pastor</w:t>
      </w:r>
      <w:r>
        <w:t>al image.‏</w:t>
      </w:r>
    </w:p>
    <w:p w14:paraId="50B22F2F" w14:textId="77777777" w:rsidR="00AC66DA" w:rsidRDefault="00CC5C72">
      <w:pPr>
        <w:pStyle w:val="BodySans"/>
      </w:pPr>
      <w:r>
        <w:t xml:space="preserve">The closing phrase, </w:t>
      </w:r>
      <w:r>
        <w:t>צֹאן</w:t>
      </w:r>
      <w:r>
        <w:t xml:space="preserve"> </w:t>
      </w:r>
      <w:r>
        <w:t>מַרְעִיתוֹ</w:t>
      </w:r>
      <w:r>
        <w:t xml:space="preserve"> (“the sheep of his pasture”), deliberately echoes Psalm 95:7: </w:t>
      </w:r>
      <w:r>
        <w:t>כִּי־הוּא</w:t>
      </w:r>
      <w:r>
        <w:t xml:space="preserve"> </w:t>
      </w:r>
      <w:r>
        <w:t>אֱלֹקֵינוּ</w:t>
      </w:r>
      <w:r>
        <w:t xml:space="preserve"> </w:t>
      </w:r>
      <w:r>
        <w:t>וַאֲנַחְנוּ</w:t>
      </w:r>
      <w:r>
        <w:t xml:space="preserve"> </w:t>
      </w:r>
      <w:r>
        <w:t>עַם</w:t>
      </w:r>
      <w:r>
        <w:t xml:space="preserve"> </w:t>
      </w:r>
      <w:r>
        <w:t>מַרְעִיתוֹ</w:t>
      </w:r>
      <w:r>
        <w:t xml:space="preserve"> </w:t>
      </w:r>
      <w:r>
        <w:t>וְצֹאן</w:t>
      </w:r>
      <w:r>
        <w:t xml:space="preserve"> </w:t>
      </w:r>
      <w:r>
        <w:t>יָדוֹ</w:t>
      </w:r>
      <w:r>
        <w:t xml:space="preserve"> (“For He is our God, and we are the people of his pasture and the sheep of his hand”). There, the shepherd confession spills into warning: “Today, if you hear his voice, do not harden your hearts” (Psalm 95:7–8). Psalm 100 reshuffles the formula—“his people and the sheep of his pasture”—and drops the warning. No Meribah, no hard hearts, only unqualified invitation. It is</w:t>
      </w:r>
      <w:r>
        <w:t xml:space="preserve"> as if the collection that began in Psalm 95 with a conditional shepherd (“if you hear”) now ends with an unconditional one.‏</w:t>
      </w:r>
    </w:p>
    <w:p w14:paraId="5EC9107D" w14:textId="77777777" w:rsidR="00AC66DA" w:rsidRDefault="00CC5C72">
      <w:pPr>
        <w:pStyle w:val="BodySans"/>
      </w:pPr>
      <w:r>
        <w:t xml:space="preserve">At the same time, verse 3 introduces a tension the psalm never quite resolves. It summons </w:t>
      </w:r>
      <w:r>
        <w:t>כׇּל־הָאָרֶץ</w:t>
      </w:r>
      <w:r>
        <w:t xml:space="preserve"> (“all the earth,” v.1) but then defines the worshippers as </w:t>
      </w:r>
      <w:r>
        <w:t>עַמּוֹ</w:t>
      </w:r>
      <w:r>
        <w:t xml:space="preserve"> (“his people,” v.3). Are the nations being invited to become part of this flock? Or is Israel addressed in global terms, as in Exodus 19:5, “</w:t>
      </w:r>
      <w:r>
        <w:t>כִּי־לִי</w:t>
      </w:r>
      <w:r>
        <w:t xml:space="preserve"> </w:t>
      </w:r>
      <w:r>
        <w:t>כׇל־הָאָרֶץ</w:t>
      </w:r>
      <w:r>
        <w:t xml:space="preserve">” (“for all the earth is mine”)? The psalm leaves both possibilities open. It is easy to hear, behind its universal shout, the later vision of Zechariah: </w:t>
      </w:r>
      <w:r>
        <w:t>וְהָיָה</w:t>
      </w:r>
      <w:r>
        <w:t xml:space="preserve"> </w:t>
      </w:r>
      <w:r>
        <w:t>ה׳</w:t>
      </w:r>
      <w:r>
        <w:t xml:space="preserve"> </w:t>
      </w:r>
      <w:r>
        <w:t>לְמֶלֶךְ</w:t>
      </w:r>
      <w:r>
        <w:t xml:space="preserve"> </w:t>
      </w:r>
      <w:r>
        <w:t>עַל־כׇּל־הָאָרֶץ</w:t>
      </w:r>
      <w:r>
        <w:t xml:space="preserve"> (“YHWH shall be king over all the earth,” Zechariah 14:9).‏</w:t>
      </w:r>
    </w:p>
    <w:p w14:paraId="628A7342" w14:textId="77777777" w:rsidR="00AC66DA" w:rsidRDefault="00CC5C72">
      <w:pPr>
        <w:pStyle w:val="Heading4"/>
      </w:pPr>
      <w:r>
        <w:t>The Open Court and the Last Word</w:t>
      </w:r>
    </w:p>
    <w:p w14:paraId="7474A1BC" w14:textId="77777777" w:rsidR="00AC66DA" w:rsidRDefault="00CC5C72">
      <w:pPr>
        <w:pStyle w:val="BodySans"/>
      </w:pPr>
      <w:r>
        <w:t xml:space="preserve">Verse 4 resumes the movement: </w:t>
      </w:r>
      <w:r>
        <w:t>בֹּאוּ</w:t>
      </w:r>
      <w:r>
        <w:t xml:space="preserve"> </w:t>
      </w:r>
      <w:r>
        <w:t>שְׁעָרָיו</w:t>
      </w:r>
      <w:r>
        <w:t xml:space="preserve"> (“Enter his gates”), </w:t>
      </w:r>
      <w:r>
        <w:t>חֲצֵרֹתָיו</w:t>
      </w:r>
      <w:r>
        <w:t xml:space="preserve"> (“his courts”). In biblical Hebrew, “gates” and “courts” are often judicial spaces. The “gates” are where elders decide cases and prophets cry out. Isaiah 3:13 paints a courtroom scene: </w:t>
      </w:r>
      <w:r>
        <w:t>נִצָּב</w:t>
      </w:r>
      <w:r>
        <w:t xml:space="preserve"> </w:t>
      </w:r>
      <w:r>
        <w:t>לָרִיב</w:t>
      </w:r>
      <w:r>
        <w:t xml:space="preserve"> </w:t>
      </w:r>
      <w:r>
        <w:t>ה׳</w:t>
      </w:r>
      <w:r>
        <w:t xml:space="preserve"> </w:t>
      </w:r>
      <w:r>
        <w:t>וְעֹמֵד</w:t>
      </w:r>
      <w:r>
        <w:t xml:space="preserve"> </w:t>
      </w:r>
      <w:r>
        <w:t>לָדִין</w:t>
      </w:r>
      <w:r>
        <w:t xml:space="preserve"> </w:t>
      </w:r>
      <w:r>
        <w:t>עַמִּים</w:t>
      </w:r>
      <w:r>
        <w:t xml:space="preserve"> (“YHWH takes his stand to contend, he stands to judge peoples”). Normally, entering such courts would be terrifying.‏</w:t>
      </w:r>
    </w:p>
    <w:p w14:paraId="396DA5AE" w14:textId="77777777" w:rsidR="00AC66DA" w:rsidRDefault="00CC5C72">
      <w:pPr>
        <w:pStyle w:val="BodySans"/>
      </w:pPr>
      <w:r>
        <w:t>Psalm 100 stages something stranger. The same God who stands to litigate now commands, in the imperative, “Enter!” The legal forum has become a festival. Where Jeremiah imagines God as an “</w:t>
      </w:r>
      <w:r>
        <w:t>עֵד</w:t>
      </w:r>
      <w:r>
        <w:t xml:space="preserve"> </w:t>
      </w:r>
      <w:r>
        <w:t>מְמַהֵר</w:t>
      </w:r>
      <w:r>
        <w:t xml:space="preserve">” (“a swift witness,” Malachi 3:5) against sorcerers and oppressors, this psalm imagines God as host, and the human role not as defendant but as choir: </w:t>
      </w:r>
      <w:r>
        <w:t>בִּתְהִלָּה</w:t>
      </w:r>
      <w:r>
        <w:t xml:space="preserve">… </w:t>
      </w:r>
      <w:r>
        <w:t>הוֹדוּ־לוֹ</w:t>
      </w:r>
      <w:r>
        <w:t xml:space="preserve"> </w:t>
      </w:r>
      <w:r>
        <w:t>בָּרְכוּ</w:t>
      </w:r>
      <w:r>
        <w:t xml:space="preserve"> </w:t>
      </w:r>
      <w:r>
        <w:t>שְׁמוֹ</w:t>
      </w:r>
      <w:r>
        <w:t xml:space="preserve"> (“with praise… give thanks to him, bless his name”).‏</w:t>
      </w:r>
    </w:p>
    <w:p w14:paraId="3E79CBC5" w14:textId="77777777" w:rsidR="00AC66DA" w:rsidRDefault="00CC5C72">
      <w:pPr>
        <w:pStyle w:val="BodySans"/>
      </w:pPr>
      <w:r>
        <w:t xml:space="preserve">Franz Kafka’s parable “Before the Law” describes a man who spends his life begging a doorkeeper to let him through the gate to the Law. The gate stands open, but he is never </w:t>
      </w:r>
      <w:r>
        <w:lastRenderedPageBreak/>
        <w:t>admitted; only at the end does he learn, “Dieser Eingang war nur für dich bestimmt. Ich gehe jetzt und schließe ihn.” (“This entrance was meant for you alone. I am going now to close it.”) Psalm 100 is the anti‑Kafka. Its gate is not “for you alone” but for all the earth, and the doorkeeper does nothing to delay. The anxiety is gone; only the summons remains.</w:t>
      </w:r>
    </w:p>
    <w:p w14:paraId="618B09F3" w14:textId="77777777" w:rsidR="00AC66DA" w:rsidRDefault="00CC5C72">
      <w:pPr>
        <w:pStyle w:val="BodySans"/>
      </w:pPr>
      <w:r>
        <w:t>The psalm’s final verse removes even the human voice. After seven commands, we get only indicative verbs: “For YHWH is good; his steadfast love is forever; his faithfulness to all generations.” Here the poet compresses the longer creed of Exodus 34:6—“</w:t>
      </w:r>
      <w:r>
        <w:t>רַחוּם</w:t>
      </w:r>
      <w:r>
        <w:t xml:space="preserve"> </w:t>
      </w:r>
      <w:r>
        <w:t>וְחַנּוּן</w:t>
      </w:r>
      <w:r>
        <w:t xml:space="preserve">… </w:t>
      </w:r>
      <w:r>
        <w:t>רַב־חֶסֶד</w:t>
      </w:r>
      <w:r>
        <w:t xml:space="preserve"> </w:t>
      </w:r>
      <w:r>
        <w:t>וֶאֱמֶת</w:t>
      </w:r>
      <w:r>
        <w:t xml:space="preserve">” (“compassionate and gracious… abounding in steadfast love and truth”)—into three words: </w:t>
      </w:r>
      <w:r>
        <w:t>טוֹב</w:t>
      </w:r>
      <w:r>
        <w:t xml:space="preserve">, </w:t>
      </w:r>
      <w:r>
        <w:t>חֶסֶד</w:t>
      </w:r>
      <w:r>
        <w:t xml:space="preserve">, </w:t>
      </w:r>
      <w:r>
        <w:t>אֱמוּנָה</w:t>
      </w:r>
      <w:r>
        <w:t>. Strikingly absent are the clauses about anger and punishment; this is the divine character seen from the far side of judgment, distilled to positive residue.‏</w:t>
      </w:r>
    </w:p>
    <w:p w14:paraId="2E0990C3" w14:textId="77777777" w:rsidR="00AC66DA" w:rsidRDefault="00CC5C72">
      <w:pPr>
        <w:pStyle w:val="BodySans"/>
      </w:pPr>
      <w:r>
        <w:t xml:space="preserve">The psalm’s last word is not “love” but “faithfulness”: </w:t>
      </w:r>
      <w:r>
        <w:t>אֱמוּנָתוֹ</w:t>
      </w:r>
      <w:r>
        <w:t xml:space="preserve"> (“his faithfulness”). Medieval commentators linger on this. Rashi glosses: “</w:t>
      </w:r>
      <w:r>
        <w:t>כָּל</w:t>
      </w:r>
      <w:r>
        <w:t xml:space="preserve"> </w:t>
      </w:r>
      <w:r>
        <w:t>לְשׁוֹן</w:t>
      </w:r>
      <w:r>
        <w:t xml:space="preserve"> </w:t>
      </w:r>
      <w:r>
        <w:t>אֱמֶת</w:t>
      </w:r>
      <w:r>
        <w:t xml:space="preserve"> </w:t>
      </w:r>
      <w:r>
        <w:t>וֶאֱמוּנָה</w:t>
      </w:r>
      <w:r>
        <w:t xml:space="preserve">, </w:t>
      </w:r>
      <w:r>
        <w:t>אֲמָנַת</w:t>
      </w:r>
      <w:r>
        <w:t xml:space="preserve"> </w:t>
      </w:r>
      <w:r>
        <w:t>הַבְטָחָה</w:t>
      </w:r>
      <w:r>
        <w:t>”—“Every expression of ‘truth’ and ‘faithfulness’ means the fulfillment of a promise.” What finally underwrites the whole invitation is not our emotion toward God but God’s reliability toward us.‏</w:t>
      </w:r>
    </w:p>
    <w:p w14:paraId="40034861" w14:textId="77777777" w:rsidR="00AC66DA" w:rsidRDefault="00CC5C72">
      <w:pPr>
        <w:pStyle w:val="BodySans"/>
      </w:pPr>
      <w:r>
        <w:t>Later Jewish tradition draws a daring conclusion. Citing a midrash, Meiri notes that in the world to come, all prayers and sacrifices will be abolished except todah—a thanksgiving that no longer asks for anything but simply enjoys what is. In that light, Psalm 100 is more than one hymn among many. It is a sketch of worship at the end of history, when the only thing left to do in God’s court is exactly what this psalm commands: to enter, to know, and to give thanks that we are not our own.</w:t>
      </w:r>
    </w:p>
    <w:p w14:paraId="58FC8C46" w14:textId="77777777" w:rsidR="00AC66DA" w:rsidRDefault="00CC5C72">
      <w:pPr>
        <w:pStyle w:val="BodySans"/>
      </w:pPr>
      <w:r>
        <w:t xml:space="preserve">If one insight transforms the reading, it is this: </w:t>
      </w:r>
      <w:r>
        <w:rPr>
          <w:b/>
        </w:rPr>
        <w:t>Psalm 100 turns gratitude into the key to God’s presence, and grounds that gratitude in the scandalous claim that our lives are not self‑made achievements but gifts held in an unbreakable, shepherding faithfulness.</w:t>
      </w:r>
    </w:p>
    <w:p w14:paraId="6B9E4DDE" w14:textId="77777777" w:rsidR="00AC66DA" w:rsidRDefault="00CC5C72">
      <w:pPr>
        <w:pStyle w:val="Heading2"/>
      </w:pPr>
      <w:r>
        <w:t xml:space="preserve">Questions for the Reader - </w:t>
      </w:r>
      <w:r>
        <w:rPr>
          <w:color w:val="008000"/>
        </w:rPr>
        <w:t>College</w:t>
      </w:r>
      <w:r>
        <w:t xml:space="preserve"> version</w:t>
      </w:r>
    </w:p>
    <w:p w14:paraId="331E21D4" w14:textId="77777777" w:rsidR="00AC66DA" w:rsidRDefault="00CC5C72">
      <w:pPr>
        <w:pStyle w:val="BodySans"/>
      </w:pPr>
      <w:r>
        <w:rPr>
          <w:i/>
        </w:rPr>
        <w:t>Before reading this commentary, consider the following questions:</w:t>
      </w:r>
    </w:p>
    <w:p w14:paraId="26049650" w14:textId="77777777" w:rsidR="00AC66DA" w:rsidRDefault="00CC5C72">
      <w:pPr>
        <w:pStyle w:val="BodySans"/>
      </w:pPr>
      <w:r>
        <w:rPr>
          <w:b/>
        </w:rPr>
        <w:t xml:space="preserve">1. </w:t>
      </w:r>
      <w:r>
        <w:t>Psalm 100 and Psalm 2 both command “Serve YHWH”—but one adds “with fear” and the other “with gladness.” How do these different emotional tones change the way you imagine “serving” God?</w:t>
      </w:r>
    </w:p>
    <w:p w14:paraId="19073BCE" w14:textId="77777777" w:rsidR="00AC66DA" w:rsidRDefault="00CC5C72">
      <w:pPr>
        <w:pStyle w:val="BodySans"/>
      </w:pPr>
      <w:r>
        <w:rPr>
          <w:b/>
        </w:rPr>
        <w:t xml:space="preserve">2. </w:t>
      </w:r>
      <w:r>
        <w:t xml:space="preserve">In verse 3, would you rather read </w:t>
      </w:r>
      <w:r>
        <w:t>וְלֹא</w:t>
      </w:r>
      <w:r>
        <w:t xml:space="preserve"> </w:t>
      </w:r>
      <w:r>
        <w:t>אֲנַחְנוּ</w:t>
      </w:r>
      <w:r>
        <w:t xml:space="preserve"> (“and not we [ourselves]”) or </w:t>
      </w:r>
      <w:r>
        <w:t>וְלוֹ</w:t>
      </w:r>
      <w:r>
        <w:t xml:space="preserve"> </w:t>
      </w:r>
      <w:r>
        <w:t>אֲנַחְנוּ</w:t>
      </w:r>
      <w:r>
        <w:t xml:space="preserve"> (“and we are his”)? How does each reading confront modern ideas of autonomy and self‑ownership?‏</w:t>
      </w:r>
    </w:p>
    <w:p w14:paraId="458DFEEA" w14:textId="77777777" w:rsidR="00AC66DA" w:rsidRDefault="00CC5C72">
      <w:pPr>
        <w:pStyle w:val="BodySans"/>
      </w:pPr>
      <w:r>
        <w:rPr>
          <w:b/>
        </w:rPr>
        <w:lastRenderedPageBreak/>
        <w:t xml:space="preserve">3. </w:t>
      </w:r>
      <w:r>
        <w:t>Psalms 15 and 24 demand “clean hands and a pure heart” before entering God’s hill. Psalm 100 asks only for “thanksgiving” at the gate. How might these three psalms describe different moments or aspects of approaching God?</w:t>
      </w:r>
    </w:p>
    <w:p w14:paraId="73792FDF" w14:textId="77777777" w:rsidR="00AC66DA" w:rsidRDefault="00CC5C72">
      <w:pPr>
        <w:pStyle w:val="BodySans"/>
      </w:pPr>
      <w:r>
        <w:rPr>
          <w:b/>
        </w:rPr>
        <w:t xml:space="preserve">4. </w:t>
      </w:r>
      <w:r>
        <w:t>The psalm starts by addressing “all the earth,” but verse 3 suddenly narrows to “his people and the sheep of his pasture.” When you read or pray this psalm, who do you imagine is speaking—and on whose behalf?</w:t>
      </w:r>
    </w:p>
    <w:p w14:paraId="0B2E6830" w14:textId="77777777" w:rsidR="00AC66DA" w:rsidRDefault="00CC5C72">
      <w:pPr>
        <w:pStyle w:val="BodySans"/>
      </w:pPr>
      <w:r>
        <w:rPr>
          <w:b/>
        </w:rPr>
        <w:t xml:space="preserve">5. </w:t>
      </w:r>
      <w:r>
        <w:t>Verse 5 intentionally shortens the longer creed of Exodus 34. If you were writing a one‑verse summary of God’s character for use in worship, what would you include—and what would you leave out? How does your list compare with “good… steadfast love… faithfulness”?</w:t>
      </w:r>
    </w:p>
    <w:p w14:paraId="0E5FBBC1" w14:textId="77777777" w:rsidR="00AC66DA" w:rsidRDefault="00CC5C72">
      <w:pPr>
        <w:pStyle w:val="BodySans"/>
      </w:pPr>
      <w:r>
        <w:rPr>
          <w:b/>
        </w:rPr>
        <w:t xml:space="preserve">6. </w:t>
      </w:r>
      <w:r>
        <w:t>The seven imperatives (“shout, serve, come, know, enter, give thanks, bless”) sketch a kind of spiritual journey. Where on that journey do you most often get stuck, and what might it look like to move to the next verb?</w:t>
      </w:r>
    </w:p>
    <w:p w14:paraId="09B28514" w14:textId="77777777" w:rsidR="00AC66DA" w:rsidRDefault="00AC66DA"/>
    <w:p w14:paraId="20A7F8F4" w14:textId="77777777" w:rsidR="00AC66DA" w:rsidRDefault="00CC5C72">
      <w:pPr>
        <w:pStyle w:val="Heading2"/>
      </w:pPr>
      <w:r>
        <w:t xml:space="preserve">Introduction - </w:t>
      </w:r>
      <w:r>
        <w:rPr>
          <w:color w:val="008000"/>
        </w:rPr>
        <w:t>College</w:t>
      </w:r>
      <w:r>
        <w:t xml:space="preserve"> version</w:t>
      </w:r>
    </w:p>
    <w:p w14:paraId="67067451" w14:textId="77777777" w:rsidR="00AC66DA" w:rsidRDefault="00CC5C72">
      <w:pPr>
        <w:pStyle w:val="BodySans"/>
      </w:pPr>
      <w:r>
        <w:t>Picture three lines outside the temple.</w:t>
      </w:r>
    </w:p>
    <w:p w14:paraId="7DA932CB" w14:textId="77777777" w:rsidR="00AC66DA" w:rsidRDefault="00CC5C72">
      <w:pPr>
        <w:pStyle w:val="BodySans"/>
      </w:pPr>
      <w:r>
        <w:t xml:space="preserve">In Psalm 15, people at the gate are being interviewed:  </w:t>
      </w:r>
    </w:p>
    <w:p w14:paraId="5F0EA11C" w14:textId="77777777" w:rsidR="00AC66DA" w:rsidRDefault="00CC5C72">
      <w:pPr>
        <w:pStyle w:val="BodySans"/>
        <w:ind w:left="720"/>
      </w:pPr>
      <w:r>
        <w:rPr>
          <w:i/>
        </w:rPr>
        <w:t>מִי־יָגוּר</w:t>
      </w:r>
      <w:r>
        <w:rPr>
          <w:i/>
        </w:rPr>
        <w:t xml:space="preserve"> </w:t>
      </w:r>
      <w:r>
        <w:rPr>
          <w:i/>
        </w:rPr>
        <w:t>בְּאָהֳלֶךָ</w:t>
      </w:r>
    </w:p>
    <w:p w14:paraId="4F47A9AE" w14:textId="77777777" w:rsidR="00AC66DA" w:rsidRDefault="00CC5C72">
      <w:pPr>
        <w:pStyle w:val="BodySans"/>
        <w:ind w:left="720"/>
      </w:pPr>
      <w:r>
        <w:rPr>
          <w:i/>
        </w:rPr>
        <w:t>“Who may dwell in your tent?”</w:t>
      </w:r>
    </w:p>
    <w:p w14:paraId="0B455161" w14:textId="77777777" w:rsidR="00AC66DA" w:rsidRDefault="00CC5C72">
      <w:pPr>
        <w:pStyle w:val="BodySans"/>
      </w:pPr>
      <w:r>
        <w:t xml:space="preserve">Only those with “clean hands and a pure heart” pass (Psalm 24:4: </w:t>
      </w:r>
      <w:r>
        <w:rPr>
          <w:b/>
        </w:rPr>
        <w:t>נְקִי</w:t>
      </w:r>
      <w:r>
        <w:rPr>
          <w:b/>
        </w:rPr>
        <w:t xml:space="preserve"> </w:t>
      </w:r>
      <w:r>
        <w:rPr>
          <w:b/>
        </w:rPr>
        <w:t>כַפַּיִם</w:t>
      </w:r>
      <w:r>
        <w:rPr>
          <w:b/>
        </w:rPr>
        <w:t xml:space="preserve"> </w:t>
      </w:r>
      <w:r>
        <w:rPr>
          <w:b/>
        </w:rPr>
        <w:t>וּבַר</w:t>
      </w:r>
      <w:r>
        <w:rPr>
          <w:b/>
        </w:rPr>
        <w:t xml:space="preserve"> </w:t>
      </w:r>
      <w:r>
        <w:rPr>
          <w:b/>
        </w:rPr>
        <w:t>לֵבָב</w:t>
      </w:r>
      <w:r>
        <w:t xml:space="preserve"> / “clean of hands and pure of heart”).  </w:t>
      </w:r>
    </w:p>
    <w:p w14:paraId="7D4FAF8E" w14:textId="77777777" w:rsidR="00AC66DA" w:rsidRDefault="00CC5C72">
      <w:pPr>
        <w:pStyle w:val="BodySans"/>
      </w:pPr>
      <w:r>
        <w:t>Psalm 100 gives you a third line—and there is no interview at all. The poet simply shouts:</w:t>
      </w:r>
    </w:p>
    <w:p w14:paraId="750ED910" w14:textId="77777777" w:rsidR="00AC66DA" w:rsidRDefault="00CC5C72">
      <w:pPr>
        <w:pStyle w:val="BodySans"/>
        <w:ind w:left="720"/>
      </w:pPr>
      <w:r>
        <w:rPr>
          <w:i/>
        </w:rPr>
        <w:t>בֹּ֤אוּ</w:t>
      </w:r>
      <w:r>
        <w:rPr>
          <w:i/>
        </w:rPr>
        <w:t xml:space="preserve"> </w:t>
      </w:r>
      <w:r>
        <w:rPr>
          <w:i/>
        </w:rPr>
        <w:t>שְׁעָרָ֨יו</w:t>
      </w:r>
      <w:r>
        <w:rPr>
          <w:i/>
        </w:rPr>
        <w:t xml:space="preserve"> </w:t>
      </w:r>
      <w:r>
        <w:rPr>
          <w:i/>
        </w:rPr>
        <w:t>׀</w:t>
      </w:r>
      <w:r>
        <w:rPr>
          <w:i/>
        </w:rPr>
        <w:t xml:space="preserve"> </w:t>
      </w:r>
      <w:r>
        <w:rPr>
          <w:i/>
        </w:rPr>
        <w:t>בְּתוֹדָ֗ה</w:t>
      </w:r>
    </w:p>
    <w:p w14:paraId="55AA2C07" w14:textId="77777777" w:rsidR="00AC66DA" w:rsidRDefault="00CC5C72">
      <w:pPr>
        <w:pStyle w:val="BodySans"/>
        <w:ind w:left="720"/>
      </w:pPr>
      <w:r>
        <w:rPr>
          <w:i/>
        </w:rPr>
        <w:t>“Enter his gates with thanksgiving” (Psalm 100:4).</w:t>
      </w:r>
    </w:p>
    <w:p w14:paraId="7C67F410" w14:textId="77777777" w:rsidR="00AC66DA" w:rsidRDefault="00CC5C72">
      <w:pPr>
        <w:pStyle w:val="BodySans"/>
      </w:pPr>
      <w:r>
        <w:t>No questions, no checklist, no moral résumé. Just: “Come. Bring thanks.”</w:t>
      </w:r>
    </w:p>
    <w:p w14:paraId="3B0AFCC1" w14:textId="77777777" w:rsidR="00AC66DA" w:rsidRDefault="00CC5C72">
      <w:pPr>
        <w:pStyle w:val="BodySans"/>
      </w:pPr>
      <w:r>
        <w:t xml:space="preserve">That is the first surprise. Psalm 100 is an entrance psalm with </w:t>
      </w:r>
      <w:r>
        <w:rPr>
          <w:b/>
        </w:rPr>
        <w:t>no entrance requirements</w:t>
      </w:r>
      <w:r>
        <w:t>. For first‑century Israelites used to Psalms 15 and 24, that would have felt as strange as it should feel to us. Is this a different theology—access by gratitude rather than by moral achievement? Or is it a different moment in the worship cycle?</w:t>
      </w:r>
    </w:p>
    <w:p w14:paraId="2F8F442B" w14:textId="77777777" w:rsidR="00AC66DA" w:rsidRDefault="00CC5C72">
      <w:pPr>
        <w:pStyle w:val="BodySans"/>
      </w:pPr>
      <w:r>
        <w:t>To see what is going on, we need to see the shape of the poem.</w:t>
      </w:r>
    </w:p>
    <w:p w14:paraId="2636E71C" w14:textId="77777777" w:rsidR="00AC66DA" w:rsidRDefault="00CC5C72">
      <w:pPr>
        <w:pStyle w:val="BodySans"/>
      </w:pPr>
      <w:r>
        <w:lastRenderedPageBreak/>
        <w:t>---</w:t>
      </w:r>
    </w:p>
    <w:p w14:paraId="234CED92" w14:textId="77777777" w:rsidR="00AC66DA" w:rsidRDefault="00CC5C72">
      <w:pPr>
        <w:pStyle w:val="Heading4"/>
      </w:pPr>
      <w:r>
        <w:t>A very tight structure</w:t>
      </w:r>
    </w:p>
    <w:p w14:paraId="5942D00E" w14:textId="77777777" w:rsidR="00AC66DA" w:rsidRDefault="00CC5C72">
      <w:pPr>
        <w:pStyle w:val="BodySans"/>
      </w:pPr>
      <w:r>
        <w:t>Psalm 100 is short—five verses—but architecturally precise.</w:t>
      </w:r>
    </w:p>
    <w:p w14:paraId="73349701" w14:textId="77777777" w:rsidR="00AC66DA" w:rsidRDefault="00CC5C72">
      <w:pPr>
        <w:pStyle w:val="BodySans"/>
      </w:pPr>
      <w:r>
        <w:t xml:space="preserve">1. </w:t>
      </w:r>
      <w:r>
        <w:rPr>
          <w:b/>
        </w:rPr>
        <w:t>Superscription + universal summons (vv. 1–2)</w:t>
      </w:r>
      <w:r>
        <w:t xml:space="preserve">  </w:t>
      </w:r>
    </w:p>
    <w:p w14:paraId="4391ED1C" w14:textId="77777777" w:rsidR="00AC66DA" w:rsidRDefault="00CC5C72">
      <w:pPr>
        <w:pStyle w:val="ListBullet"/>
      </w:pPr>
      <w:r>
        <w:rPr>
          <w:rFonts w:ascii="Aptos" w:hAnsi="Aptos"/>
        </w:rPr>
        <w:t xml:space="preserve">Title: </w:t>
      </w:r>
      <w:r>
        <w:rPr>
          <w:rFonts w:ascii="Aptos" w:hAnsi="Aptos"/>
        </w:rPr>
        <w:t>מִזְמוֹר</w:t>
      </w:r>
      <w:r>
        <w:rPr>
          <w:rFonts w:ascii="Aptos" w:hAnsi="Aptos"/>
        </w:rPr>
        <w:t xml:space="preserve"> </w:t>
      </w:r>
      <w:r>
        <w:rPr>
          <w:rFonts w:ascii="Aptos" w:hAnsi="Aptos"/>
        </w:rPr>
        <w:t>לְתוֹדָה</w:t>
      </w:r>
      <w:r>
        <w:rPr>
          <w:rFonts w:ascii="Aptos" w:hAnsi="Aptos"/>
        </w:rPr>
        <w:t xml:space="preserve"> / “A psalm for thanksgiving.”</w:t>
      </w:r>
    </w:p>
    <w:p w14:paraId="50422CCE" w14:textId="77777777" w:rsidR="00AC66DA" w:rsidRDefault="00CC5C72">
      <w:pPr>
        <w:pStyle w:val="ListBullet"/>
      </w:pPr>
      <w:r>
        <w:rPr>
          <w:rFonts w:ascii="Aptos" w:hAnsi="Aptos"/>
        </w:rPr>
        <w:t xml:space="preserve">Three imperatives: </w:t>
      </w:r>
      <w:r>
        <w:rPr>
          <w:rFonts w:ascii="Aptos" w:hAnsi="Aptos"/>
        </w:rPr>
        <w:t>הָרִיעוּ</w:t>
      </w:r>
      <w:r>
        <w:rPr>
          <w:rFonts w:ascii="Aptos" w:hAnsi="Aptos"/>
        </w:rPr>
        <w:t xml:space="preserve"> / “raise a shout,” </w:t>
      </w:r>
      <w:r>
        <w:rPr>
          <w:rFonts w:ascii="Aptos" w:hAnsi="Aptos"/>
        </w:rPr>
        <w:t>עִבְדוּ</w:t>
      </w:r>
      <w:r>
        <w:rPr>
          <w:rFonts w:ascii="Aptos" w:hAnsi="Aptos"/>
        </w:rPr>
        <w:t xml:space="preserve"> / “serve,” </w:t>
      </w:r>
      <w:r>
        <w:rPr>
          <w:rFonts w:ascii="Aptos" w:hAnsi="Aptos"/>
        </w:rPr>
        <w:t>בֹּאוּ</w:t>
      </w:r>
      <w:r>
        <w:rPr>
          <w:rFonts w:ascii="Aptos" w:hAnsi="Aptos"/>
        </w:rPr>
        <w:t xml:space="preserve"> / “come.”</w:t>
      </w:r>
    </w:p>
    <w:p w14:paraId="15BDA851" w14:textId="77777777" w:rsidR="00AC66DA" w:rsidRDefault="00CC5C72">
      <w:pPr>
        <w:pStyle w:val="ListBullet"/>
      </w:pPr>
      <w:r>
        <w:rPr>
          <w:rFonts w:ascii="Aptos" w:hAnsi="Aptos"/>
        </w:rPr>
        <w:t xml:space="preserve">Addressee: </w:t>
      </w:r>
      <w:r>
        <w:rPr>
          <w:rFonts w:ascii="Aptos" w:hAnsi="Aptos"/>
        </w:rPr>
        <w:t>כׇּל־הָאָרֶץ</w:t>
      </w:r>
      <w:r>
        <w:rPr>
          <w:rFonts w:ascii="Aptos" w:hAnsi="Aptos"/>
        </w:rPr>
        <w:t xml:space="preserve"> / “all the earth.”</w:t>
      </w:r>
    </w:p>
    <w:p w14:paraId="27EED7DC" w14:textId="77777777" w:rsidR="00AC66DA" w:rsidRDefault="00CC5C72">
      <w:pPr>
        <w:pStyle w:val="BodySans"/>
      </w:pPr>
      <w:r>
        <w:t xml:space="preserve">2. </w:t>
      </w:r>
      <w:r>
        <w:rPr>
          <w:b/>
        </w:rPr>
        <w:t>The pivot of knowledge (v. 3)</w:t>
      </w:r>
      <w:r>
        <w:t xml:space="preserve">  </w:t>
      </w:r>
    </w:p>
    <w:p w14:paraId="10DBE1C0" w14:textId="77777777" w:rsidR="00AC66DA" w:rsidRDefault="00CC5C72">
      <w:pPr>
        <w:pStyle w:val="ListBullet"/>
      </w:pPr>
      <w:r>
        <w:rPr>
          <w:rFonts w:ascii="Aptos" w:hAnsi="Aptos"/>
        </w:rPr>
        <w:t xml:space="preserve">Single cognitive imperative: </w:t>
      </w:r>
      <w:r>
        <w:rPr>
          <w:rFonts w:ascii="Aptos" w:hAnsi="Aptos"/>
        </w:rPr>
        <w:t>דְּעוּ</w:t>
      </w:r>
      <w:r>
        <w:rPr>
          <w:rFonts w:ascii="Aptos" w:hAnsi="Aptos"/>
        </w:rPr>
        <w:t xml:space="preserve"> / “know.”</w:t>
      </w:r>
    </w:p>
    <w:p w14:paraId="5E703985" w14:textId="77777777" w:rsidR="00AC66DA" w:rsidRDefault="00CC5C72">
      <w:pPr>
        <w:pStyle w:val="ListBullet"/>
      </w:pPr>
      <w:r>
        <w:rPr>
          <w:rFonts w:ascii="Aptos" w:hAnsi="Aptos"/>
        </w:rPr>
        <w:t>Four rapid statements about who God is and who we are.</w:t>
      </w:r>
    </w:p>
    <w:p w14:paraId="125B9B0E" w14:textId="77777777" w:rsidR="00AC66DA" w:rsidRDefault="00CC5C72">
      <w:pPr>
        <w:pStyle w:val="BodySans"/>
      </w:pPr>
      <w:r>
        <w:t xml:space="preserve">3. </w:t>
      </w:r>
      <w:r>
        <w:rPr>
          <w:b/>
        </w:rPr>
        <w:t>Temple interior: entering and speaking (v. 4)</w:t>
      </w:r>
      <w:r>
        <w:t xml:space="preserve">  </w:t>
      </w:r>
    </w:p>
    <w:p w14:paraId="5F58259A" w14:textId="77777777" w:rsidR="00AC66DA" w:rsidRDefault="00CC5C72">
      <w:pPr>
        <w:pStyle w:val="ListBullet"/>
      </w:pPr>
      <w:r>
        <w:rPr>
          <w:rFonts w:ascii="Aptos" w:hAnsi="Aptos"/>
        </w:rPr>
        <w:t xml:space="preserve">Three more imperatives: </w:t>
      </w:r>
      <w:r>
        <w:rPr>
          <w:rFonts w:ascii="Aptos" w:hAnsi="Aptos"/>
        </w:rPr>
        <w:t>בֹּאוּ</w:t>
      </w:r>
      <w:r>
        <w:rPr>
          <w:rFonts w:ascii="Aptos" w:hAnsi="Aptos"/>
        </w:rPr>
        <w:t xml:space="preserve"> / “enter,” </w:t>
      </w:r>
      <w:r>
        <w:rPr>
          <w:rFonts w:ascii="Aptos" w:hAnsi="Aptos"/>
        </w:rPr>
        <w:t>הוֹדוּ</w:t>
      </w:r>
      <w:r>
        <w:rPr>
          <w:rFonts w:ascii="Aptos" w:hAnsi="Aptos"/>
        </w:rPr>
        <w:t xml:space="preserve"> / “give thanks,” </w:t>
      </w:r>
      <w:r>
        <w:rPr>
          <w:rFonts w:ascii="Aptos" w:hAnsi="Aptos"/>
        </w:rPr>
        <w:t>בָּרְכוּ</w:t>
      </w:r>
      <w:r>
        <w:rPr>
          <w:rFonts w:ascii="Aptos" w:hAnsi="Aptos"/>
        </w:rPr>
        <w:t xml:space="preserve"> / “bless.”</w:t>
      </w:r>
    </w:p>
    <w:p w14:paraId="53A763A7" w14:textId="77777777" w:rsidR="00AC66DA" w:rsidRDefault="00CC5C72">
      <w:pPr>
        <w:pStyle w:val="ListBullet"/>
      </w:pPr>
      <w:r>
        <w:rPr>
          <w:rFonts w:ascii="Aptos" w:hAnsi="Aptos"/>
        </w:rPr>
        <w:t>Space: “his gates… his courts… his name.”</w:t>
      </w:r>
    </w:p>
    <w:p w14:paraId="57A6EE49" w14:textId="77777777" w:rsidR="00AC66DA" w:rsidRDefault="00CC5C72">
      <w:pPr>
        <w:pStyle w:val="BodySans"/>
      </w:pPr>
      <w:r>
        <w:t xml:space="preserve">4. </w:t>
      </w:r>
      <w:r>
        <w:rPr>
          <w:b/>
        </w:rPr>
        <w:t>Grounding reason (v. 5)</w:t>
      </w:r>
      <w:r>
        <w:t xml:space="preserve">  </w:t>
      </w:r>
    </w:p>
    <w:p w14:paraId="3A104096" w14:textId="77777777" w:rsidR="00AC66DA" w:rsidRDefault="00CC5C72">
      <w:pPr>
        <w:pStyle w:val="ListBullet"/>
      </w:pPr>
      <w:r>
        <w:rPr>
          <w:rFonts w:ascii="Aptos" w:hAnsi="Aptos"/>
        </w:rPr>
        <w:t>No imperatives at all—only why:</w:t>
      </w:r>
    </w:p>
    <w:p w14:paraId="1C8A7AB5" w14:textId="77777777" w:rsidR="00AC66DA" w:rsidRDefault="00CC5C72">
      <w:pPr>
        <w:pStyle w:val="BodySans"/>
      </w:pPr>
      <w:r>
        <w:t xml:space="preserve">     </w:t>
      </w:r>
      <w:r>
        <w:t>כִּי־טוֹב</w:t>
      </w:r>
      <w:r>
        <w:t xml:space="preserve"> </w:t>
      </w:r>
      <w:r>
        <w:t>ה׳</w:t>
      </w:r>
      <w:r>
        <w:t xml:space="preserve"> … </w:t>
      </w:r>
      <w:r>
        <w:t>לְעוֹלָם</w:t>
      </w:r>
      <w:r>
        <w:t xml:space="preserve"> </w:t>
      </w:r>
      <w:r>
        <w:t>חַסְדּוֹ</w:t>
      </w:r>
      <w:r>
        <w:t xml:space="preserve"> … </w:t>
      </w:r>
      <w:r>
        <w:t>אֱמוּנָתוֹ</w:t>
      </w:r>
      <w:r>
        <w:t xml:space="preserve"> /  </w:t>
      </w:r>
    </w:p>
    <w:p w14:paraId="07923EC9" w14:textId="77777777" w:rsidR="00AC66DA" w:rsidRDefault="00CC5C72">
      <w:pPr>
        <w:pStyle w:val="BodySans"/>
      </w:pPr>
      <w:r>
        <w:t xml:space="preserve">     “For YHWH is good, his steadfast love is forever, and his faithfulness [is] to every generation.”</w:t>
      </w:r>
    </w:p>
    <w:p w14:paraId="107F4E02" w14:textId="77777777" w:rsidR="00AC66DA" w:rsidRDefault="00CC5C72">
      <w:pPr>
        <w:pStyle w:val="BodySans"/>
      </w:pPr>
      <w:r>
        <w:t xml:space="preserve">So the psalm walks you from </w:t>
      </w:r>
      <w:r>
        <w:rPr>
          <w:b/>
        </w:rPr>
        <w:t>outside</w:t>
      </w:r>
      <w:r>
        <w:t xml:space="preserve"> to </w:t>
      </w:r>
      <w:r>
        <w:rPr>
          <w:b/>
        </w:rPr>
        <w:t>inside</w:t>
      </w:r>
      <w:r>
        <w:t>: from “all the earth” (</w:t>
      </w:r>
      <w:r>
        <w:t>כׇּל־הָאָרֶץ</w:t>
      </w:r>
      <w:r>
        <w:t>, v.1) shouting, to “his courts” (</w:t>
      </w:r>
      <w:r>
        <w:t>חֲצֵרֹתָיו</w:t>
      </w:r>
      <w:r>
        <w:t>, v.4) and his endless faithfulness (</w:t>
      </w:r>
      <w:r>
        <w:t>אֱמוּנָתוֹ</w:t>
      </w:r>
      <w:r>
        <w:t>, v.5). The seven imperatives form a 3–1–3 pattern around verse 3’s “know!”—a hinge that says: noisy enthusiasm must pass through understanding if it is going to become real worship.‏</w:t>
      </w:r>
    </w:p>
    <w:p w14:paraId="7EE063E9" w14:textId="77777777" w:rsidR="00AC66DA" w:rsidRDefault="00CC5C72">
      <w:pPr>
        <w:pStyle w:val="BodySans"/>
      </w:pPr>
      <w:r>
        <w:t xml:space="preserve">My claim is this:  </w:t>
      </w:r>
    </w:p>
    <w:p w14:paraId="0165E2E6" w14:textId="77777777" w:rsidR="00AC66DA" w:rsidRDefault="00CC5C72">
      <w:pPr>
        <w:pStyle w:val="BodySans"/>
        <w:ind w:left="720"/>
      </w:pPr>
      <w:r>
        <w:rPr>
          <w:b/>
          <w:i/>
        </w:rPr>
        <w:t>Psalm 100 is a liturgical “path” that turns gratitude and belonging into the only password for God’s presence, moving from a universal shout to intimate flock language, and it does this by centering the whole procession on one command: “Know that YHWH is God.”</w:t>
      </w:r>
    </w:p>
    <w:p w14:paraId="3CBE51C5" w14:textId="77777777" w:rsidR="00AC66DA" w:rsidRDefault="00CC5C72">
      <w:pPr>
        <w:pStyle w:val="BodySans"/>
      </w:pPr>
      <w:r>
        <w:t>Let’s trace that path.</w:t>
      </w:r>
    </w:p>
    <w:p w14:paraId="6C53BF97" w14:textId="77777777" w:rsidR="00AC66DA" w:rsidRDefault="00CC5C72">
      <w:pPr>
        <w:pStyle w:val="BodySans"/>
      </w:pPr>
      <w:r>
        <w:t>---</w:t>
      </w:r>
    </w:p>
    <w:p w14:paraId="63EA0508" w14:textId="77777777" w:rsidR="00AC66DA" w:rsidRDefault="00CC5C72">
      <w:pPr>
        <w:pStyle w:val="Heading4"/>
      </w:pPr>
      <w:r>
        <w:lastRenderedPageBreak/>
        <w:t>From universal noise to intimate belonging (vv. 1–2)</w:t>
      </w:r>
    </w:p>
    <w:p w14:paraId="23CFE371" w14:textId="77777777" w:rsidR="00AC66DA" w:rsidRDefault="00CC5C72">
      <w:pPr>
        <w:pStyle w:val="BodySans"/>
      </w:pPr>
      <w:r>
        <w:t>The psalm opens:</w:t>
      </w:r>
    </w:p>
    <w:p w14:paraId="7955303A" w14:textId="77777777" w:rsidR="00AC66DA" w:rsidRDefault="00CC5C72">
      <w:pPr>
        <w:pStyle w:val="BodySans"/>
        <w:ind w:left="720"/>
      </w:pPr>
      <w:r>
        <w:rPr>
          <w:i/>
        </w:rPr>
        <w:t>הָרִיעוּ</w:t>
      </w:r>
      <w:r>
        <w:rPr>
          <w:i/>
        </w:rPr>
        <w:t xml:space="preserve"> </w:t>
      </w:r>
      <w:r>
        <w:rPr>
          <w:i/>
        </w:rPr>
        <w:t>לַה׳</w:t>
      </w:r>
      <w:r>
        <w:rPr>
          <w:i/>
        </w:rPr>
        <w:t xml:space="preserve"> </w:t>
      </w:r>
      <w:r>
        <w:rPr>
          <w:i/>
        </w:rPr>
        <w:t>כׇּל־הָאָרֶץ</w:t>
      </w:r>
    </w:p>
    <w:p w14:paraId="54281A87" w14:textId="77777777" w:rsidR="00AC66DA" w:rsidRDefault="00CC5C72">
      <w:pPr>
        <w:pStyle w:val="BodySans"/>
        <w:ind w:left="720"/>
      </w:pPr>
      <w:r>
        <w:rPr>
          <w:i/>
        </w:rPr>
        <w:t>“Raise a shout to YHWH, all the earth” (v.1).</w:t>
      </w:r>
    </w:p>
    <w:p w14:paraId="218E97D1" w14:textId="77777777" w:rsidR="00AC66DA" w:rsidRDefault="00CC5C72">
      <w:pPr>
        <w:pStyle w:val="BodySans"/>
      </w:pPr>
      <w:r>
        <w:t xml:space="preserve">The verb </w:t>
      </w:r>
      <w:r>
        <w:t>הָרִיעוּ</w:t>
      </w:r>
      <w:r>
        <w:t xml:space="preserve"> (</w:t>
      </w:r>
      <w:r>
        <w:rPr>
          <w:i/>
        </w:rPr>
        <w:t>hariʿu</w:t>
      </w:r>
      <w:r>
        <w:t xml:space="preserve">) does </w:t>
      </w:r>
      <w:r>
        <w:rPr>
          <w:b/>
        </w:rPr>
        <w:t>not</w:t>
      </w:r>
      <w:r>
        <w:t xml:space="preserve"> mean “sing nicely.” In the Hebrew Bible it functions as a </w:t>
      </w:r>
      <w:r>
        <w:rPr>
          <w:b/>
        </w:rPr>
        <w:t>war‑cry or royal acclamation</w:t>
      </w:r>
      <w:r>
        <w:t>. At Jericho the people are told:</w:t>
      </w:r>
    </w:p>
    <w:p w14:paraId="7663008B" w14:textId="77777777" w:rsidR="00AC66DA" w:rsidRDefault="00CC5C72">
      <w:pPr>
        <w:pStyle w:val="BodySans"/>
        <w:ind w:left="720"/>
      </w:pPr>
      <w:r>
        <w:rPr>
          <w:i/>
        </w:rPr>
        <w:t>וַהֲרִיעוֹתֶם</w:t>
      </w:r>
      <w:r>
        <w:rPr>
          <w:i/>
        </w:rPr>
        <w:t xml:space="preserve"> </w:t>
      </w:r>
      <w:r>
        <w:rPr>
          <w:i/>
        </w:rPr>
        <w:t>תְּרוּעָה</w:t>
      </w:r>
      <w:r>
        <w:rPr>
          <w:i/>
        </w:rPr>
        <w:t xml:space="preserve"> </w:t>
      </w:r>
      <w:r>
        <w:rPr>
          <w:i/>
        </w:rPr>
        <w:t>גְדוֹלָה</w:t>
      </w:r>
    </w:p>
    <w:p w14:paraId="4F18C99C" w14:textId="77777777" w:rsidR="00AC66DA" w:rsidRDefault="00CC5C72">
      <w:pPr>
        <w:pStyle w:val="BodySans"/>
        <w:ind w:left="720"/>
      </w:pPr>
      <w:r>
        <w:rPr>
          <w:i/>
        </w:rPr>
        <w:t>“You shall shout a great shout” (Joshua 6:5),</w:t>
      </w:r>
    </w:p>
    <w:p w14:paraId="04FB3BEB" w14:textId="77777777" w:rsidR="00AC66DA" w:rsidRDefault="00CC5C72">
      <w:pPr>
        <w:pStyle w:val="BodySans"/>
      </w:pPr>
      <w:r>
        <w:t>and in a coronation scene:</w:t>
      </w:r>
    </w:p>
    <w:p w14:paraId="35365C78" w14:textId="77777777" w:rsidR="00AC66DA" w:rsidRDefault="00CC5C72">
      <w:pPr>
        <w:pStyle w:val="BodySans"/>
        <w:ind w:left="720"/>
      </w:pPr>
      <w:r>
        <w:rPr>
          <w:i/>
        </w:rPr>
        <w:t>וַיֹּאמְרוּ</w:t>
      </w:r>
      <w:r>
        <w:rPr>
          <w:i/>
        </w:rPr>
        <w:t xml:space="preserve"> </w:t>
      </w:r>
      <w:r>
        <w:rPr>
          <w:i/>
        </w:rPr>
        <w:t>כׇל־הָעָם</w:t>
      </w:r>
      <w:r>
        <w:rPr>
          <w:i/>
        </w:rPr>
        <w:t xml:space="preserve"> </w:t>
      </w:r>
      <w:r>
        <w:rPr>
          <w:i/>
        </w:rPr>
        <w:t>יְחִי</w:t>
      </w:r>
      <w:r>
        <w:rPr>
          <w:i/>
        </w:rPr>
        <w:t xml:space="preserve"> </w:t>
      </w:r>
      <w:r>
        <w:rPr>
          <w:i/>
        </w:rPr>
        <w:t>הַמֶּלֶךְ</w:t>
      </w:r>
    </w:p>
    <w:p w14:paraId="018646FB" w14:textId="77777777" w:rsidR="00AC66DA" w:rsidRDefault="00CC5C72">
      <w:pPr>
        <w:pStyle w:val="BodySans"/>
        <w:ind w:left="720"/>
      </w:pPr>
      <w:r>
        <w:rPr>
          <w:i/>
        </w:rPr>
        <w:t xml:space="preserve">… </w:t>
      </w:r>
      <w:r>
        <w:rPr>
          <w:i/>
        </w:rPr>
        <w:t>וַיַּרִיעוּ</w:t>
      </w:r>
      <w:r>
        <w:rPr>
          <w:i/>
        </w:rPr>
        <w:t xml:space="preserve"> </w:t>
      </w:r>
      <w:r>
        <w:rPr>
          <w:i/>
        </w:rPr>
        <w:t>כׇל־הָעָם</w:t>
      </w:r>
      <w:r>
        <w:rPr>
          <w:i/>
        </w:rPr>
        <w:t xml:space="preserve"> </w:t>
      </w:r>
      <w:r>
        <w:rPr>
          <w:i/>
        </w:rPr>
        <w:t>תְּרוּעָה</w:t>
      </w:r>
      <w:r>
        <w:rPr>
          <w:i/>
        </w:rPr>
        <w:t xml:space="preserve"> </w:t>
      </w:r>
      <w:r>
        <w:rPr>
          <w:i/>
        </w:rPr>
        <w:t>גְדוֹלָה</w:t>
      </w:r>
    </w:p>
    <w:p w14:paraId="175DC76E" w14:textId="77777777" w:rsidR="00AC66DA" w:rsidRDefault="00CC5C72">
      <w:pPr>
        <w:pStyle w:val="BodySans"/>
        <w:ind w:left="720"/>
      </w:pPr>
      <w:r>
        <w:rPr>
          <w:i/>
        </w:rPr>
        <w:t>“All the people cried, ‘Long live the king!’ … and all the people raised a great shout” (1 Kings 1:39–40).</w:t>
      </w:r>
    </w:p>
    <w:p w14:paraId="03B87BF1" w14:textId="77777777" w:rsidR="00AC66DA" w:rsidRDefault="00CC5C72">
      <w:pPr>
        <w:pStyle w:val="BodySans"/>
      </w:pPr>
      <w:r>
        <w:t>So “Raise a shout to YHWH” is closer to “Acclaim the King!” than to “Hum softly.” Worship here is a political act: the whole earth publicly acknowledges YHWH’s kingship. That makes sense of Psalm 100 sitting right after the “YHWH‑is‑King” psalms (93–99).</w:t>
      </w:r>
    </w:p>
    <w:p w14:paraId="57777546" w14:textId="77777777" w:rsidR="00AC66DA" w:rsidRDefault="00CC5C72">
      <w:pPr>
        <w:pStyle w:val="BodySans"/>
      </w:pPr>
      <w:r>
        <w:t>Verse 2 then pushes that royal language further:</w:t>
      </w:r>
    </w:p>
    <w:p w14:paraId="1CDAE0C7" w14:textId="77777777" w:rsidR="00AC66DA" w:rsidRDefault="00CC5C72">
      <w:pPr>
        <w:pStyle w:val="BodySans"/>
        <w:ind w:left="720"/>
      </w:pPr>
      <w:r>
        <w:rPr>
          <w:i/>
        </w:rPr>
        <w:t>עִבְדוּ</w:t>
      </w:r>
      <w:r>
        <w:rPr>
          <w:i/>
        </w:rPr>
        <w:t xml:space="preserve"> </w:t>
      </w:r>
      <w:r>
        <w:rPr>
          <w:i/>
        </w:rPr>
        <w:t>אֶת־ה׳</w:t>
      </w:r>
      <w:r>
        <w:rPr>
          <w:i/>
        </w:rPr>
        <w:t xml:space="preserve"> </w:t>
      </w:r>
      <w:r>
        <w:rPr>
          <w:i/>
        </w:rPr>
        <w:t>בְּשִׂמְחָה</w:t>
      </w:r>
    </w:p>
    <w:p w14:paraId="13EDE21A" w14:textId="77777777" w:rsidR="00AC66DA" w:rsidRDefault="00CC5C72">
      <w:pPr>
        <w:pStyle w:val="BodySans"/>
        <w:ind w:left="720"/>
      </w:pPr>
      <w:r>
        <w:rPr>
          <w:i/>
        </w:rPr>
        <w:t>“Serve YHWH with gladness.”</w:t>
      </w:r>
    </w:p>
    <w:p w14:paraId="2807AE94" w14:textId="77777777" w:rsidR="00AC66DA" w:rsidRDefault="00CC5C72">
      <w:pPr>
        <w:pStyle w:val="BodySans"/>
      </w:pPr>
      <w:r>
        <w:t xml:space="preserve">The verb </w:t>
      </w:r>
      <w:r>
        <w:t>עִבְדוּ</w:t>
      </w:r>
      <w:r>
        <w:t xml:space="preserve"> (</w:t>
      </w:r>
      <w:r>
        <w:rPr>
          <w:i/>
        </w:rPr>
        <w:t>ʿ</w:t>
      </w:r>
      <w:r>
        <w:rPr>
          <w:i/>
        </w:rPr>
        <w:t>ivdu</w:t>
      </w:r>
      <w:r>
        <w:t xml:space="preserve">) is the normal verb for </w:t>
      </w:r>
      <w:r>
        <w:rPr>
          <w:b/>
        </w:rPr>
        <w:t>serving a master</w:t>
      </w:r>
      <w:r>
        <w:t xml:space="preserve"> or </w:t>
      </w:r>
      <w:r>
        <w:rPr>
          <w:b/>
        </w:rPr>
        <w:t>worshipping a deity</w:t>
      </w:r>
      <w:r>
        <w:t xml:space="preserve">. In Akkadian, the cognate </w:t>
      </w:r>
      <w:r>
        <w:rPr>
          <w:i/>
        </w:rPr>
        <w:t>abdu</w:t>
      </w:r>
      <w:r>
        <w:t xml:space="preserve"> means “slave/vassal.” Usually that kind of service is grim. Psalm 2:11 says:</w:t>
      </w:r>
    </w:p>
    <w:p w14:paraId="49C120E8" w14:textId="77777777" w:rsidR="00AC66DA" w:rsidRDefault="00CC5C72">
      <w:pPr>
        <w:pStyle w:val="BodySans"/>
        <w:ind w:left="720"/>
      </w:pPr>
      <w:r>
        <w:rPr>
          <w:i/>
        </w:rPr>
        <w:t>עִבְדוּ</w:t>
      </w:r>
      <w:r>
        <w:rPr>
          <w:i/>
        </w:rPr>
        <w:t xml:space="preserve"> </w:t>
      </w:r>
      <w:r>
        <w:rPr>
          <w:i/>
        </w:rPr>
        <w:t>אֶת־ה׳</w:t>
      </w:r>
      <w:r>
        <w:rPr>
          <w:i/>
        </w:rPr>
        <w:t xml:space="preserve"> </w:t>
      </w:r>
      <w:r>
        <w:rPr>
          <w:i/>
        </w:rPr>
        <w:t>בְּיִרְאָה</w:t>
      </w:r>
    </w:p>
    <w:p w14:paraId="11184684" w14:textId="77777777" w:rsidR="00AC66DA" w:rsidRDefault="00CC5C72">
      <w:pPr>
        <w:pStyle w:val="BodySans"/>
        <w:ind w:left="720"/>
      </w:pPr>
      <w:r>
        <w:rPr>
          <w:i/>
        </w:rPr>
        <w:t>“Serve YHWH in fear.”</w:t>
      </w:r>
    </w:p>
    <w:p w14:paraId="6B55EE72" w14:textId="77777777" w:rsidR="00AC66DA" w:rsidRDefault="00CC5C72">
      <w:pPr>
        <w:pStyle w:val="BodySans"/>
      </w:pPr>
      <w:r>
        <w:t xml:space="preserve">Psalm 100 pairs the same verb with </w:t>
      </w:r>
      <w:r>
        <w:rPr>
          <w:b/>
        </w:rPr>
        <w:t>joy</w:t>
      </w:r>
      <w:r>
        <w:t xml:space="preserve"> instead of fear: </w:t>
      </w:r>
      <w:r>
        <w:t>בְּשִׂמְחָה</w:t>
      </w:r>
      <w:r>
        <w:t xml:space="preserve"> / “in gladness.” Malbim notices the contrast and explains: with human rulers, service is anxious because you do not know whether you will be rewarded; with God, “the service itself is the reward,” hence joy.‏</w:t>
      </w:r>
    </w:p>
    <w:p w14:paraId="5AA989F7" w14:textId="77777777" w:rsidR="00AC66DA" w:rsidRDefault="00CC5C72">
      <w:pPr>
        <w:pStyle w:val="BodySans"/>
      </w:pPr>
      <w:r>
        <w:t>The second colon:</w:t>
      </w:r>
    </w:p>
    <w:p w14:paraId="351EC0FE" w14:textId="77777777" w:rsidR="00AC66DA" w:rsidRDefault="00CC5C72">
      <w:pPr>
        <w:pStyle w:val="BodySans"/>
        <w:ind w:left="720"/>
      </w:pPr>
      <w:r>
        <w:rPr>
          <w:i/>
        </w:rPr>
        <w:lastRenderedPageBreak/>
        <w:t>בֹּאוּ</w:t>
      </w:r>
      <w:r>
        <w:rPr>
          <w:i/>
        </w:rPr>
        <w:t xml:space="preserve"> </w:t>
      </w:r>
      <w:r>
        <w:rPr>
          <w:i/>
        </w:rPr>
        <w:t>לְפָנָיו</w:t>
      </w:r>
      <w:r>
        <w:rPr>
          <w:i/>
        </w:rPr>
        <w:t xml:space="preserve"> </w:t>
      </w:r>
      <w:r>
        <w:rPr>
          <w:i/>
        </w:rPr>
        <w:t>בִּרְנָנָה</w:t>
      </w:r>
    </w:p>
    <w:p w14:paraId="77DE9834" w14:textId="77777777" w:rsidR="00AC66DA" w:rsidRDefault="00CC5C72">
      <w:pPr>
        <w:pStyle w:val="BodySans"/>
        <w:ind w:left="720"/>
      </w:pPr>
      <w:r>
        <w:rPr>
          <w:i/>
        </w:rPr>
        <w:t>“Come before his face with ringing shouts”</w:t>
      </w:r>
    </w:p>
    <w:p w14:paraId="3181EB1E" w14:textId="77777777" w:rsidR="00AC66DA" w:rsidRDefault="00CC5C72">
      <w:pPr>
        <w:pStyle w:val="BodySans"/>
      </w:pPr>
      <w:r>
        <w:t xml:space="preserve">uses </w:t>
      </w:r>
      <w:r>
        <w:rPr>
          <w:b/>
        </w:rPr>
        <w:t>court language</w:t>
      </w:r>
      <w:r>
        <w:t xml:space="preserve">. To “stand before” someone </w:t>
      </w:r>
      <w:bdo w:val="ltr">
        <w:r>
          <w:t>(</w:t>
        </w:r>
        <w:r>
          <w:t>ינֵפְלִ</w:t>
        </w:r>
        <w:r>
          <w:t xml:space="preserve"> </w:t>
        </w:r>
        <w:r>
          <w:t>דמֹעֲלַ</w:t>
        </w:r>
        <w:r>
          <w:t>)</w:t>
        </w:r>
        <w:r>
          <w:t xml:space="preserve">‬ is to serve as a courtier or prophet (2 Kings 5:16: </w:t>
        </w:r>
        <w:r>
          <w:t>אֲשֶׁר־עָמַדְתִּי</w:t>
        </w:r>
        <w:r>
          <w:t xml:space="preserve"> </w:t>
        </w:r>
        <w:r>
          <w:t>לְפָנָיו</w:t>
        </w:r>
        <w:r>
          <w:t xml:space="preserve"> / “before whom I stand”). Verse 2 democratizes this: “all the earth” is invited to do what once only priests and prophets did—stand before the King.‏</w:t>
        </w:r>
      </w:bdo>
    </w:p>
    <w:p w14:paraId="6025AAD9" w14:textId="77777777" w:rsidR="00AC66DA" w:rsidRDefault="00CC5C72">
      <w:pPr>
        <w:pStyle w:val="BodySans"/>
      </w:pPr>
      <w:r>
        <w:t>So by the end of verse 2 we have a picture: the nations roar their allegiance and are welcomed into a royal audience chamber. But at this point it is still outward motion and outward noise.</w:t>
      </w:r>
    </w:p>
    <w:p w14:paraId="20183594" w14:textId="77777777" w:rsidR="00AC66DA" w:rsidRDefault="00CC5C72">
      <w:pPr>
        <w:pStyle w:val="BodySans"/>
      </w:pPr>
      <w:r>
        <w:t>The psalm now slams on the brakes.</w:t>
      </w:r>
    </w:p>
    <w:p w14:paraId="5BCC3413" w14:textId="77777777" w:rsidR="00AC66DA" w:rsidRDefault="00CC5C72">
      <w:pPr>
        <w:pStyle w:val="BodySans"/>
      </w:pPr>
      <w:r>
        <w:t>---</w:t>
      </w:r>
    </w:p>
    <w:p w14:paraId="43F6976A" w14:textId="77777777" w:rsidR="00AC66DA" w:rsidRDefault="00CC5C72">
      <w:pPr>
        <w:pStyle w:val="Heading4"/>
      </w:pPr>
      <w:r>
        <w:t xml:space="preserve">The theological hinge: </w:t>
      </w:r>
      <w:r>
        <w:t>דְּעוּ</w:t>
      </w:r>
      <w:r>
        <w:t>—“Know!” (v. 3)</w:t>
      </w:r>
    </w:p>
    <w:p w14:paraId="661BA788" w14:textId="77777777" w:rsidR="00AC66DA" w:rsidRDefault="00CC5C72">
      <w:pPr>
        <w:pStyle w:val="BodySans"/>
      </w:pPr>
      <w:r>
        <w:t>Verse 3 is the only line whose imperative is not something you can do with your body:</w:t>
      </w:r>
    </w:p>
    <w:p w14:paraId="4DF6E712" w14:textId="77777777" w:rsidR="00AC66DA" w:rsidRDefault="00CC5C72">
      <w:pPr>
        <w:pStyle w:val="BodySans"/>
        <w:ind w:left="720"/>
      </w:pPr>
      <w:r>
        <w:rPr>
          <w:i/>
        </w:rPr>
        <w:t>דְּעוּ</w:t>
      </w:r>
      <w:r>
        <w:rPr>
          <w:i/>
        </w:rPr>
        <w:t xml:space="preserve"> </w:t>
      </w:r>
      <w:r>
        <w:rPr>
          <w:i/>
        </w:rPr>
        <w:t>כִּי־ה׳</w:t>
      </w:r>
      <w:r>
        <w:rPr>
          <w:i/>
        </w:rPr>
        <w:t xml:space="preserve"> </w:t>
      </w:r>
      <w:r>
        <w:rPr>
          <w:i/>
        </w:rPr>
        <w:t>הוּא</w:t>
      </w:r>
      <w:r>
        <w:rPr>
          <w:i/>
        </w:rPr>
        <w:t xml:space="preserve"> </w:t>
      </w:r>
      <w:r>
        <w:rPr>
          <w:i/>
        </w:rPr>
        <w:t>אֱלֹקִים</w:t>
      </w:r>
    </w:p>
    <w:p w14:paraId="140B6F24" w14:textId="77777777" w:rsidR="00AC66DA" w:rsidRDefault="00CC5C72">
      <w:pPr>
        <w:pStyle w:val="BodySans"/>
        <w:ind w:left="720"/>
      </w:pPr>
      <w:r>
        <w:rPr>
          <w:i/>
        </w:rPr>
        <w:t>“Know that YHWH—he is God.”</w:t>
      </w:r>
    </w:p>
    <w:p w14:paraId="15B36424" w14:textId="77777777" w:rsidR="00AC66DA" w:rsidRDefault="00CC5C72">
      <w:pPr>
        <w:pStyle w:val="BodySans"/>
      </w:pPr>
      <w:r>
        <w:t>This is covenant language. Deuteronomy urges:</w:t>
      </w:r>
    </w:p>
    <w:p w14:paraId="1E156510" w14:textId="77777777" w:rsidR="00AC66DA" w:rsidRDefault="00CC5C72">
      <w:pPr>
        <w:pStyle w:val="BodySans"/>
        <w:ind w:left="720"/>
      </w:pPr>
      <w:r>
        <w:rPr>
          <w:i/>
        </w:rPr>
        <w:t>וְיָדַעְתָּ</w:t>
      </w:r>
      <w:r>
        <w:rPr>
          <w:i/>
        </w:rPr>
        <w:t xml:space="preserve"> </w:t>
      </w:r>
      <w:r>
        <w:rPr>
          <w:i/>
        </w:rPr>
        <w:t>הַיּוֹם</w:t>
      </w:r>
      <w:r>
        <w:rPr>
          <w:i/>
        </w:rPr>
        <w:t xml:space="preserve"> … </w:t>
      </w:r>
      <w:r>
        <w:rPr>
          <w:i/>
        </w:rPr>
        <w:t>כִּי</w:t>
      </w:r>
      <w:r>
        <w:rPr>
          <w:i/>
        </w:rPr>
        <w:t xml:space="preserve"> </w:t>
      </w:r>
      <w:r>
        <w:rPr>
          <w:i/>
        </w:rPr>
        <w:t>ה׳</w:t>
      </w:r>
      <w:r>
        <w:rPr>
          <w:i/>
        </w:rPr>
        <w:t xml:space="preserve"> </w:t>
      </w:r>
      <w:r>
        <w:rPr>
          <w:i/>
        </w:rPr>
        <w:t>הוּא</w:t>
      </w:r>
      <w:r>
        <w:rPr>
          <w:i/>
        </w:rPr>
        <w:t xml:space="preserve"> </w:t>
      </w:r>
      <w:r>
        <w:rPr>
          <w:i/>
        </w:rPr>
        <w:t>הָאֱלֹקִים</w:t>
      </w:r>
    </w:p>
    <w:p w14:paraId="35D2E231" w14:textId="77777777" w:rsidR="00AC66DA" w:rsidRDefault="00CC5C72">
      <w:pPr>
        <w:pStyle w:val="BodySans"/>
        <w:ind w:left="720"/>
      </w:pPr>
      <w:r>
        <w:rPr>
          <w:i/>
        </w:rPr>
        <w:t>“Know today … that YHWH, he is the God” (Deuteronomy 4:39).</w:t>
      </w:r>
    </w:p>
    <w:p w14:paraId="763C414C" w14:textId="77777777" w:rsidR="00AC66DA" w:rsidRDefault="00CC5C72">
      <w:pPr>
        <w:pStyle w:val="BodySans"/>
      </w:pPr>
      <w:r>
        <w:t>In other words: make a decision about who is actually running reality.</w:t>
      </w:r>
    </w:p>
    <w:p w14:paraId="00A1F61A" w14:textId="77777777" w:rsidR="00AC66DA" w:rsidRDefault="00CC5C72">
      <w:pPr>
        <w:pStyle w:val="BodySans"/>
      </w:pPr>
      <w:r>
        <w:t>Our psalm then unpacks that in four short clauses:</w:t>
      </w:r>
    </w:p>
    <w:p w14:paraId="606AEFBA" w14:textId="77777777" w:rsidR="00AC66DA" w:rsidRDefault="00CC5C72">
      <w:pPr>
        <w:pStyle w:val="BodySans"/>
      </w:pPr>
      <w:r>
        <w:t xml:space="preserve">1. </w:t>
      </w:r>
      <w:r>
        <w:rPr>
          <w:b/>
        </w:rPr>
        <w:t>Creator:</w:t>
      </w:r>
      <w:r>
        <w:t xml:space="preserve">  </w:t>
      </w:r>
    </w:p>
    <w:p w14:paraId="017B99D4" w14:textId="77777777" w:rsidR="00AC66DA" w:rsidRDefault="00CC5C72">
      <w:pPr>
        <w:pStyle w:val="BodySans"/>
      </w:pPr>
      <w:r>
        <w:t xml:space="preserve">   </w:t>
      </w:r>
      <w:r>
        <w:t>הוּא</w:t>
      </w:r>
      <w:r>
        <w:t xml:space="preserve"> </w:t>
      </w:r>
      <w:r>
        <w:t>עָשָׂנוּ</w:t>
      </w:r>
      <w:r>
        <w:t xml:space="preserve"> / “It is he who made us.”</w:t>
      </w:r>
    </w:p>
    <w:p w14:paraId="7DC8FE21" w14:textId="77777777" w:rsidR="00AC66DA" w:rsidRDefault="00CC5C72">
      <w:pPr>
        <w:pStyle w:val="BodySans"/>
      </w:pPr>
      <w:r>
        <w:t xml:space="preserve">2. </w:t>
      </w:r>
      <w:r>
        <w:rPr>
          <w:b/>
        </w:rPr>
        <w:t>Anti‑autonomy / belonging (textual double‑reading):</w:t>
      </w:r>
      <w:r>
        <w:t xml:space="preserve">  </w:t>
      </w:r>
    </w:p>
    <w:p w14:paraId="22CA26F6" w14:textId="77777777" w:rsidR="00AC66DA" w:rsidRDefault="00CC5C72">
      <w:pPr>
        <w:pStyle w:val="BodySans"/>
      </w:pPr>
      <w:r>
        <w:t xml:space="preserve">   The consonants read </w:t>
      </w:r>
      <w:r>
        <w:t>וְלֹא</w:t>
      </w:r>
      <w:r>
        <w:t xml:space="preserve"> </w:t>
      </w:r>
      <w:r>
        <w:t>אֲנַחְנוּ</w:t>
      </w:r>
      <w:r>
        <w:t xml:space="preserve"> (</w:t>
      </w:r>
      <w:r>
        <w:rPr>
          <w:i/>
        </w:rPr>
        <w:t>ve‑lo’ anachnu</w:t>
      </w:r>
      <w:r>
        <w:t xml:space="preserve">)—“and </w:t>
      </w:r>
      <w:r>
        <w:rPr>
          <w:b/>
        </w:rPr>
        <w:t>not</w:t>
      </w:r>
      <w:r>
        <w:t xml:space="preserve"> we [ourselves].” This denies the fantasy of self‑creation; Pharaoh says in Ezekiel 29:3, “My Nile is mine, </w:t>
      </w:r>
      <w:r>
        <w:rPr>
          <w:b/>
        </w:rPr>
        <w:t>I made myself</w:t>
      </w:r>
      <w:r>
        <w:t xml:space="preserve">” </w:t>
      </w:r>
      <w:bdo w:val="ltr">
        <w:r>
          <w:t>(</w:t>
        </w:r>
        <w:r>
          <w:t>ינִתִישִׂעֲ</w:t>
        </w:r>
        <w:r>
          <w:t xml:space="preserve"> </w:t>
        </w:r>
        <w:r>
          <w:t>ינִאֲוַ</w:t>
        </w:r>
        <w:r>
          <w:t xml:space="preserve"> </w:t>
        </w:r>
        <w:r>
          <w:t>ירִאֹיְ</w:t>
        </w:r>
        <w:r>
          <w:t xml:space="preserve"> </w:t>
        </w:r>
        <w:r>
          <w:t>ילִ</w:t>
        </w:r>
        <w:r>
          <w:t>)</w:t>
        </w:r>
        <w:r>
          <w:t xml:space="preserve">‬, and Psalm 100 quietly answers: actually, no.  </w:t>
        </w:r>
      </w:bdo>
    </w:p>
    <w:p w14:paraId="40456AD5" w14:textId="77777777" w:rsidR="00AC66DA" w:rsidRDefault="00CC5C72">
      <w:pPr>
        <w:pStyle w:val="BodySans"/>
      </w:pPr>
      <w:r>
        <w:t xml:space="preserve">   The traditional </w:t>
      </w:r>
      <w:r>
        <w:rPr>
          <w:b/>
        </w:rPr>
        <w:t>qere</w:t>
      </w:r>
      <w:r>
        <w:t xml:space="preserve"> (the way the text is read aloud) vocalizes the same consonants as </w:t>
      </w:r>
      <w:r>
        <w:t>וְלוֹ</w:t>
      </w:r>
      <w:r>
        <w:t xml:space="preserve"> </w:t>
      </w:r>
      <w:r>
        <w:t>אֲנַחְנוּ</w:t>
      </w:r>
      <w:r>
        <w:t xml:space="preserve"> (</w:t>
      </w:r>
      <w:r>
        <w:rPr>
          <w:i/>
        </w:rPr>
        <w:t>ve‑lo anachnu</w:t>
      </w:r>
      <w:r>
        <w:t xml:space="preserve">): “and </w:t>
      </w:r>
      <w:r>
        <w:rPr>
          <w:b/>
        </w:rPr>
        <w:t>we are his</w:t>
      </w:r>
      <w:r>
        <w:t xml:space="preserve">.” That affirms positive belonging. The Masoretes </w:t>
      </w:r>
      <w:r>
        <w:lastRenderedPageBreak/>
        <w:t xml:space="preserve">kept both because they sound the same and both are true: we did </w:t>
      </w:r>
      <w:r>
        <w:rPr>
          <w:b/>
        </w:rPr>
        <w:t>not</w:t>
      </w:r>
      <w:r>
        <w:t xml:space="preserve"> make ourselves; we </w:t>
      </w:r>
      <w:r>
        <w:rPr>
          <w:b/>
        </w:rPr>
        <w:t>do</w:t>
      </w:r>
      <w:r>
        <w:t xml:space="preserve"> belong to him.</w:t>
      </w:r>
    </w:p>
    <w:p w14:paraId="42204173" w14:textId="77777777" w:rsidR="00AC66DA" w:rsidRDefault="00CC5C72">
      <w:pPr>
        <w:pStyle w:val="BodySans"/>
      </w:pPr>
      <w:r>
        <w:t xml:space="preserve">3. </w:t>
      </w:r>
      <w:r>
        <w:rPr>
          <w:b/>
        </w:rPr>
        <w:t>Covenant people:</w:t>
      </w:r>
      <w:r>
        <w:t xml:space="preserve">  </w:t>
      </w:r>
    </w:p>
    <w:p w14:paraId="6A7BAAF9" w14:textId="77777777" w:rsidR="00AC66DA" w:rsidRDefault="00CC5C72">
      <w:pPr>
        <w:pStyle w:val="BodySans"/>
      </w:pPr>
      <w:r>
        <w:t xml:space="preserve">   </w:t>
      </w:r>
      <w:r>
        <w:t>עַמּוֹ</w:t>
      </w:r>
      <w:r>
        <w:t xml:space="preserve"> / “his people.”</w:t>
      </w:r>
    </w:p>
    <w:p w14:paraId="255AF643" w14:textId="77777777" w:rsidR="00AC66DA" w:rsidRDefault="00CC5C72">
      <w:pPr>
        <w:pStyle w:val="BodySans"/>
      </w:pPr>
      <w:r>
        <w:t xml:space="preserve">4. </w:t>
      </w:r>
      <w:r>
        <w:rPr>
          <w:b/>
        </w:rPr>
        <w:t>Shepherded flock:</w:t>
      </w:r>
      <w:r>
        <w:t xml:space="preserve">  </w:t>
      </w:r>
    </w:p>
    <w:p w14:paraId="2DA64015" w14:textId="77777777" w:rsidR="00AC66DA" w:rsidRDefault="00CC5C72">
      <w:pPr>
        <w:pStyle w:val="BodySans"/>
      </w:pPr>
      <w:r>
        <w:t xml:space="preserve">   </w:t>
      </w:r>
      <w:r>
        <w:t>וְצֹאן</w:t>
      </w:r>
      <w:r>
        <w:t xml:space="preserve"> </w:t>
      </w:r>
      <w:r>
        <w:t>מַרְעִיתוֹ</w:t>
      </w:r>
      <w:r>
        <w:t xml:space="preserve"> / “and the sheep of his pasture.”</w:t>
      </w:r>
    </w:p>
    <w:p w14:paraId="5DF53401" w14:textId="77777777" w:rsidR="00AC66DA" w:rsidRDefault="00CC5C72">
      <w:pPr>
        <w:pStyle w:val="BodySans"/>
      </w:pPr>
      <w:r>
        <w:t xml:space="preserve">Notice how the grammar piles on possessive suffixes: “his” people, “his” pasture. From now on almost every important noun in the psalm will carry a </w:t>
      </w:r>
      <w:r>
        <w:rPr>
          <w:b/>
        </w:rPr>
        <w:t>־וֹ</w:t>
      </w:r>
      <w:r>
        <w:t xml:space="preserve"> / “his.”</w:t>
      </w:r>
    </w:p>
    <w:p w14:paraId="22D8E40E" w14:textId="77777777" w:rsidR="00AC66DA" w:rsidRDefault="00CC5C72">
      <w:pPr>
        <w:pStyle w:val="BodySans"/>
      </w:pPr>
      <w:r>
        <w:t>This verse also quietly echoes Psalm 95:7:</w:t>
      </w:r>
    </w:p>
    <w:p w14:paraId="75B1B0D1" w14:textId="77777777" w:rsidR="00AC66DA" w:rsidRDefault="00CC5C72">
      <w:pPr>
        <w:pStyle w:val="BodySans"/>
        <w:ind w:left="720"/>
      </w:pPr>
      <w:r>
        <w:rPr>
          <w:i/>
        </w:rPr>
        <w:t>כִּי</w:t>
      </w:r>
      <w:r>
        <w:rPr>
          <w:i/>
        </w:rPr>
        <w:t xml:space="preserve"> </w:t>
      </w:r>
      <w:r>
        <w:rPr>
          <w:i/>
        </w:rPr>
        <w:t>הוּא</w:t>
      </w:r>
      <w:r>
        <w:rPr>
          <w:i/>
        </w:rPr>
        <w:t xml:space="preserve"> </w:t>
      </w:r>
      <w:r>
        <w:rPr>
          <w:i/>
        </w:rPr>
        <w:t>אֱלֹקֵינוּ</w:t>
      </w:r>
    </w:p>
    <w:p w14:paraId="3CD949EC" w14:textId="77777777" w:rsidR="00AC66DA" w:rsidRDefault="00CC5C72">
      <w:pPr>
        <w:pStyle w:val="BodySans"/>
        <w:ind w:left="720"/>
      </w:pPr>
      <w:r>
        <w:rPr>
          <w:i/>
        </w:rPr>
        <w:t>וַאֲנַחְנוּ</w:t>
      </w:r>
      <w:r>
        <w:rPr>
          <w:i/>
        </w:rPr>
        <w:t xml:space="preserve"> </w:t>
      </w:r>
      <w:r>
        <w:rPr>
          <w:i/>
        </w:rPr>
        <w:t>עַם</w:t>
      </w:r>
      <w:r>
        <w:rPr>
          <w:i/>
        </w:rPr>
        <w:t xml:space="preserve"> </w:t>
      </w:r>
      <w:r>
        <w:rPr>
          <w:i/>
        </w:rPr>
        <w:t>מַרְעִיתוֹ</w:t>
      </w:r>
      <w:r>
        <w:rPr>
          <w:i/>
        </w:rPr>
        <w:t xml:space="preserve"> </w:t>
      </w:r>
      <w:r>
        <w:rPr>
          <w:i/>
        </w:rPr>
        <w:t>וְצֹאן</w:t>
      </w:r>
      <w:r>
        <w:rPr>
          <w:i/>
        </w:rPr>
        <w:t xml:space="preserve"> </w:t>
      </w:r>
      <w:r>
        <w:rPr>
          <w:i/>
        </w:rPr>
        <w:t>יָדוֹ</w:t>
      </w:r>
    </w:p>
    <w:p w14:paraId="76F5B048" w14:textId="77777777" w:rsidR="00AC66DA" w:rsidRDefault="00CC5C72">
      <w:pPr>
        <w:pStyle w:val="BodySans"/>
        <w:ind w:left="720"/>
      </w:pPr>
      <w:r>
        <w:rPr>
          <w:i/>
        </w:rPr>
        <w:t>“For he is our God, and we are the people of his pasture and the sheep of his hand.”</w:t>
      </w:r>
    </w:p>
    <w:p w14:paraId="4A78BA49" w14:textId="77777777" w:rsidR="00AC66DA" w:rsidRDefault="00CC5C72">
      <w:pPr>
        <w:pStyle w:val="BodySans"/>
      </w:pPr>
      <w:r>
        <w:t xml:space="preserve">Psalm 95 goes on immediately to warn: “Today, if you hear his voice, do not harden your hearts” (Psalm 95:7–8). Shepherding there is </w:t>
      </w:r>
      <w:r>
        <w:rPr>
          <w:b/>
        </w:rPr>
        <w:t>conditional</w:t>
      </w:r>
      <w:r>
        <w:t xml:space="preserve">: if you listen. Psalm 100 </w:t>
      </w:r>
      <w:r>
        <w:rPr>
          <w:b/>
        </w:rPr>
        <w:t>reworks</w:t>
      </w:r>
      <w:r>
        <w:t xml:space="preserve"> the formula into:</w:t>
      </w:r>
    </w:p>
    <w:p w14:paraId="148F4D60" w14:textId="77777777" w:rsidR="00AC66DA" w:rsidRDefault="00CC5C72">
      <w:pPr>
        <w:pStyle w:val="BodySans"/>
        <w:ind w:left="720"/>
      </w:pPr>
      <w:r>
        <w:rPr>
          <w:i/>
        </w:rPr>
        <w:t>עַמּוֹ</w:t>
      </w:r>
      <w:r>
        <w:rPr>
          <w:i/>
        </w:rPr>
        <w:t xml:space="preserve"> </w:t>
      </w:r>
      <w:r>
        <w:rPr>
          <w:i/>
        </w:rPr>
        <w:t>וְצֹאן</w:t>
      </w:r>
      <w:r>
        <w:rPr>
          <w:i/>
        </w:rPr>
        <w:t xml:space="preserve"> </w:t>
      </w:r>
      <w:r>
        <w:rPr>
          <w:i/>
        </w:rPr>
        <w:t>מַרְעִיתוֹ</w:t>
      </w:r>
    </w:p>
    <w:p w14:paraId="589820F5" w14:textId="77777777" w:rsidR="00AC66DA" w:rsidRDefault="00CC5C72">
      <w:pPr>
        <w:pStyle w:val="BodySans"/>
        <w:ind w:left="720"/>
      </w:pPr>
      <w:r>
        <w:rPr>
          <w:i/>
        </w:rPr>
        <w:t>“his people and the sheep of his pasture”</w:t>
      </w:r>
    </w:p>
    <w:p w14:paraId="5F3542F9" w14:textId="77777777" w:rsidR="00AC66DA" w:rsidRDefault="00CC5C72">
      <w:pPr>
        <w:pStyle w:val="BodySans"/>
      </w:pPr>
      <w:r>
        <w:t xml:space="preserve">and then offers </w:t>
      </w:r>
      <w:r>
        <w:rPr>
          <w:b/>
        </w:rPr>
        <w:t>no warning at all</w:t>
      </w:r>
      <w:r>
        <w:t>, only praise. As the capstone to the kingship psalms, Psalm 100 takes the earlier shepherd image and shows it in its most generous light: we are sheep already in the pasture he made.</w:t>
      </w:r>
    </w:p>
    <w:p w14:paraId="195740D9" w14:textId="77777777" w:rsidR="00AC66DA" w:rsidRDefault="00CC5C72">
      <w:pPr>
        <w:pStyle w:val="BodySans"/>
      </w:pPr>
      <w:r>
        <w:t>So “Know!” is not asking for abstract theology. It is asking you to accept a specific identity: created, not self‑made; possessed; tended.</w:t>
      </w:r>
    </w:p>
    <w:p w14:paraId="435F7802" w14:textId="77777777" w:rsidR="00AC66DA" w:rsidRDefault="00CC5C72">
      <w:pPr>
        <w:pStyle w:val="BodySans"/>
      </w:pPr>
      <w:r>
        <w:t>---</w:t>
      </w:r>
    </w:p>
    <w:p w14:paraId="408BC0E3" w14:textId="77777777" w:rsidR="00AC66DA" w:rsidRDefault="00CC5C72">
      <w:pPr>
        <w:pStyle w:val="Heading4"/>
      </w:pPr>
      <w:r>
        <w:t>Inside the gates: thanksgiving as the password (vv. 4–5)</w:t>
      </w:r>
    </w:p>
    <w:p w14:paraId="4C73AE57" w14:textId="77777777" w:rsidR="00AC66DA" w:rsidRDefault="00CC5C72">
      <w:pPr>
        <w:pStyle w:val="BodySans"/>
      </w:pPr>
      <w:r>
        <w:t>Once that identity is named, the movement resumes:</w:t>
      </w:r>
    </w:p>
    <w:p w14:paraId="0CF40C56" w14:textId="77777777" w:rsidR="00AC66DA" w:rsidRDefault="00CC5C72">
      <w:pPr>
        <w:pStyle w:val="BodySans"/>
        <w:ind w:left="720"/>
      </w:pPr>
      <w:r>
        <w:rPr>
          <w:i/>
        </w:rPr>
        <w:t>בֹּאוּ</w:t>
      </w:r>
      <w:r>
        <w:rPr>
          <w:i/>
        </w:rPr>
        <w:t xml:space="preserve"> </w:t>
      </w:r>
      <w:r>
        <w:rPr>
          <w:i/>
        </w:rPr>
        <w:t>שְׁעָרָיו</w:t>
      </w:r>
      <w:r>
        <w:rPr>
          <w:i/>
        </w:rPr>
        <w:t xml:space="preserve"> </w:t>
      </w:r>
      <w:r>
        <w:rPr>
          <w:i/>
        </w:rPr>
        <w:t>בְּתוֹדָה</w:t>
      </w:r>
    </w:p>
    <w:p w14:paraId="0989F2B9" w14:textId="77777777" w:rsidR="00AC66DA" w:rsidRDefault="00CC5C72">
      <w:pPr>
        <w:pStyle w:val="BodySans"/>
        <w:ind w:left="720"/>
      </w:pPr>
      <w:r>
        <w:rPr>
          <w:i/>
        </w:rPr>
        <w:t>“Enter his gates with thanksgiving” (v.4).</w:t>
      </w:r>
    </w:p>
    <w:p w14:paraId="0C314E85" w14:textId="77777777" w:rsidR="00AC66DA" w:rsidRDefault="00CC5C72">
      <w:pPr>
        <w:pStyle w:val="BodySans"/>
      </w:pPr>
      <w:r>
        <w:t xml:space="preserve">Here the title of the psalm, </w:t>
      </w:r>
      <w:r>
        <w:t>מִזְמוֹר</w:t>
      </w:r>
      <w:r>
        <w:t xml:space="preserve"> </w:t>
      </w:r>
      <w:r>
        <w:t>לְתוֹדָה</w:t>
      </w:r>
      <w:r>
        <w:t xml:space="preserve"> / “a psalm for thanksgiving,” returns inside the poem. </w:t>
      </w:r>
      <w:r>
        <w:t>תּוֹדָה</w:t>
      </w:r>
      <w:r>
        <w:t xml:space="preserve"> (</w:t>
      </w:r>
      <w:r>
        <w:rPr>
          <w:i/>
        </w:rPr>
        <w:t>todah</w:t>
      </w:r>
      <w:r>
        <w:t xml:space="preserve">) itself is double‑edged: it can mean </w:t>
      </w:r>
      <w:r>
        <w:rPr>
          <w:b/>
        </w:rPr>
        <w:t>“thanksgiving”</w:t>
      </w:r>
      <w:r>
        <w:t xml:space="preserve"> in general, and also </w:t>
      </w:r>
      <w:r>
        <w:lastRenderedPageBreak/>
        <w:t xml:space="preserve">the specific </w:t>
      </w:r>
      <w:r>
        <w:rPr>
          <w:b/>
        </w:rPr>
        <w:t>“thank‑offering”</w:t>
      </w:r>
      <w:r>
        <w:t xml:space="preserve"> of Leviticus 7:12–15. That sacrifice had to be eaten the same day and came with forty loaves of bread—too much for one family—forcing you to invite others to your meal. A private rescue from danger became a </w:t>
      </w:r>
      <w:r>
        <w:rPr>
          <w:b/>
        </w:rPr>
        <w:t>public feast</w:t>
      </w:r>
      <w:r>
        <w:t xml:space="preserve">. Many medieval commentators therefore read the title as instruction: this is the song the worshipper </w:t>
      </w:r>
      <w:r>
        <w:t>recites “over thanksgiving offerings” (Rashi).</w:t>
      </w:r>
    </w:p>
    <w:p w14:paraId="5A9DF757" w14:textId="77777777" w:rsidR="00AC66DA" w:rsidRDefault="00CC5C72">
      <w:pPr>
        <w:pStyle w:val="BodySans"/>
      </w:pPr>
      <w:r>
        <w:t xml:space="preserve">Now the psalm enacts that. The very act of </w:t>
      </w:r>
      <w:r>
        <w:rPr>
          <w:b/>
        </w:rPr>
        <w:t>entering</w:t>
      </w:r>
      <w:r>
        <w:t xml:space="preserve"> is labelled “todah.” The parallel colon:</w:t>
      </w:r>
    </w:p>
    <w:p w14:paraId="7926B931" w14:textId="77777777" w:rsidR="00AC66DA" w:rsidRDefault="00CC5C72">
      <w:pPr>
        <w:pStyle w:val="BodySans"/>
        <w:ind w:left="720"/>
      </w:pPr>
      <w:r>
        <w:rPr>
          <w:i/>
        </w:rPr>
        <w:t>חֲצֵרֹתָיו</w:t>
      </w:r>
      <w:r>
        <w:rPr>
          <w:i/>
        </w:rPr>
        <w:t xml:space="preserve"> </w:t>
      </w:r>
      <w:r>
        <w:rPr>
          <w:i/>
        </w:rPr>
        <w:t>בִּתְהִלָּה</w:t>
      </w:r>
    </w:p>
    <w:p w14:paraId="5D9B7EEA" w14:textId="77777777" w:rsidR="00AC66DA" w:rsidRDefault="00CC5C72">
      <w:pPr>
        <w:pStyle w:val="BodySans"/>
        <w:ind w:left="720"/>
      </w:pPr>
      <w:r>
        <w:rPr>
          <w:i/>
        </w:rPr>
        <w:t>“his courts with praise (tehillah)”</w:t>
      </w:r>
    </w:p>
    <w:p w14:paraId="3160C96D" w14:textId="77777777" w:rsidR="00AC66DA" w:rsidRDefault="00CC5C72">
      <w:pPr>
        <w:pStyle w:val="BodySans"/>
      </w:pPr>
      <w:r>
        <w:t xml:space="preserve">uses the singular of the word that names the whole book: </w:t>
      </w:r>
      <w:r>
        <w:t>תְּהִלִּים</w:t>
      </w:r>
      <w:r>
        <w:t xml:space="preserve"> / “Psalms.” This one poem contains in miniature what the entire collection does.‏</w:t>
      </w:r>
    </w:p>
    <w:p w14:paraId="691C1C15" w14:textId="77777777" w:rsidR="00AC66DA" w:rsidRDefault="00CC5C72">
      <w:pPr>
        <w:pStyle w:val="BodySans"/>
      </w:pPr>
      <w:r>
        <w:t>The verse then fires its last two imperatives in a short, breathless line:</w:t>
      </w:r>
    </w:p>
    <w:p w14:paraId="766E4863" w14:textId="77777777" w:rsidR="00AC66DA" w:rsidRDefault="00CC5C72">
      <w:pPr>
        <w:pStyle w:val="BodySans"/>
        <w:ind w:left="720"/>
      </w:pPr>
      <w:r>
        <w:rPr>
          <w:i/>
        </w:rPr>
        <w:t>הוֹדוּ</w:t>
      </w:r>
      <w:r>
        <w:rPr>
          <w:i/>
        </w:rPr>
        <w:t xml:space="preserve"> </w:t>
      </w:r>
      <w:r>
        <w:rPr>
          <w:i/>
        </w:rPr>
        <w:t>לוֹ</w:t>
      </w:r>
      <w:r>
        <w:rPr>
          <w:i/>
        </w:rPr>
        <w:t xml:space="preserve"> </w:t>
      </w:r>
      <w:r>
        <w:rPr>
          <w:i/>
        </w:rPr>
        <w:t>בָּרְכוּ</w:t>
      </w:r>
      <w:r>
        <w:rPr>
          <w:i/>
        </w:rPr>
        <w:t xml:space="preserve"> </w:t>
      </w:r>
      <w:r>
        <w:rPr>
          <w:i/>
        </w:rPr>
        <w:t>שְׁמוֹ</w:t>
      </w:r>
    </w:p>
    <w:p w14:paraId="7FDBFA58" w14:textId="77777777" w:rsidR="00AC66DA" w:rsidRDefault="00CC5C72">
      <w:pPr>
        <w:pStyle w:val="BodySans"/>
        <w:ind w:left="720"/>
      </w:pPr>
      <w:r>
        <w:rPr>
          <w:i/>
        </w:rPr>
        <w:t>“Give thanks to him, bless his name.”</w:t>
      </w:r>
    </w:p>
    <w:p w14:paraId="351FEFE4" w14:textId="77777777" w:rsidR="00AC66DA" w:rsidRDefault="00CC5C72">
      <w:pPr>
        <w:pStyle w:val="BodySans"/>
      </w:pPr>
      <w:r>
        <w:t xml:space="preserve">Both verbs are royal: </w:t>
      </w:r>
      <w:r>
        <w:rPr>
          <w:b/>
        </w:rPr>
        <w:t>to “bless the name”</w:t>
      </w:r>
      <w:r>
        <w:t xml:space="preserve"> of a king is to publicly enhance his reputation, to keep his name from being “wiped out” (compare Deuteronomy 29:19: </w:t>
      </w:r>
      <w:r>
        <w:t>וּמָחָה</w:t>
      </w:r>
      <w:r>
        <w:t xml:space="preserve"> </w:t>
      </w:r>
      <w:r>
        <w:t>ה׳</w:t>
      </w:r>
      <w:r>
        <w:t xml:space="preserve"> </w:t>
      </w:r>
      <w:r>
        <w:t>אֶת־שְׁמוֹ</w:t>
      </w:r>
      <w:r>
        <w:t xml:space="preserve"> / “YHWH will blot out his name”).‏</w:t>
      </w:r>
    </w:p>
    <w:p w14:paraId="2542C34A" w14:textId="77777777" w:rsidR="00AC66DA" w:rsidRDefault="00CC5C72">
      <w:pPr>
        <w:pStyle w:val="BodySans"/>
      </w:pPr>
      <w:r>
        <w:t>At this point the psalm could end. Instead it removes all human commands and ends with a theological statement:</w:t>
      </w:r>
    </w:p>
    <w:p w14:paraId="0D4AAFF9" w14:textId="77777777" w:rsidR="00AC66DA" w:rsidRDefault="00CC5C72">
      <w:pPr>
        <w:pStyle w:val="BodySans"/>
        <w:ind w:left="720"/>
      </w:pPr>
      <w:r>
        <w:rPr>
          <w:i/>
        </w:rPr>
        <w:t>כִּי־טוֹב</w:t>
      </w:r>
      <w:r>
        <w:rPr>
          <w:i/>
        </w:rPr>
        <w:t xml:space="preserve"> </w:t>
      </w:r>
      <w:r>
        <w:rPr>
          <w:i/>
        </w:rPr>
        <w:t>ה׳</w:t>
      </w:r>
    </w:p>
    <w:p w14:paraId="054D9EE1" w14:textId="77777777" w:rsidR="00AC66DA" w:rsidRDefault="00CC5C72">
      <w:pPr>
        <w:pStyle w:val="BodySans"/>
        <w:ind w:left="720"/>
      </w:pPr>
      <w:r>
        <w:rPr>
          <w:i/>
        </w:rPr>
        <w:t>“For YHWH is good,”</w:t>
      </w:r>
    </w:p>
    <w:p w14:paraId="0DD4D2CA" w14:textId="77777777" w:rsidR="00AC66DA" w:rsidRDefault="00CC5C72">
      <w:pPr>
        <w:pStyle w:val="BodySans"/>
        <w:ind w:left="720"/>
      </w:pPr>
      <w:r>
        <w:rPr>
          <w:i/>
        </w:rPr>
        <w:t>לְעוֹלָם</w:t>
      </w:r>
      <w:r>
        <w:rPr>
          <w:i/>
        </w:rPr>
        <w:t xml:space="preserve"> </w:t>
      </w:r>
      <w:r>
        <w:rPr>
          <w:i/>
        </w:rPr>
        <w:t>חַסְדּוֹ</w:t>
      </w:r>
    </w:p>
    <w:p w14:paraId="38A759F0" w14:textId="77777777" w:rsidR="00AC66DA" w:rsidRDefault="00CC5C72">
      <w:pPr>
        <w:pStyle w:val="BodySans"/>
        <w:ind w:left="720"/>
      </w:pPr>
      <w:r>
        <w:rPr>
          <w:i/>
        </w:rPr>
        <w:t xml:space="preserve">“his covenantal love </w:t>
      </w:r>
      <w:bdo w:val="ltr">
        <w:r>
          <w:rPr>
            <w:i/>
          </w:rPr>
          <w:t>(</w:t>
        </w:r>
        <w:r>
          <w:rPr>
            <w:i/>
          </w:rPr>
          <w:t>דסֶחֶ</w:t>
        </w:r>
        <w:r>
          <w:rPr>
            <w:i/>
          </w:rPr>
          <w:t>)</w:t>
        </w:r>
        <w:r>
          <w:rPr>
            <w:i/>
          </w:rPr>
          <w:t>‬ is forever,”</w:t>
        </w:r>
      </w:bdo>
    </w:p>
    <w:p w14:paraId="07321BC4" w14:textId="77777777" w:rsidR="00AC66DA" w:rsidRDefault="00CC5C72">
      <w:pPr>
        <w:pStyle w:val="BodySans"/>
        <w:ind w:left="720"/>
      </w:pPr>
      <w:r>
        <w:rPr>
          <w:i/>
        </w:rPr>
        <w:t>וְעַד־דֹּר</w:t>
      </w:r>
      <w:r>
        <w:rPr>
          <w:i/>
        </w:rPr>
        <w:t xml:space="preserve"> </w:t>
      </w:r>
      <w:r>
        <w:rPr>
          <w:i/>
        </w:rPr>
        <w:t>וָדֹר</w:t>
      </w:r>
      <w:r>
        <w:rPr>
          <w:i/>
        </w:rPr>
        <w:t xml:space="preserve"> </w:t>
      </w:r>
      <w:r>
        <w:rPr>
          <w:i/>
        </w:rPr>
        <w:t>אֱמוּנָתוֹ</w:t>
      </w:r>
    </w:p>
    <w:p w14:paraId="285FDDEF" w14:textId="77777777" w:rsidR="00AC66DA" w:rsidRDefault="00CC5C72">
      <w:pPr>
        <w:pStyle w:val="BodySans"/>
        <w:ind w:left="720"/>
      </w:pPr>
      <w:r>
        <w:rPr>
          <w:i/>
        </w:rPr>
        <w:t xml:space="preserve">“and to generation after generation, his faithfulness </w:t>
      </w:r>
      <w:bdo w:val="ltr">
        <w:r>
          <w:rPr>
            <w:i/>
          </w:rPr>
          <w:t>(</w:t>
        </w:r>
        <w:r>
          <w:rPr>
            <w:i/>
          </w:rPr>
          <w:t>הנָוּמאֱ</w:t>
        </w:r>
        <w:r>
          <w:rPr>
            <w:i/>
          </w:rPr>
          <w:t>)</w:t>
        </w:r>
        <w:r>
          <w:rPr>
            <w:i/>
          </w:rPr>
          <w:t>‬.”</w:t>
        </w:r>
      </w:bdo>
    </w:p>
    <w:p w14:paraId="00D1E85A" w14:textId="77777777" w:rsidR="00AC66DA" w:rsidRDefault="00CC5C72">
      <w:pPr>
        <w:pStyle w:val="BodySans"/>
      </w:pPr>
      <w:r>
        <w:t>This is a compressed version of the classic creed in Exodus 34:6–7, where God is “compassionate and gracious, slow to anger, abounding in loyalty and faithfulness, keeping loyalty for thousands, forgiving iniquity… and by no means clearing the guilty.” Psalm 100 chooses three pieces—</w:t>
      </w:r>
      <w:r>
        <w:t>טוֹב</w:t>
      </w:r>
      <w:r>
        <w:t xml:space="preserve"> / “good,” </w:t>
      </w:r>
      <w:r>
        <w:t>חֶסֶד</w:t>
      </w:r>
      <w:r>
        <w:t xml:space="preserve"> / “steadfast love,” </w:t>
      </w:r>
      <w:r>
        <w:t>אֱמוּנָה</w:t>
      </w:r>
      <w:r>
        <w:t xml:space="preserve"> / “faithfulness”—and silently leaves behind anger and punishment. We are hearing the creed from the far side of judgment: once forgiveness has done its work, what remains permanently visible is goodness, love, reliability.‏</w:t>
      </w:r>
    </w:p>
    <w:p w14:paraId="0FCB85F6" w14:textId="77777777" w:rsidR="00AC66DA" w:rsidRDefault="00CC5C72">
      <w:pPr>
        <w:pStyle w:val="BodySans"/>
      </w:pPr>
      <w:r>
        <w:lastRenderedPageBreak/>
        <w:t xml:space="preserve">The very last word, </w:t>
      </w:r>
      <w:r>
        <w:t>אֱמוּנָתוֹ</w:t>
      </w:r>
      <w:r>
        <w:t xml:space="preserve"> / “his faithfulness,” matters. The psalm does not end on </w:t>
      </w:r>
      <w:r>
        <w:rPr>
          <w:b/>
        </w:rPr>
        <w:t>our</w:t>
      </w:r>
      <w:r>
        <w:t xml:space="preserve"> praise but on </w:t>
      </w:r>
      <w:r>
        <w:rPr>
          <w:b/>
        </w:rPr>
        <w:t>his</w:t>
      </w:r>
      <w:r>
        <w:t xml:space="preserve"> reliability. The worshipper walks out of the courts with that word echoing: whatever changes from generation to generation, that does not.</w:t>
      </w:r>
    </w:p>
    <w:p w14:paraId="0DDEE9DD" w14:textId="77777777" w:rsidR="00AC66DA" w:rsidRDefault="00CC5C72">
      <w:pPr>
        <w:pStyle w:val="BodySans"/>
      </w:pPr>
      <w:r>
        <w:t>---</w:t>
      </w:r>
    </w:p>
    <w:p w14:paraId="3BBE8ACE" w14:textId="77777777" w:rsidR="00AC66DA" w:rsidRDefault="00CC5C72">
      <w:pPr>
        <w:pStyle w:val="Heading4"/>
      </w:pPr>
      <w:r>
        <w:t>Seven imperatives and a world that belongs to “him”</w:t>
      </w:r>
    </w:p>
    <w:p w14:paraId="17DFD5EB" w14:textId="77777777" w:rsidR="00AC66DA" w:rsidRDefault="00CC5C72">
      <w:pPr>
        <w:pStyle w:val="BodySans"/>
      </w:pPr>
      <w:r>
        <w:t>Count the commands:</w:t>
      </w:r>
    </w:p>
    <w:p w14:paraId="011E68B3" w14:textId="77777777" w:rsidR="00AC66DA" w:rsidRDefault="00CC5C72">
      <w:pPr>
        <w:pStyle w:val="ListBullet"/>
      </w:pPr>
      <w:r>
        <w:rPr>
          <w:rFonts w:ascii="Aptos" w:hAnsi="Aptos"/>
        </w:rPr>
        <w:t xml:space="preserve">vv.1–2: </w:t>
      </w:r>
      <w:r>
        <w:rPr>
          <w:rFonts w:ascii="Aptos" w:hAnsi="Aptos"/>
        </w:rPr>
        <w:t>הָרִיעוּ</w:t>
      </w:r>
      <w:r>
        <w:rPr>
          <w:rFonts w:ascii="Aptos" w:hAnsi="Aptos"/>
        </w:rPr>
        <w:t xml:space="preserve"> / “shout,” </w:t>
      </w:r>
      <w:r>
        <w:rPr>
          <w:rFonts w:ascii="Aptos" w:hAnsi="Aptos"/>
        </w:rPr>
        <w:t>עִבְדוּ</w:t>
      </w:r>
      <w:r>
        <w:rPr>
          <w:rFonts w:ascii="Aptos" w:hAnsi="Aptos"/>
        </w:rPr>
        <w:t xml:space="preserve"> / “serve,” </w:t>
      </w:r>
      <w:r>
        <w:rPr>
          <w:rFonts w:ascii="Aptos" w:hAnsi="Aptos"/>
        </w:rPr>
        <w:t>בֹּאוּ</w:t>
      </w:r>
      <w:r>
        <w:rPr>
          <w:rFonts w:ascii="Aptos" w:hAnsi="Aptos"/>
        </w:rPr>
        <w:t xml:space="preserve"> / “come.”</w:t>
      </w:r>
    </w:p>
    <w:p w14:paraId="06A343B8" w14:textId="77777777" w:rsidR="00AC66DA" w:rsidRDefault="00CC5C72">
      <w:pPr>
        <w:pStyle w:val="ListBullet"/>
      </w:pPr>
      <w:r>
        <w:rPr>
          <w:rFonts w:ascii="Aptos" w:hAnsi="Aptos"/>
        </w:rPr>
        <w:t xml:space="preserve">v.3: </w:t>
      </w:r>
      <w:r>
        <w:rPr>
          <w:rFonts w:ascii="Aptos" w:hAnsi="Aptos"/>
        </w:rPr>
        <w:t>דְּעוּ</w:t>
      </w:r>
      <w:r>
        <w:rPr>
          <w:rFonts w:ascii="Aptos" w:hAnsi="Aptos"/>
        </w:rPr>
        <w:t xml:space="preserve"> / “know.”</w:t>
      </w:r>
    </w:p>
    <w:p w14:paraId="40698F29" w14:textId="77777777" w:rsidR="00AC66DA" w:rsidRDefault="00CC5C72">
      <w:pPr>
        <w:pStyle w:val="ListBullet"/>
      </w:pPr>
      <w:r>
        <w:rPr>
          <w:rFonts w:ascii="Aptos" w:hAnsi="Aptos"/>
        </w:rPr>
        <w:t xml:space="preserve">v.4: </w:t>
      </w:r>
      <w:r>
        <w:rPr>
          <w:rFonts w:ascii="Aptos" w:hAnsi="Aptos"/>
        </w:rPr>
        <w:t>בֹּאוּ</w:t>
      </w:r>
      <w:r>
        <w:rPr>
          <w:rFonts w:ascii="Aptos" w:hAnsi="Aptos"/>
        </w:rPr>
        <w:t xml:space="preserve"> / “enter,” </w:t>
      </w:r>
      <w:r>
        <w:rPr>
          <w:rFonts w:ascii="Aptos" w:hAnsi="Aptos"/>
        </w:rPr>
        <w:t>הוֹדוּ</w:t>
      </w:r>
      <w:r>
        <w:rPr>
          <w:rFonts w:ascii="Aptos" w:hAnsi="Aptos"/>
        </w:rPr>
        <w:t xml:space="preserve"> / “give thanks,” </w:t>
      </w:r>
      <w:r>
        <w:rPr>
          <w:rFonts w:ascii="Aptos" w:hAnsi="Aptos"/>
        </w:rPr>
        <w:t>בָּרְכוּ</w:t>
      </w:r>
      <w:r>
        <w:rPr>
          <w:rFonts w:ascii="Aptos" w:hAnsi="Aptos"/>
        </w:rPr>
        <w:t xml:space="preserve"> / “bless.”</w:t>
      </w:r>
    </w:p>
    <w:p w14:paraId="2CA5E867" w14:textId="77777777" w:rsidR="00AC66DA" w:rsidRDefault="00CC5C72">
      <w:pPr>
        <w:pStyle w:val="BodySans"/>
      </w:pPr>
      <w:r>
        <w:t xml:space="preserve">Seven in total. In biblical literature, seven is often a number of </w:t>
      </w:r>
      <w:r>
        <w:rPr>
          <w:b/>
        </w:rPr>
        <w:t>wholeness</w:t>
      </w:r>
      <w:r>
        <w:t xml:space="preserve"> (seven days of creation, seven “voices of YHWH” in Psalm 29). Here the sevenfold cascade says: every dimension of human response is summoned—voice, body, movement, mind, speech.</w:t>
      </w:r>
    </w:p>
    <w:p w14:paraId="73D17D19" w14:textId="77777777" w:rsidR="00AC66DA" w:rsidRDefault="00CC5C72">
      <w:pPr>
        <w:pStyle w:val="BodySans"/>
      </w:pPr>
      <w:r>
        <w:t>Around those commands the grammar does something subtle. Possessive suffixes accumulate:</w:t>
      </w:r>
    </w:p>
    <w:p w14:paraId="46B92570" w14:textId="77777777" w:rsidR="00AC66DA" w:rsidRDefault="00CC5C72">
      <w:pPr>
        <w:pStyle w:val="ListBullet"/>
      </w:pPr>
      <w:r>
        <w:rPr>
          <w:rFonts w:ascii="Aptos" w:hAnsi="Aptos"/>
        </w:rPr>
        <w:t>“his face” (</w:t>
      </w:r>
      <w:r>
        <w:rPr>
          <w:rFonts w:ascii="Aptos" w:hAnsi="Aptos"/>
        </w:rPr>
        <w:t>לְפָנָיו</w:t>
      </w:r>
      <w:r>
        <w:rPr>
          <w:rFonts w:ascii="Aptos" w:hAnsi="Aptos"/>
        </w:rPr>
        <w:t>, v.2)</w:t>
      </w:r>
    </w:p>
    <w:p w14:paraId="47DE0F2E" w14:textId="77777777" w:rsidR="00AC66DA" w:rsidRDefault="00CC5C72">
      <w:pPr>
        <w:pStyle w:val="ListBullet"/>
      </w:pPr>
      <w:r>
        <w:rPr>
          <w:rFonts w:ascii="Aptos" w:hAnsi="Aptos"/>
        </w:rPr>
        <w:t>“his people… his pasture” (</w:t>
      </w:r>
      <w:r>
        <w:rPr>
          <w:rFonts w:ascii="Aptos" w:hAnsi="Aptos"/>
        </w:rPr>
        <w:t>עַמּוֹ</w:t>
      </w:r>
      <w:r>
        <w:rPr>
          <w:rFonts w:ascii="Aptos" w:hAnsi="Aptos"/>
        </w:rPr>
        <w:t xml:space="preserve">… </w:t>
      </w:r>
      <w:r>
        <w:rPr>
          <w:rFonts w:ascii="Aptos" w:hAnsi="Aptos"/>
        </w:rPr>
        <w:t>מַרְעִיתוֹ</w:t>
      </w:r>
      <w:r>
        <w:rPr>
          <w:rFonts w:ascii="Aptos" w:hAnsi="Aptos"/>
        </w:rPr>
        <w:t>, v.3)</w:t>
      </w:r>
    </w:p>
    <w:p w14:paraId="2CF93B38" w14:textId="77777777" w:rsidR="00AC66DA" w:rsidRDefault="00CC5C72">
      <w:pPr>
        <w:pStyle w:val="ListBullet"/>
      </w:pPr>
      <w:r>
        <w:rPr>
          <w:rFonts w:ascii="Aptos" w:hAnsi="Aptos"/>
        </w:rPr>
        <w:t>“his gates… his courts… his name” (</w:t>
      </w:r>
      <w:r>
        <w:rPr>
          <w:rFonts w:ascii="Aptos" w:hAnsi="Aptos"/>
        </w:rPr>
        <w:t>שְׁעָרָיו</w:t>
      </w:r>
      <w:r>
        <w:rPr>
          <w:rFonts w:ascii="Aptos" w:hAnsi="Aptos"/>
        </w:rPr>
        <w:t xml:space="preserve">… </w:t>
      </w:r>
      <w:r>
        <w:rPr>
          <w:rFonts w:ascii="Aptos" w:hAnsi="Aptos"/>
        </w:rPr>
        <w:t>חֲצֵרֹתָיו</w:t>
      </w:r>
      <w:r>
        <w:rPr>
          <w:rFonts w:ascii="Aptos" w:hAnsi="Aptos"/>
        </w:rPr>
        <w:t xml:space="preserve">… </w:t>
      </w:r>
      <w:r>
        <w:rPr>
          <w:rFonts w:ascii="Aptos" w:hAnsi="Aptos"/>
        </w:rPr>
        <w:t>שְׁמוֹ</w:t>
      </w:r>
      <w:r>
        <w:rPr>
          <w:rFonts w:ascii="Aptos" w:hAnsi="Aptos"/>
        </w:rPr>
        <w:t>, v.4)</w:t>
      </w:r>
    </w:p>
    <w:p w14:paraId="70618F35" w14:textId="77777777" w:rsidR="00AC66DA" w:rsidRDefault="00CC5C72">
      <w:pPr>
        <w:pStyle w:val="ListBullet"/>
      </w:pPr>
      <w:r>
        <w:rPr>
          <w:rFonts w:ascii="Aptos" w:hAnsi="Aptos"/>
        </w:rPr>
        <w:t>“his love… his faithfulness” (</w:t>
      </w:r>
      <w:r>
        <w:rPr>
          <w:rFonts w:ascii="Aptos" w:hAnsi="Aptos"/>
        </w:rPr>
        <w:t>חַסְדּוֹ</w:t>
      </w:r>
      <w:r>
        <w:rPr>
          <w:rFonts w:ascii="Aptos" w:hAnsi="Aptos"/>
        </w:rPr>
        <w:t xml:space="preserve">… </w:t>
      </w:r>
      <w:r>
        <w:rPr>
          <w:rFonts w:ascii="Aptos" w:hAnsi="Aptos"/>
        </w:rPr>
        <w:t>אֱמוּנָתוֹ</w:t>
      </w:r>
      <w:r>
        <w:rPr>
          <w:rFonts w:ascii="Aptos" w:hAnsi="Aptos"/>
        </w:rPr>
        <w:t>, v.5).‏</w:t>
      </w:r>
    </w:p>
    <w:p w14:paraId="69BFE979" w14:textId="77777777" w:rsidR="00AC66DA" w:rsidRDefault="00CC5C72">
      <w:pPr>
        <w:pStyle w:val="BodySans"/>
      </w:pPr>
      <w:r>
        <w:t xml:space="preserve">By the end of the psalm, </w:t>
      </w:r>
      <w:r>
        <w:rPr>
          <w:b/>
        </w:rPr>
        <w:t>everything</w:t>
      </w:r>
      <w:r>
        <w:t xml:space="preserve"> that matters has become “his.” In that sense, verse 3’s ambiguous </w:t>
      </w:r>
      <w:r>
        <w:t>וְלוֹ</w:t>
      </w:r>
      <w:r>
        <w:t>/</w:t>
      </w:r>
      <w:r>
        <w:t>וְלֹא</w:t>
      </w:r>
      <w:r>
        <w:t xml:space="preserve"> (“and we are his” / “and not we ourselves”) is the heartbeat of the whole poem.‏</w:t>
      </w:r>
    </w:p>
    <w:p w14:paraId="026CC5AA" w14:textId="77777777" w:rsidR="00AC66DA" w:rsidRDefault="00CC5C72">
      <w:pPr>
        <w:pStyle w:val="BodySans"/>
      </w:pPr>
      <w:r>
        <w:t>---</w:t>
      </w:r>
    </w:p>
    <w:p w14:paraId="21E7C428" w14:textId="77777777" w:rsidR="00AC66DA" w:rsidRDefault="00CC5C72">
      <w:pPr>
        <w:pStyle w:val="BodySans"/>
      </w:pPr>
      <w:r>
        <w:t>If you remember one thing about Psalm 100, let it be this:</w:t>
      </w:r>
    </w:p>
    <w:p w14:paraId="535CEB41" w14:textId="77777777" w:rsidR="00AC66DA" w:rsidRDefault="00CC5C72">
      <w:pPr>
        <w:pStyle w:val="BodySans"/>
        <w:ind w:left="720"/>
      </w:pPr>
      <w:r>
        <w:rPr>
          <w:b/>
          <w:i/>
        </w:rPr>
        <w:t>The only “password” it asks for at the gate is todah—thanksgiving—because, in the psalm’s world, you already belong there: you were made by him, for him, and sustained by a goodness that outlives every generation.</w:t>
      </w:r>
    </w:p>
    <w:p w14:paraId="2EB9FA5A" w14:textId="77777777" w:rsidR="00AC66DA" w:rsidRDefault="00CC5C72">
      <w:pPr>
        <w:pStyle w:val="BodySans"/>
      </w:pPr>
      <w:r>
        <w:t>Gratitude is not a mood added to faith; it is how faith walks into the temple.</w:t>
      </w:r>
    </w:p>
    <w:p w14:paraId="2FC60B17" w14:textId="77777777" w:rsidR="00AC66DA" w:rsidRDefault="00CC5C72">
      <w:pPr>
        <w:pStyle w:val="Heading2"/>
      </w:pPr>
      <w:r>
        <w:lastRenderedPageBreak/>
        <w:t>Modern Jewish Liturgical Use</w:t>
      </w:r>
    </w:p>
    <w:p w14:paraId="5BA43444" w14:textId="77777777" w:rsidR="00AC66DA" w:rsidRDefault="00CC5C72">
      <w:pPr>
        <w:pStyle w:val="Heading4"/>
      </w:pPr>
      <w:r>
        <w:t>Full psalm</w:t>
      </w:r>
    </w:p>
    <w:p w14:paraId="4575F669" w14:textId="77777777" w:rsidR="00AC66DA" w:rsidRDefault="00CC5C72">
      <w:pPr>
        <w:pStyle w:val="BodySans"/>
      </w:pPr>
      <w:r>
        <w:t>In Jewish practice, Psalm 100—</w:t>
      </w:r>
      <w:bdo w:val="ltr">
        <w:r>
          <w:rPr>
            <w:i/>
          </w:rPr>
          <w:t>הדָוֹתלְ</w:t>
        </w:r>
        <w:r>
          <w:rPr>
            <w:i/>
          </w:rPr>
          <w:t xml:space="preserve"> </w:t>
        </w:r>
        <w:r>
          <w:rPr>
            <w:i/>
          </w:rPr>
          <w:t>רוֹמזְמִ</w:t>
        </w:r>
        <w:r>
          <w:rPr>
            <w:i/>
          </w:rPr>
          <w:t>‬</w:t>
        </w:r>
        <w:r>
          <w:t xml:space="preserve"> (“A psalm for thanksgiving”)—has two main liturgical homes.</w:t>
        </w:r>
      </w:bdo>
    </w:p>
    <w:p w14:paraId="597AEE96" w14:textId="77777777" w:rsidR="00AC66DA" w:rsidRDefault="00CC5C72">
      <w:pPr>
        <w:pStyle w:val="BodySans"/>
      </w:pPr>
      <w:r>
        <w:t>In the weekday morning service (</w:t>
      </w:r>
      <w:r>
        <w:rPr>
          <w:i/>
        </w:rPr>
        <w:t>Shacharit</w:t>
      </w:r>
      <w:r>
        <w:t xml:space="preserve">), it appears in </w:t>
      </w:r>
      <w:r>
        <w:rPr>
          <w:i/>
        </w:rPr>
        <w:t>Pesukei de‑Zimra</w:t>
      </w:r>
      <w:r>
        <w:t xml:space="preserve"> (“Verses of Praise”). There it functions as a verbal substitute for the Temple’s thanksgiving offering: worshippers recite, </w:t>
      </w:r>
      <w:r>
        <w:t>מִזְמוֹר</w:t>
      </w:r>
      <w:r>
        <w:t xml:space="preserve"> </w:t>
      </w:r>
      <w:r>
        <w:t>לְתוֹדָה</w:t>
      </w:r>
      <w:r>
        <w:t xml:space="preserve"> </w:t>
      </w:r>
      <w:r>
        <w:t>הָרִיעוּ</w:t>
      </w:r>
      <w:r>
        <w:t xml:space="preserve"> </w:t>
      </w:r>
      <w:r>
        <w:t>לַה׳</w:t>
      </w:r>
      <w:r>
        <w:t xml:space="preserve"> </w:t>
      </w:r>
      <w:r>
        <w:t>כׇּל־הָאָרֶץ</w:t>
      </w:r>
      <w:r>
        <w:t xml:space="preserve"> (“A psalm for todah. Raise a shout for YHWH, all the earth”), enacting with words what could no longer be done with animals and bread. Precisely because the Levitical todah was voluntary and time‑bound, Ashkenazi custom omits the psalm on days when that sacrifice would not have been brought—Shabbat </w:t>
      </w:r>
      <w:r>
        <w:t>and festivals, the eve of Passover (when leaven is forbidden), and the eve of Yom Kippur (a fast day). The omission itself preserves the sacrificial logic.‏</w:t>
      </w:r>
    </w:p>
    <w:p w14:paraId="5C1FE587" w14:textId="77777777" w:rsidR="00AC66DA" w:rsidRDefault="00CC5C72">
      <w:pPr>
        <w:pStyle w:val="BodySans"/>
      </w:pPr>
      <w:r>
        <w:t xml:space="preserve">On Friday evenings, many communities recite Psalm 100 as part of </w:t>
      </w:r>
      <w:r>
        <w:rPr>
          <w:i/>
        </w:rPr>
        <w:t>Kabbalat Shabbat</w:t>
      </w:r>
      <w:r>
        <w:t xml:space="preserve">. After Psalms 95–99 crown YHWH as king, </w:t>
      </w:r>
      <w:r>
        <w:rPr>
          <w:i/>
        </w:rPr>
        <w:t>Mizmor l’Todah</w:t>
      </w:r>
      <w:r>
        <w:t xml:space="preserve"> becomes the jubilant threshold into sacred time: </w:t>
      </w:r>
      <w:r>
        <w:t>עִבְדוּ</w:t>
      </w:r>
      <w:r>
        <w:t xml:space="preserve"> </w:t>
      </w:r>
      <w:r>
        <w:t>אֶת־ה׳</w:t>
      </w:r>
      <w:r>
        <w:t xml:space="preserve"> </w:t>
      </w:r>
      <w:r>
        <w:t>בְּשִׂמְחָה</w:t>
      </w:r>
      <w:r>
        <w:t xml:space="preserve"> (“Serve YHWH with gladness”). In some Eastern rites it is even re‑ordered to start with verse 5—</w:t>
      </w:r>
      <w:r>
        <w:t>כִּי־טוֹב</w:t>
      </w:r>
      <w:r>
        <w:t xml:space="preserve"> </w:t>
      </w:r>
      <w:r>
        <w:t>ה׳</w:t>
      </w:r>
      <w:r>
        <w:t xml:space="preserve"> </w:t>
      </w:r>
      <w:r>
        <w:t>לְעוֹלָם</w:t>
      </w:r>
      <w:r>
        <w:t xml:space="preserve"> </w:t>
      </w:r>
      <w:r>
        <w:t>חַסְדּוֹ</w:t>
      </w:r>
      <w:r>
        <w:t xml:space="preserve"> (“For YHWH is good; his steadfast love is forever”)—so that divine goodness is heard first as the ground of Sabbath joy.‏</w:t>
      </w:r>
    </w:p>
    <w:p w14:paraId="4EB5619B" w14:textId="77777777" w:rsidR="00AC66DA" w:rsidRDefault="00CC5C72">
      <w:pPr>
        <w:pStyle w:val="Heading4"/>
      </w:pPr>
      <w:r>
        <w:t>Key verses and phrases</w:t>
      </w:r>
    </w:p>
    <w:p w14:paraId="1F6E50ED" w14:textId="77777777" w:rsidR="00AC66DA" w:rsidRDefault="00CC5C72">
      <w:pPr>
        <w:pStyle w:val="BodySans"/>
      </w:pPr>
      <w:r>
        <w:t>Several lines of Psalm 100 are excerpted into other prayers, often with new emphases.</w:t>
      </w:r>
    </w:p>
    <w:p w14:paraId="662350DD" w14:textId="77777777" w:rsidR="00AC66DA" w:rsidRDefault="00CC5C72">
      <w:pPr>
        <w:pStyle w:val="ListBullet"/>
      </w:pPr>
      <w:r>
        <w:rPr>
          <w:rFonts w:ascii="Aptos" w:hAnsi="Aptos"/>
          <w:b/>
        </w:rPr>
        <w:t>בֹּאוּ</w:t>
      </w:r>
      <w:r>
        <w:rPr>
          <w:rFonts w:ascii="Aptos" w:hAnsi="Aptos"/>
          <w:b/>
        </w:rPr>
        <w:t xml:space="preserve"> </w:t>
      </w:r>
      <w:r>
        <w:rPr>
          <w:rFonts w:ascii="Aptos" w:hAnsi="Aptos"/>
          <w:b/>
        </w:rPr>
        <w:t>שְׁעָרָיו</w:t>
      </w:r>
      <w:r>
        <w:rPr>
          <w:rFonts w:ascii="Aptos" w:hAnsi="Aptos"/>
          <w:b/>
        </w:rPr>
        <w:t xml:space="preserve"> </w:t>
      </w:r>
      <w:r>
        <w:rPr>
          <w:rFonts w:ascii="Aptos" w:hAnsi="Aptos"/>
          <w:b/>
        </w:rPr>
        <w:t>בְּתוֹדָה</w:t>
      </w:r>
      <w:r>
        <w:rPr>
          <w:rFonts w:ascii="Aptos" w:hAnsi="Aptos"/>
        </w:rPr>
        <w:t xml:space="preserve"> (“Enter his gates with thanksgiving,” v.4) appears in Ashkenazi </w:t>
      </w:r>
      <w:r>
        <w:rPr>
          <w:rFonts w:ascii="Aptos" w:hAnsi="Aptos"/>
          <w:i/>
        </w:rPr>
        <w:t>Selichot</w:t>
      </w:r>
      <w:r>
        <w:rPr>
          <w:rFonts w:ascii="Aptos" w:hAnsi="Aptos"/>
        </w:rPr>
        <w:t xml:space="preserve"> and in the Yom Kippur evening Amidah as part of a chain of verses about approaching God: </w:t>
      </w:r>
      <w:r>
        <w:rPr>
          <w:rFonts w:ascii="Aptos" w:hAnsi="Aptos"/>
        </w:rPr>
        <w:t>בֹּאוּ</w:t>
      </w:r>
      <w:r>
        <w:rPr>
          <w:rFonts w:ascii="Aptos" w:hAnsi="Aptos"/>
        </w:rPr>
        <w:t xml:space="preserve"> </w:t>
      </w:r>
      <w:r>
        <w:rPr>
          <w:rFonts w:ascii="Aptos" w:hAnsi="Aptos"/>
        </w:rPr>
        <w:t>נִשְׁתַּחֲוֶה</w:t>
      </w:r>
      <w:r>
        <w:rPr>
          <w:rFonts w:ascii="Aptos" w:hAnsi="Aptos"/>
        </w:rPr>
        <w:t xml:space="preserve"> </w:t>
      </w:r>
      <w:r>
        <w:rPr>
          <w:rFonts w:ascii="Aptos" w:hAnsi="Aptos"/>
        </w:rPr>
        <w:t>וְנִכְרָעָה</w:t>
      </w:r>
      <w:r>
        <w:rPr>
          <w:rFonts w:ascii="Aptos" w:hAnsi="Aptos"/>
        </w:rPr>
        <w:t xml:space="preserve">… </w:t>
      </w:r>
      <w:r>
        <w:rPr>
          <w:rFonts w:ascii="Aptos" w:hAnsi="Aptos"/>
        </w:rPr>
        <w:t>בֹּאוּ</w:t>
      </w:r>
      <w:r>
        <w:rPr>
          <w:rFonts w:ascii="Aptos" w:hAnsi="Aptos"/>
        </w:rPr>
        <w:t xml:space="preserve"> </w:t>
      </w:r>
      <w:r>
        <w:rPr>
          <w:rFonts w:ascii="Aptos" w:hAnsi="Aptos"/>
        </w:rPr>
        <w:t>שְׁעָרָיו</w:t>
      </w:r>
      <w:r>
        <w:rPr>
          <w:rFonts w:ascii="Aptos" w:hAnsi="Aptos"/>
        </w:rPr>
        <w:t xml:space="preserve"> </w:t>
      </w:r>
      <w:r>
        <w:rPr>
          <w:rFonts w:ascii="Aptos" w:hAnsi="Aptos"/>
        </w:rPr>
        <w:t>בְּתוֹדָה</w:t>
      </w:r>
      <w:r>
        <w:rPr>
          <w:rFonts w:ascii="Aptos" w:hAnsi="Aptos"/>
        </w:rPr>
        <w:t xml:space="preserve"> (“Come, let us bow and kneel… Enter his gates with thanksgiving”). Placed in a penitential context, the verse’s original exuberant access is harnessed to repentance: confession is itself a kind of todah.‏</w:t>
      </w:r>
    </w:p>
    <w:p w14:paraId="73E21409" w14:textId="77777777" w:rsidR="00AC66DA" w:rsidRDefault="00CC5C72">
      <w:pPr>
        <w:pStyle w:val="ListBullet"/>
      </w:pPr>
      <w:r>
        <w:rPr>
          <w:rFonts w:ascii="Aptos" w:hAnsi="Aptos"/>
          <w:b/>
        </w:rPr>
        <w:t>כִּי־טוֹב</w:t>
      </w:r>
      <w:r>
        <w:rPr>
          <w:rFonts w:ascii="Aptos" w:hAnsi="Aptos"/>
          <w:b/>
        </w:rPr>
        <w:t xml:space="preserve"> </w:t>
      </w:r>
      <w:r>
        <w:rPr>
          <w:rFonts w:ascii="Aptos" w:hAnsi="Aptos"/>
          <w:b/>
        </w:rPr>
        <w:t>ה׳</w:t>
      </w:r>
      <w:r>
        <w:rPr>
          <w:rFonts w:ascii="Aptos" w:hAnsi="Aptos"/>
          <w:b/>
        </w:rPr>
        <w:t xml:space="preserve"> </w:t>
      </w:r>
      <w:r>
        <w:rPr>
          <w:rFonts w:ascii="Aptos" w:hAnsi="Aptos"/>
          <w:b/>
        </w:rPr>
        <w:t>לְעוֹלָם</w:t>
      </w:r>
      <w:r>
        <w:rPr>
          <w:rFonts w:ascii="Aptos" w:hAnsi="Aptos"/>
          <w:b/>
        </w:rPr>
        <w:t xml:space="preserve"> </w:t>
      </w:r>
      <w:r>
        <w:rPr>
          <w:rFonts w:ascii="Aptos" w:hAnsi="Aptos"/>
          <w:b/>
        </w:rPr>
        <w:t>חַסְדּוֹ</w:t>
      </w:r>
      <w:r>
        <w:rPr>
          <w:rFonts w:ascii="Aptos" w:hAnsi="Aptos"/>
        </w:rPr>
        <w:t xml:space="preserve"> (“For YHWH is good; his steadfast love is forever,” v.5) is recited in </w:t>
      </w:r>
      <w:r>
        <w:rPr>
          <w:rFonts w:ascii="Aptos" w:hAnsi="Aptos"/>
          <w:i/>
        </w:rPr>
        <w:t>Yom Kippur Katan</w:t>
      </w:r>
      <w:r>
        <w:rPr>
          <w:rFonts w:ascii="Aptos" w:hAnsi="Aptos"/>
        </w:rPr>
        <w:t xml:space="preserve">, the mini‑fast before each new month, as part of a triptych: </w:t>
      </w:r>
      <w:r>
        <w:rPr>
          <w:rFonts w:ascii="Aptos" w:hAnsi="Aptos"/>
        </w:rPr>
        <w:t>כִּי</w:t>
      </w:r>
      <w:r>
        <w:rPr>
          <w:rFonts w:ascii="Aptos" w:hAnsi="Aptos"/>
        </w:rPr>
        <w:t xml:space="preserve"> </w:t>
      </w:r>
      <w:r>
        <w:rPr>
          <w:rFonts w:ascii="Aptos" w:hAnsi="Aptos"/>
        </w:rPr>
        <w:t>הוּא</w:t>
      </w:r>
      <w:r>
        <w:rPr>
          <w:rFonts w:ascii="Aptos" w:hAnsi="Aptos"/>
        </w:rPr>
        <w:t xml:space="preserve"> </w:t>
      </w:r>
      <w:r>
        <w:rPr>
          <w:rFonts w:ascii="Aptos" w:hAnsi="Aptos"/>
        </w:rPr>
        <w:t>יָדַע</w:t>
      </w:r>
      <w:r>
        <w:rPr>
          <w:rFonts w:ascii="Aptos" w:hAnsi="Aptos"/>
        </w:rPr>
        <w:t xml:space="preserve"> </w:t>
      </w:r>
      <w:r>
        <w:rPr>
          <w:rFonts w:ascii="Aptos" w:hAnsi="Aptos"/>
        </w:rPr>
        <w:t>יִצְרֵנוּ</w:t>
      </w:r>
      <w:r>
        <w:rPr>
          <w:rFonts w:ascii="Aptos" w:hAnsi="Aptos"/>
        </w:rPr>
        <w:t xml:space="preserve"> </w:t>
      </w:r>
      <w:r>
        <w:rPr>
          <w:rFonts w:ascii="Aptos" w:hAnsi="Aptos"/>
        </w:rPr>
        <w:t>זָכוּר</w:t>
      </w:r>
      <w:r>
        <w:rPr>
          <w:rFonts w:ascii="Aptos" w:hAnsi="Aptos"/>
        </w:rPr>
        <w:t xml:space="preserve"> </w:t>
      </w:r>
      <w:r>
        <w:rPr>
          <w:rFonts w:ascii="Aptos" w:hAnsi="Aptos"/>
        </w:rPr>
        <w:t>כִּי</w:t>
      </w:r>
      <w:r>
        <w:rPr>
          <w:rFonts w:ascii="Aptos" w:hAnsi="Aptos"/>
        </w:rPr>
        <w:t xml:space="preserve"> </w:t>
      </w:r>
      <w:r>
        <w:rPr>
          <w:rFonts w:ascii="Aptos" w:hAnsi="Aptos"/>
        </w:rPr>
        <w:t>עָפָר</w:t>
      </w:r>
      <w:r>
        <w:rPr>
          <w:rFonts w:ascii="Aptos" w:hAnsi="Aptos"/>
        </w:rPr>
        <w:t xml:space="preserve"> </w:t>
      </w:r>
      <w:r>
        <w:rPr>
          <w:rFonts w:ascii="Aptos" w:hAnsi="Aptos"/>
        </w:rPr>
        <w:t>אֲנַחְנוּ</w:t>
      </w:r>
      <w:r>
        <w:rPr>
          <w:rFonts w:ascii="Aptos" w:hAnsi="Aptos"/>
        </w:rPr>
        <w:t xml:space="preserve"> (“For he knows our frame, he remembers that we are dust,” Psalm 103:14), then our verse, then </w:t>
      </w:r>
      <w:r>
        <w:rPr>
          <w:rFonts w:ascii="Aptos" w:hAnsi="Aptos"/>
        </w:rPr>
        <w:t>כְּרַחֵם</w:t>
      </w:r>
      <w:r>
        <w:rPr>
          <w:rFonts w:ascii="Aptos" w:hAnsi="Aptos"/>
        </w:rPr>
        <w:t xml:space="preserve"> </w:t>
      </w:r>
      <w:r>
        <w:rPr>
          <w:rFonts w:ascii="Aptos" w:hAnsi="Aptos"/>
        </w:rPr>
        <w:t>אָב</w:t>
      </w:r>
      <w:r>
        <w:rPr>
          <w:rFonts w:ascii="Aptos" w:hAnsi="Aptos"/>
        </w:rPr>
        <w:t xml:space="preserve"> </w:t>
      </w:r>
      <w:r>
        <w:rPr>
          <w:rFonts w:ascii="Aptos" w:hAnsi="Aptos"/>
        </w:rPr>
        <w:t>עַל</w:t>
      </w:r>
      <w:r>
        <w:rPr>
          <w:rFonts w:ascii="Aptos" w:hAnsi="Aptos"/>
        </w:rPr>
        <w:t xml:space="preserve"> </w:t>
      </w:r>
      <w:r>
        <w:rPr>
          <w:rFonts w:ascii="Aptos" w:hAnsi="Aptos"/>
        </w:rPr>
        <w:t>בָּנִים</w:t>
      </w:r>
      <w:r>
        <w:rPr>
          <w:rFonts w:ascii="Aptos" w:hAnsi="Aptos"/>
        </w:rPr>
        <w:t xml:space="preserve"> (“As a father has compassion on children”). Here the line underwrites pleas for mercy; its straightforward praise in Psalm 100 is reread as legal precedent for forgiven</w:t>
      </w:r>
      <w:r>
        <w:rPr>
          <w:rFonts w:ascii="Aptos" w:hAnsi="Aptos"/>
        </w:rPr>
        <w:t>ess.‏</w:t>
      </w:r>
    </w:p>
    <w:p w14:paraId="432790BC" w14:textId="77777777" w:rsidR="00AC66DA" w:rsidRDefault="00CC5C72">
      <w:pPr>
        <w:pStyle w:val="ListBullet"/>
      </w:pPr>
      <w:r>
        <w:rPr>
          <w:rFonts w:ascii="Aptos" w:hAnsi="Aptos"/>
          <w:b/>
        </w:rPr>
        <w:t>הָרִיעוּ</w:t>
      </w:r>
      <w:r>
        <w:rPr>
          <w:rFonts w:ascii="Aptos" w:hAnsi="Aptos"/>
          <w:b/>
        </w:rPr>
        <w:t xml:space="preserve"> </w:t>
      </w:r>
      <w:r>
        <w:rPr>
          <w:rFonts w:ascii="Aptos" w:hAnsi="Aptos"/>
          <w:b/>
        </w:rPr>
        <w:t>לַה׳</w:t>
      </w:r>
      <w:r>
        <w:rPr>
          <w:rFonts w:ascii="Aptos" w:hAnsi="Aptos"/>
          <w:b/>
        </w:rPr>
        <w:t xml:space="preserve"> </w:t>
      </w:r>
      <w:r>
        <w:rPr>
          <w:rFonts w:ascii="Aptos" w:hAnsi="Aptos"/>
          <w:b/>
        </w:rPr>
        <w:t>כׇּל־הָאָרֶץ</w:t>
      </w:r>
      <w:r>
        <w:rPr>
          <w:rFonts w:ascii="Aptos" w:hAnsi="Aptos"/>
        </w:rPr>
        <w:t xml:space="preserve"> (“Raise a shout for YHWH, all the earth,” v.1) appears in the </w:t>
      </w:r>
      <w:r>
        <w:rPr>
          <w:rFonts w:ascii="Aptos" w:hAnsi="Aptos"/>
          <w:i/>
        </w:rPr>
        <w:t>Seder Tekiat Shofar</w:t>
      </w:r>
      <w:r>
        <w:rPr>
          <w:rFonts w:ascii="Aptos" w:hAnsi="Aptos"/>
        </w:rPr>
        <w:t xml:space="preserve"> on Rosh Hashanah, framed by other acclamation verses: </w:t>
      </w:r>
      <w:r>
        <w:rPr>
          <w:rFonts w:ascii="Aptos" w:hAnsi="Aptos"/>
        </w:rPr>
        <w:t>כָּל־הָעַמִּים</w:t>
      </w:r>
      <w:r>
        <w:rPr>
          <w:rFonts w:ascii="Aptos" w:hAnsi="Aptos"/>
        </w:rPr>
        <w:t xml:space="preserve"> </w:t>
      </w:r>
      <w:r>
        <w:rPr>
          <w:rFonts w:ascii="Aptos" w:hAnsi="Aptos"/>
        </w:rPr>
        <w:t>תִּקְעוּ</w:t>
      </w:r>
      <w:r>
        <w:rPr>
          <w:rFonts w:ascii="Aptos" w:hAnsi="Aptos"/>
        </w:rPr>
        <w:t xml:space="preserve"> </w:t>
      </w:r>
      <w:r>
        <w:rPr>
          <w:rFonts w:ascii="Aptos" w:hAnsi="Aptos"/>
        </w:rPr>
        <w:t>כָף</w:t>
      </w:r>
      <w:r>
        <w:rPr>
          <w:rFonts w:ascii="Aptos" w:hAnsi="Aptos"/>
        </w:rPr>
        <w:t xml:space="preserve"> </w:t>
      </w:r>
      <w:r>
        <w:rPr>
          <w:rFonts w:ascii="Aptos" w:hAnsi="Aptos"/>
        </w:rPr>
        <w:t>הָרִיעוּ</w:t>
      </w:r>
      <w:r>
        <w:rPr>
          <w:rFonts w:ascii="Aptos" w:hAnsi="Aptos"/>
        </w:rPr>
        <w:t xml:space="preserve"> </w:t>
      </w:r>
      <w:r>
        <w:rPr>
          <w:rFonts w:ascii="Aptos" w:hAnsi="Aptos"/>
        </w:rPr>
        <w:t>לֵאלֹקִים</w:t>
      </w:r>
      <w:r>
        <w:rPr>
          <w:rFonts w:ascii="Aptos" w:hAnsi="Aptos"/>
        </w:rPr>
        <w:t xml:space="preserve"> </w:t>
      </w:r>
      <w:r>
        <w:rPr>
          <w:rFonts w:ascii="Aptos" w:hAnsi="Aptos"/>
        </w:rPr>
        <w:t>בְּקוֹל</w:t>
      </w:r>
      <w:r>
        <w:rPr>
          <w:rFonts w:ascii="Aptos" w:hAnsi="Aptos"/>
        </w:rPr>
        <w:t xml:space="preserve"> </w:t>
      </w:r>
      <w:r>
        <w:rPr>
          <w:rFonts w:ascii="Aptos" w:hAnsi="Aptos"/>
        </w:rPr>
        <w:t>רִנָּה</w:t>
      </w:r>
      <w:r>
        <w:rPr>
          <w:rFonts w:ascii="Aptos" w:hAnsi="Aptos"/>
        </w:rPr>
        <w:t xml:space="preserve"> (“All you peoples, clap your hands; shout to God with sounds of joy,” Psalm 47:2). There, the word </w:t>
      </w:r>
      <w:r>
        <w:rPr>
          <w:rFonts w:ascii="Aptos" w:hAnsi="Aptos"/>
        </w:rPr>
        <w:t>הָרִיעוּ</w:t>
      </w:r>
      <w:r>
        <w:rPr>
          <w:rFonts w:ascii="Aptos" w:hAnsi="Aptos"/>
        </w:rPr>
        <w:t xml:space="preserve"> is heard not as generic noise but as the </w:t>
      </w:r>
      <w:r>
        <w:rPr>
          <w:rFonts w:ascii="Aptos" w:hAnsi="Aptos"/>
        </w:rPr>
        <w:lastRenderedPageBreak/>
        <w:t xml:space="preserve">human counterpart to the shofar’s </w:t>
      </w:r>
      <w:r>
        <w:rPr>
          <w:rFonts w:ascii="Aptos" w:hAnsi="Aptos"/>
          <w:i/>
        </w:rPr>
        <w:t>teru’ah</w:t>
      </w:r>
      <w:r>
        <w:rPr>
          <w:rFonts w:ascii="Aptos" w:hAnsi="Aptos"/>
        </w:rPr>
        <w:t xml:space="preserve"> blasts—a recognition of God’s kingship on the Day of Judgment.</w:t>
      </w:r>
    </w:p>
    <w:p w14:paraId="5FE852B0" w14:textId="77777777" w:rsidR="00AC66DA" w:rsidRDefault="00CC5C72">
      <w:pPr>
        <w:pStyle w:val="ListBullet"/>
      </w:pPr>
      <w:r>
        <w:rPr>
          <w:rFonts w:ascii="Aptos" w:hAnsi="Aptos"/>
        </w:rPr>
        <w:t xml:space="preserve">The phrase </w:t>
      </w:r>
      <w:r>
        <w:rPr>
          <w:rFonts w:ascii="Aptos" w:hAnsi="Aptos"/>
          <w:b/>
        </w:rPr>
        <w:t>אֲנַחְנוּ</w:t>
      </w:r>
      <w:r>
        <w:rPr>
          <w:rFonts w:ascii="Aptos" w:hAnsi="Aptos"/>
          <w:b/>
        </w:rPr>
        <w:t xml:space="preserve"> </w:t>
      </w:r>
      <w:r>
        <w:rPr>
          <w:rFonts w:ascii="Aptos" w:hAnsi="Aptos"/>
          <w:b/>
        </w:rPr>
        <w:t>עַמּוֹ</w:t>
      </w:r>
      <w:r>
        <w:rPr>
          <w:rFonts w:ascii="Aptos" w:hAnsi="Aptos"/>
        </w:rPr>
        <w:t xml:space="preserve"> (“we are his people,” v.3) is woven into </w:t>
      </w:r>
      <w:r>
        <w:rPr>
          <w:rFonts w:ascii="Aptos" w:hAnsi="Aptos"/>
          <w:i/>
        </w:rPr>
        <w:t>Tzidduk ha‑Din</w:t>
      </w:r>
      <w:r>
        <w:rPr>
          <w:rFonts w:ascii="Aptos" w:hAnsi="Aptos"/>
        </w:rPr>
        <w:t xml:space="preserve">, the “Justification of the Divine Decree” recited at funerals in some Eastern communities: </w:t>
      </w:r>
      <w:r>
        <w:rPr>
          <w:rFonts w:ascii="Aptos" w:hAnsi="Aptos"/>
        </w:rPr>
        <w:t>וַאֲנַחְנוּ</w:t>
      </w:r>
      <w:r>
        <w:rPr>
          <w:rFonts w:ascii="Aptos" w:hAnsi="Aptos"/>
        </w:rPr>
        <w:t xml:space="preserve"> </w:t>
      </w:r>
      <w:r>
        <w:rPr>
          <w:rFonts w:ascii="Aptos" w:hAnsi="Aptos"/>
        </w:rPr>
        <w:t>עַמּוֹ</w:t>
      </w:r>
      <w:r>
        <w:rPr>
          <w:rFonts w:ascii="Aptos" w:hAnsi="Aptos"/>
        </w:rPr>
        <w:t xml:space="preserve"> </w:t>
      </w:r>
      <w:r>
        <w:rPr>
          <w:rFonts w:ascii="Aptos" w:hAnsi="Aptos"/>
        </w:rPr>
        <w:t>וַעֲבָדָיו</w:t>
      </w:r>
      <w:r>
        <w:rPr>
          <w:rFonts w:ascii="Aptos" w:hAnsi="Aptos"/>
        </w:rPr>
        <w:t xml:space="preserve"> (“and we are his people and his servants”). Transplanted from a psalm of joy into a service of mourning, the words become a defiant affirmation that even in loss, belonging to God endures.‏</w:t>
      </w:r>
    </w:p>
    <w:p w14:paraId="6EB91455" w14:textId="77777777" w:rsidR="00AC66DA" w:rsidRDefault="00CC5C72">
      <w:pPr>
        <w:pStyle w:val="BodySans"/>
      </w:pPr>
      <w:r>
        <w:t>These liturgical uses tend to intensify, rather than subvert, the pshat—the plain sense. Psalm 100 presents access to God’s presence as grounded in his goodness and our identity as his people; the prayerbook simply applies that logic to fasting, repentance, kingship, and grief.</w:t>
      </w:r>
    </w:p>
    <w:p w14:paraId="4D4DFE62" w14:textId="77777777" w:rsidR="00AC66DA" w:rsidRDefault="00CC5C72">
      <w:pPr>
        <w:pStyle w:val="Heading2"/>
      </w:pPr>
      <w:r>
        <w:t xml:space="preserve">Verse-by-verse commentary: Main and </w:t>
      </w:r>
      <w:r>
        <w:rPr>
          <w:color w:val="008000"/>
        </w:rPr>
        <w:t>College</w:t>
      </w:r>
      <w:r>
        <w:t xml:space="preserve"> versions</w:t>
      </w:r>
    </w:p>
    <w:p w14:paraId="4424D908" w14:textId="77777777" w:rsidR="00AC66DA" w:rsidRDefault="00CC5C72">
      <w:pPr>
        <w:pStyle w:val="Heading3"/>
      </w:pPr>
      <w:r>
        <w:t>Verse 1</w:t>
      </w:r>
    </w:p>
    <w:p w14:paraId="54A6E32B" w14:textId="77777777" w:rsidR="00AC66DA" w:rsidRDefault="00CC5C72">
      <w:pPr>
        <w:pStyle w:val="BodySans"/>
      </w:pPr>
      <w:bdo w:val="ltr">
        <w:r>
          <w:t>׃ץרֶאָהָ־לכׇּ</w:t>
        </w:r>
        <w:r>
          <w:t xml:space="preserve"> </w:t>
        </w:r>
        <w:r>
          <w:t>הלַ</w:t>
        </w:r>
        <w:r>
          <w:t xml:space="preserve"> </w:t>
        </w:r>
        <w:r>
          <w:t>וּעירִהָ</w:t>
        </w:r>
        <w:r>
          <w:t xml:space="preserve"> ;</w:t>
        </w:r>
        <w:r>
          <w:t>הדָוֹתלְ</w:t>
        </w:r>
        <w:r>
          <w:t xml:space="preserve"> </w:t>
        </w:r>
        <w:r>
          <w:t>רמֹזְמִ</w:t>
        </w:r>
        <w:r>
          <w:t>‬</w:t>
        </w:r>
      </w:bdo>
    </w:p>
    <w:p w14:paraId="2165CB9B" w14:textId="77777777" w:rsidR="00AC66DA" w:rsidRDefault="00CC5C72">
      <w:pPr>
        <w:pStyle w:val="BodySans"/>
      </w:pPr>
      <w:r>
        <w:t>“A psalm for todah. Raise a shout to YHWH, all the earth.”</w:t>
      </w:r>
    </w:p>
    <w:p w14:paraId="5940AAC3" w14:textId="77777777" w:rsidR="00AC66DA" w:rsidRDefault="00CC5C72">
      <w:pPr>
        <w:pStyle w:val="BodySans"/>
      </w:pPr>
      <w:r>
        <w:t xml:space="preserve">The superscription </w:t>
      </w:r>
      <w:r>
        <w:t>מִזְמוֹר</w:t>
      </w:r>
      <w:r>
        <w:t xml:space="preserve"> </w:t>
      </w:r>
      <w:r>
        <w:t>לְתוֹדָה</w:t>
      </w:r>
      <w:r>
        <w:t xml:space="preserve"> is unparalleled in the Psalter. The noun </w:t>
      </w:r>
      <w:r>
        <w:t>תּוֹדָה</w:t>
      </w:r>
      <w:r>
        <w:t xml:space="preserve"> comes from the root </w:t>
      </w:r>
      <w:r>
        <w:t>ידה</w:t>
      </w:r>
      <w:r>
        <w:t xml:space="preserve">, “to acknowledge, confess, thank.” In Leviticus 7 it names a specific sacrifice: </w:t>
      </w:r>
      <w:r>
        <w:t>וְזֹאת</w:t>
      </w:r>
      <w:r>
        <w:t xml:space="preserve"> </w:t>
      </w:r>
      <w:r>
        <w:t>תּוֹרַת</w:t>
      </w:r>
      <w:r>
        <w:t xml:space="preserve"> </w:t>
      </w:r>
      <w:r>
        <w:t>זֶבַח</w:t>
      </w:r>
      <w:r>
        <w:t xml:space="preserve"> </w:t>
      </w:r>
      <w:r>
        <w:t>הַשְּׁלָמִים</w:t>
      </w:r>
      <w:r>
        <w:t xml:space="preserve"> </w:t>
      </w:r>
      <w:r>
        <w:t>אֲשֶׁר־יַקְרִיב</w:t>
      </w:r>
      <w:r>
        <w:t xml:space="preserve"> </w:t>
      </w:r>
      <w:r>
        <w:t>לַה׳</w:t>
      </w:r>
      <w:r>
        <w:t xml:space="preserve">. </w:t>
      </w:r>
      <w:r>
        <w:t>אִם</w:t>
      </w:r>
      <w:r>
        <w:t xml:space="preserve"> </w:t>
      </w:r>
      <w:r>
        <w:t>עַל־תּוֹדָה</w:t>
      </w:r>
      <w:r>
        <w:t xml:space="preserve"> </w:t>
      </w:r>
      <w:r>
        <w:t>יַקְרִיבֶנּוּ</w:t>
      </w:r>
      <w:r>
        <w:t xml:space="preserve"> (“This is the teaching of the sacrifice of well‑being… if one offers it for todah,” Leviticus 7:11–12). That offering demanded an animal and forty loaves eaten “on the day of his sacrifice” </w:t>
      </w:r>
      <w:bdo w:val="ltr">
        <w:r>
          <w:t>(</w:t>
        </w:r>
        <w:r>
          <w:t>וֹנבָּרְקָ</w:t>
        </w:r>
        <w:r>
          <w:t xml:space="preserve"> </w:t>
        </w:r>
        <w:r>
          <w:t>םוֹיבְּ</w:t>
        </w:r>
        <w:r>
          <w:t>)</w:t>
        </w:r>
        <w:r>
          <w:t xml:space="preserve">‬. The sheer volume of bread and the tight </w:t>
        </w:r>
        <w:r>
          <w:t>deadline made solitude impossible. The law manufactured community: you have been rescued, so you must share both food and story.‏</w:t>
        </w:r>
      </w:bdo>
    </w:p>
    <w:p w14:paraId="20E3D02F" w14:textId="77777777" w:rsidR="00AC66DA" w:rsidRDefault="00CC5C72">
      <w:pPr>
        <w:pStyle w:val="BodySans"/>
      </w:pPr>
      <w:r>
        <w:t>Traditional commentators take the title literally. Rashi: “</w:t>
      </w:r>
      <w:r>
        <w:t>לְאָמְרוֹ</w:t>
      </w:r>
      <w:r>
        <w:t xml:space="preserve"> </w:t>
      </w:r>
      <w:r>
        <w:t>עַל</w:t>
      </w:r>
      <w:r>
        <w:t xml:space="preserve"> </w:t>
      </w:r>
      <w:r>
        <w:t>זִבְחֵי</w:t>
      </w:r>
      <w:r>
        <w:t xml:space="preserve"> </w:t>
      </w:r>
      <w:r>
        <w:t>תּוֹדָה</w:t>
      </w:r>
      <w:r>
        <w:t>”—“to recite it over thanksgiving sacrifices.” Metzudat David imagines “</w:t>
      </w:r>
      <w:r>
        <w:t>הַמֵּבִיא</w:t>
      </w:r>
      <w:r>
        <w:t xml:space="preserve"> </w:t>
      </w:r>
      <w:r>
        <w:t>תּוֹדָה</w:t>
      </w:r>
      <w:r>
        <w:t xml:space="preserve"> </w:t>
      </w:r>
      <w:r>
        <w:t>עַל</w:t>
      </w:r>
      <w:r>
        <w:t xml:space="preserve"> </w:t>
      </w:r>
      <w:r>
        <w:t>הַנֵּס</w:t>
      </w:r>
      <w:r>
        <w:t>”—“one bringing a todah for the miracle done for him” speaking these words. The psalm is not abstract reflection but liturgy for a noisy feast.‏</w:t>
      </w:r>
    </w:p>
    <w:p w14:paraId="5EB670A4" w14:textId="77777777" w:rsidR="00AC66DA" w:rsidRDefault="00CC5C72">
      <w:pPr>
        <w:pStyle w:val="BodySans"/>
      </w:pPr>
      <w:r>
        <w:t xml:space="preserve">The first imperative, </w:t>
      </w:r>
      <w:r>
        <w:t>הָרִיעוּ</w:t>
      </w:r>
      <w:r>
        <w:t xml:space="preserve">, often softened in English as “make a joyful noise,” is sharper. The verb </w:t>
      </w:r>
      <w:r>
        <w:t>רוּעַ</w:t>
      </w:r>
      <w:r>
        <w:t xml:space="preserve"> in the Hiphil stem denotes a war‑cry or royal acclamation. At Jericho, Joshua commands, </w:t>
      </w:r>
      <w:r>
        <w:t>וַהֲרִיעֹתֶם</w:t>
      </w:r>
      <w:r>
        <w:t xml:space="preserve"> </w:t>
      </w:r>
      <w:r>
        <w:t>בַּשּׁוֹפָרוֹת</w:t>
      </w:r>
      <w:r>
        <w:t xml:space="preserve"> (“you shall raise a shout with the trumpets,” Joshua 6:5); when Saul is acclaimed king, “</w:t>
      </w:r>
      <w:r>
        <w:t>כׇּל־הָעָם</w:t>
      </w:r>
      <w:r>
        <w:t xml:space="preserve"> </w:t>
      </w:r>
      <w:r>
        <w:t>יָרִיעוּ</w:t>
      </w:r>
      <w:r>
        <w:t xml:space="preserve"> </w:t>
      </w:r>
      <w:r>
        <w:t>וַיֹּאמְרוּ</w:t>
      </w:r>
      <w:r>
        <w:t xml:space="preserve"> </w:t>
      </w:r>
      <w:r>
        <w:t>יְחִי</w:t>
      </w:r>
      <w:r>
        <w:t xml:space="preserve"> </w:t>
      </w:r>
      <w:r>
        <w:t>הַמֶּלֶךְ</w:t>
      </w:r>
      <w:r>
        <w:t xml:space="preserve">” (“all the people shouted and said, ‘Long live the king!’” 1 Samuel 10:24). The same verb appears in Psalm 98:4: </w:t>
      </w:r>
      <w:r>
        <w:t>הָרִיעוּ</w:t>
      </w:r>
      <w:r>
        <w:t xml:space="preserve"> </w:t>
      </w:r>
      <w:r>
        <w:t>לַה׳</w:t>
      </w:r>
      <w:r>
        <w:t xml:space="preserve"> </w:t>
      </w:r>
      <w:r>
        <w:t>כׇּל־הָאָרֶץ</w:t>
      </w:r>
      <w:r>
        <w:t xml:space="preserve"> (“Raise a shout to YHWH, all t</w:t>
      </w:r>
      <w:r>
        <w:t>he earth”), our verse’s closest cousin.‏</w:t>
      </w:r>
    </w:p>
    <w:p w14:paraId="180C2E0E" w14:textId="77777777" w:rsidR="00AC66DA" w:rsidRDefault="00CC5C72">
      <w:pPr>
        <w:pStyle w:val="BodySans"/>
      </w:pPr>
      <w:r>
        <w:lastRenderedPageBreak/>
        <w:t xml:space="preserve">So the psalm begins not with polite hymnody but with something closer to a stadium roar. Worship here is political: a public ratification of YHWH’s reign. The subject, </w:t>
      </w:r>
      <w:r>
        <w:t>כׇּל־הָאָרֶץ</w:t>
      </w:r>
      <w:r>
        <w:t>, “all the earth,” intensifies that claim. Ibn Ezra notes that “</w:t>
      </w:r>
      <w:r>
        <w:t>הָאָרֶץ</w:t>
      </w:r>
      <w:r>
        <w:t>” here is a collective term for its inhabitants; this is not the land of Israel alone but the world envisaged as a chorus.‏</w:t>
      </w:r>
    </w:p>
    <w:p w14:paraId="264F86D6" w14:textId="77777777" w:rsidR="00AC66DA" w:rsidRDefault="00CC5C72">
      <w:pPr>
        <w:pStyle w:val="BodySans"/>
      </w:pPr>
      <w:r>
        <w:t xml:space="preserve">That universalism sits in quiet tension with the later “his people” of verse 3. One way to hear the opening is as eschatological: the nations, long subjects of other gods and kings, are summoned to transfer their acclamations to Israel’s God. Zechariah 14:9 offers a prose equivalent: </w:t>
      </w:r>
      <w:r>
        <w:t>וְהָיָה</w:t>
      </w:r>
      <w:r>
        <w:t xml:space="preserve"> </w:t>
      </w:r>
      <w:r>
        <w:t>ה׳</w:t>
      </w:r>
      <w:r>
        <w:t xml:space="preserve"> </w:t>
      </w:r>
      <w:r>
        <w:t>לְמֶלֶךְ</w:t>
      </w:r>
      <w:r>
        <w:t xml:space="preserve"> </w:t>
      </w:r>
      <w:r>
        <w:t>עַל־כׇּל־הָאָרֶץ</w:t>
      </w:r>
      <w:r>
        <w:t xml:space="preserve"> (“YHWH will be king over all the earth”). Where Zechariah states the future as fact, Psalm 100 enacts it as sound.‏</w:t>
      </w:r>
    </w:p>
    <w:p w14:paraId="53F4789D" w14:textId="77777777" w:rsidR="00AC66DA" w:rsidRDefault="00CC5C72">
      <w:pPr>
        <w:pStyle w:val="BodySans"/>
        <w:jc w:val="center"/>
      </w:pPr>
      <w:r>
        <w:t>—</w:t>
      </w:r>
    </w:p>
    <w:p w14:paraId="64C3F3B4" w14:textId="77777777" w:rsidR="00AC66DA" w:rsidRDefault="00CC5C72">
      <w:pPr>
        <w:pStyle w:val="BodySans"/>
      </w:pPr>
      <w:r>
        <w:rPr>
          <w:b/>
          <w:color w:val="008000"/>
        </w:rPr>
        <w:t xml:space="preserve">“A </w:t>
      </w:r>
      <w:r>
        <w:t>psalm for thanksgiving: raise a shout to YHWH, all the earth.”</w:t>
      </w:r>
    </w:p>
    <w:p w14:paraId="4C6923F8" w14:textId="77777777" w:rsidR="00AC66DA" w:rsidRDefault="00CC5C72">
      <w:pPr>
        <w:pStyle w:val="BodySans"/>
      </w:pPr>
      <w:r>
        <w:t xml:space="preserve">The superscription </w:t>
      </w:r>
      <w:r>
        <w:t>מִזְמוֹר</w:t>
      </w:r>
      <w:r>
        <w:t xml:space="preserve"> </w:t>
      </w:r>
      <w:r>
        <w:t>לְתוֹדָה</w:t>
      </w:r>
      <w:r>
        <w:t xml:space="preserve"> / “a psalm for todah” is unique. The noun </w:t>
      </w:r>
      <w:r>
        <w:t>תּוֹדָה</w:t>
      </w:r>
      <w:r>
        <w:t xml:space="preserve"> (</w:t>
      </w:r>
      <w:r>
        <w:rPr>
          <w:i/>
        </w:rPr>
        <w:t>todah</w:t>
      </w:r>
      <w:r>
        <w:t xml:space="preserve">) comes from the root </w:t>
      </w:r>
      <w:r>
        <w:t>ידה</w:t>
      </w:r>
      <w:r>
        <w:t xml:space="preserve"> (</w:t>
      </w:r>
      <w:r>
        <w:rPr>
          <w:i/>
        </w:rPr>
        <w:t>yadah</w:t>
      </w:r>
      <w:r>
        <w:t xml:space="preserve">), “to confess / give thanks,” and refers both to </w:t>
      </w:r>
      <w:r>
        <w:rPr>
          <w:b/>
        </w:rPr>
        <w:t>verbal thanksgiving</w:t>
      </w:r>
      <w:r>
        <w:t xml:space="preserve"> and the specific </w:t>
      </w:r>
      <w:r>
        <w:rPr>
          <w:b/>
        </w:rPr>
        <w:t>thank‑offering</w:t>
      </w:r>
      <w:r>
        <w:t xml:space="preserve"> of Leviticus 7:12–15. There, someone rescued from danger brings an animal plus forty loaves—thirty unleavened, ten leavened—and must eat them “on the day it is offered” (</w:t>
      </w:r>
      <w:r>
        <w:t>בְּיוֹם</w:t>
      </w:r>
      <w:r>
        <w:t xml:space="preserve"> </w:t>
      </w:r>
      <w:r>
        <w:t>קָרְבָּנוֹ</w:t>
      </w:r>
      <w:r>
        <w:t xml:space="preserve"> </w:t>
      </w:r>
      <w:r>
        <w:t>יֵאָכֵל</w:t>
      </w:r>
      <w:r>
        <w:t xml:space="preserve">, Leviticus 7:15). The sheer amount of bread forces you to invite others. </w:t>
      </w:r>
      <w:r>
        <w:t>רבנים</w:t>
      </w:r>
      <w:r>
        <w:t xml:space="preserve"> (rabbis) and medieval commen</w:t>
      </w:r>
      <w:r>
        <w:t xml:space="preserve">tators therefore picture this psalm as recited “over thanksgiving offerings” (Rashi: </w:t>
      </w:r>
      <w:r>
        <w:t>עַל</w:t>
      </w:r>
      <w:r>
        <w:t xml:space="preserve"> </w:t>
      </w:r>
      <w:r>
        <w:t>זִבְחֵי</w:t>
      </w:r>
      <w:r>
        <w:t xml:space="preserve"> </w:t>
      </w:r>
      <w:r>
        <w:t>תּוֹדָה</w:t>
      </w:r>
      <w:r>
        <w:t xml:space="preserve"> / “over thanksgiving sacrifices”).‏</w:t>
      </w:r>
    </w:p>
    <w:p w14:paraId="7895CA4A" w14:textId="77777777" w:rsidR="00AC66DA" w:rsidRDefault="00CC5C72">
      <w:pPr>
        <w:pStyle w:val="BodySans"/>
      </w:pPr>
      <w:r>
        <w:t xml:space="preserve">So already the title pushes us to hear the poem not as private piety but as the soundtrack of a </w:t>
      </w:r>
      <w:r>
        <w:rPr>
          <w:b/>
        </w:rPr>
        <w:t>public feast</w:t>
      </w:r>
      <w:r>
        <w:t xml:space="preserve"> where one person’s rescue becomes everyone’s celebration.</w:t>
      </w:r>
    </w:p>
    <w:p w14:paraId="257E79FC" w14:textId="77777777" w:rsidR="00AC66DA" w:rsidRDefault="00CC5C72">
      <w:pPr>
        <w:pStyle w:val="BodySans"/>
      </w:pPr>
      <w:r>
        <w:t xml:space="preserve">The first verb, </w:t>
      </w:r>
      <w:r>
        <w:t>הָרִיעוּ</w:t>
      </w:r>
      <w:r>
        <w:t xml:space="preserve"> (</w:t>
      </w:r>
      <w:r>
        <w:rPr>
          <w:i/>
        </w:rPr>
        <w:t>hariʿu</w:t>
      </w:r>
      <w:r>
        <w:t xml:space="preserve">), is “raise a shout,” often a </w:t>
      </w:r>
      <w:r>
        <w:rPr>
          <w:b/>
        </w:rPr>
        <w:t>war‑cry</w:t>
      </w:r>
      <w:r>
        <w:t xml:space="preserve"> or </w:t>
      </w:r>
      <w:r>
        <w:rPr>
          <w:b/>
        </w:rPr>
        <w:t>coronation acclamation</w:t>
      </w:r>
      <w:r>
        <w:t>. Psalm 98:4 parallels our line:</w:t>
      </w:r>
    </w:p>
    <w:p w14:paraId="001A9131" w14:textId="77777777" w:rsidR="00AC66DA" w:rsidRDefault="00CC5C72">
      <w:pPr>
        <w:pStyle w:val="BodySans"/>
        <w:ind w:left="720"/>
      </w:pPr>
      <w:bdo w:val="ltr">
        <w:r>
          <w:rPr>
            <w:i/>
          </w:rPr>
          <w:t>׃וּרמֵּזַוְ</w:t>
        </w:r>
        <w:r>
          <w:rPr>
            <w:i/>
          </w:rPr>
          <w:t xml:space="preserve"> </w:t>
        </w:r>
        <w:r>
          <w:rPr>
            <w:i/>
          </w:rPr>
          <w:t>וּננְּרַוְ</w:t>
        </w:r>
        <w:r>
          <w:rPr>
            <w:i/>
          </w:rPr>
          <w:t xml:space="preserve"> </w:t>
        </w:r>
        <w:r>
          <w:rPr>
            <w:i/>
          </w:rPr>
          <w:t>וּחצְפִּ</w:t>
        </w:r>
        <w:r>
          <w:rPr>
            <w:i/>
          </w:rPr>
          <w:t xml:space="preserve"> </w:t>
        </w:r>
        <w:r>
          <w:rPr>
            <w:i/>
          </w:rPr>
          <w:t>ץרֶאָהָ־לכׇּ</w:t>
        </w:r>
        <w:r>
          <w:rPr>
            <w:i/>
          </w:rPr>
          <w:t xml:space="preserve"> </w:t>
        </w:r>
        <w:r>
          <w:rPr>
            <w:i/>
          </w:rPr>
          <w:t>הלַ</w:t>
        </w:r>
        <w:r>
          <w:rPr>
            <w:i/>
          </w:rPr>
          <w:t xml:space="preserve"> </w:t>
        </w:r>
        <w:r>
          <w:rPr>
            <w:i/>
          </w:rPr>
          <w:t>וּעירִהָ</w:t>
        </w:r>
        <w:r>
          <w:rPr>
            <w:i/>
          </w:rPr>
          <w:t>‬</w:t>
        </w:r>
      </w:bdo>
    </w:p>
    <w:p w14:paraId="1640B3B5" w14:textId="77777777" w:rsidR="00AC66DA" w:rsidRDefault="00CC5C72">
      <w:pPr>
        <w:pStyle w:val="BodySans"/>
        <w:ind w:left="720"/>
      </w:pPr>
      <w:r>
        <w:rPr>
          <w:i/>
        </w:rPr>
        <w:t>“Raise a shout to YHWH, all the earth; break out, sing for joy, make music!”</w:t>
      </w:r>
    </w:p>
    <w:p w14:paraId="4B3AF55B" w14:textId="77777777" w:rsidR="00AC66DA" w:rsidRDefault="00CC5C72">
      <w:pPr>
        <w:pStyle w:val="BodySans"/>
      </w:pPr>
      <w:r>
        <w:t>The same pattern appears in Psalm 66:1:</w:t>
      </w:r>
    </w:p>
    <w:p w14:paraId="2FE37AA9" w14:textId="77777777" w:rsidR="00AC66DA" w:rsidRDefault="00CC5C72">
      <w:pPr>
        <w:pStyle w:val="BodySans"/>
        <w:ind w:left="720"/>
      </w:pPr>
      <w:bdo w:val="ltr">
        <w:r>
          <w:rPr>
            <w:i/>
          </w:rPr>
          <w:t>׃ץרֶאָהָ־לכׇּ</w:t>
        </w:r>
        <w:r>
          <w:rPr>
            <w:i/>
          </w:rPr>
          <w:t xml:space="preserve"> </w:t>
        </w:r>
        <w:r>
          <w:rPr>
            <w:i/>
          </w:rPr>
          <w:t>םיקִלֹאלֵ</w:t>
        </w:r>
        <w:r>
          <w:rPr>
            <w:i/>
          </w:rPr>
          <w:t xml:space="preserve"> </w:t>
        </w:r>
        <w:r>
          <w:rPr>
            <w:i/>
          </w:rPr>
          <w:t>וּעירִהָ</w:t>
        </w:r>
        <w:r>
          <w:rPr>
            <w:i/>
          </w:rPr>
          <w:t>‬</w:t>
        </w:r>
      </w:bdo>
    </w:p>
    <w:p w14:paraId="44E55FD7" w14:textId="77777777" w:rsidR="00AC66DA" w:rsidRDefault="00CC5C72">
      <w:pPr>
        <w:pStyle w:val="BodySans"/>
        <w:ind w:left="720"/>
      </w:pPr>
      <w:r>
        <w:rPr>
          <w:i/>
        </w:rPr>
        <w:t>“Raise a shout to God, all the earth.”</w:t>
      </w:r>
    </w:p>
    <w:p w14:paraId="2E9A88A8" w14:textId="77777777" w:rsidR="00AC66DA" w:rsidRDefault="00CC5C72">
      <w:pPr>
        <w:pStyle w:val="BodySans"/>
      </w:pPr>
      <w:r>
        <w:t>In all three, “all the earth” is not politely murmuring; it is roaring allegiance to the divine King.</w:t>
      </w:r>
    </w:p>
    <w:p w14:paraId="79796ECB" w14:textId="77777777" w:rsidR="00AC66DA" w:rsidRDefault="00CC5C72">
      <w:pPr>
        <w:pStyle w:val="BodySans"/>
      </w:pPr>
      <w:r>
        <w:t>כׇּל־הָאָרֶץ</w:t>
      </w:r>
      <w:r>
        <w:t xml:space="preserve"> / “all the earth” is deliberately bold in a temple psalm. Ibn Ezra already notes that “earth” here means all its inhabitants, not just Israel. This universal address creates a </w:t>
      </w:r>
      <w:r>
        <w:lastRenderedPageBreak/>
        <w:t xml:space="preserve">tension with verse 3’s “his people” language. One way to read it is </w:t>
      </w:r>
      <w:r>
        <w:rPr>
          <w:b/>
        </w:rPr>
        <w:t>prophetic</w:t>
      </w:r>
      <w:r>
        <w:t>: the nations are being summoned to join Israel’s pattern of todah. Zechariah 14:9 imagines:</w:t>
      </w:r>
    </w:p>
    <w:p w14:paraId="429C52D0" w14:textId="77777777" w:rsidR="00AC66DA" w:rsidRDefault="00CC5C72">
      <w:pPr>
        <w:pStyle w:val="BodySans"/>
        <w:ind w:left="720"/>
      </w:pPr>
      <w:r>
        <w:rPr>
          <w:i/>
        </w:rPr>
        <w:t>וְהָיָה</w:t>
      </w:r>
      <w:r>
        <w:rPr>
          <w:i/>
        </w:rPr>
        <w:t xml:space="preserve"> </w:t>
      </w:r>
      <w:r>
        <w:rPr>
          <w:i/>
        </w:rPr>
        <w:t>ה׳</w:t>
      </w:r>
      <w:r>
        <w:rPr>
          <w:i/>
        </w:rPr>
        <w:t xml:space="preserve"> </w:t>
      </w:r>
      <w:r>
        <w:rPr>
          <w:i/>
        </w:rPr>
        <w:t>לְמֶלֶךְ</w:t>
      </w:r>
      <w:r>
        <w:rPr>
          <w:i/>
        </w:rPr>
        <w:t xml:space="preserve"> </w:t>
      </w:r>
      <w:r>
        <w:rPr>
          <w:i/>
        </w:rPr>
        <w:t>עַל־כׇּל־הָאָרֶץ</w:t>
      </w:r>
    </w:p>
    <w:p w14:paraId="0221D327" w14:textId="77777777" w:rsidR="00AC66DA" w:rsidRDefault="00CC5C72">
      <w:pPr>
        <w:pStyle w:val="BodySans"/>
        <w:ind w:left="720"/>
      </w:pPr>
      <w:r>
        <w:rPr>
          <w:i/>
        </w:rPr>
        <w:t>“YHWH will be king over all the earth.”</w:t>
      </w:r>
    </w:p>
    <w:p w14:paraId="66AE2D9F" w14:textId="77777777" w:rsidR="00AC66DA" w:rsidRDefault="00CC5C72">
      <w:pPr>
        <w:pStyle w:val="BodySans"/>
      </w:pPr>
      <w:r>
        <w:t>Psalm 100 becomes a liturgical preview of that scenario: what will it sound like when that kingship is finally acknowledged.</w:t>
      </w:r>
    </w:p>
    <w:p w14:paraId="43191E48" w14:textId="77777777" w:rsidR="00AC66DA" w:rsidRDefault="00AC66DA">
      <w:pPr>
        <w:pBdr>
          <w:bottom w:val="single" w:sz="12" w:space="1" w:color="000000"/>
        </w:pBdr>
      </w:pPr>
    </w:p>
    <w:p w14:paraId="35AB81C1" w14:textId="77777777" w:rsidR="00AC66DA" w:rsidRDefault="00CC5C72">
      <w:pPr>
        <w:pStyle w:val="Heading3"/>
      </w:pPr>
      <w:r>
        <w:t>Verse 2</w:t>
      </w:r>
    </w:p>
    <w:p w14:paraId="0F9D9B8A" w14:textId="77777777" w:rsidR="00AC66DA" w:rsidRDefault="00CC5C72">
      <w:pPr>
        <w:pStyle w:val="BodySans"/>
      </w:pPr>
      <w:bdo w:val="ltr">
        <w:r>
          <w:t>׃הנָנָרְבִּ</w:t>
        </w:r>
        <w:r>
          <w:t xml:space="preserve"> </w:t>
        </w:r>
        <w:r>
          <w:t>וינָפָלְ</w:t>
        </w:r>
        <w:r>
          <w:t xml:space="preserve"> </w:t>
        </w:r>
        <w:r>
          <w:t>וּאבֹּ</w:t>
        </w:r>
        <w:r>
          <w:t xml:space="preserve"> ;</w:t>
        </w:r>
        <w:r>
          <w:t>החָמְשִׂבְּ</w:t>
        </w:r>
        <w:r>
          <w:t xml:space="preserve"> </w:t>
        </w:r>
        <w:r>
          <w:t>ה־תאֶ</w:t>
        </w:r>
        <w:r>
          <w:t xml:space="preserve"> </w:t>
        </w:r>
        <w:r>
          <w:t>וּדבְעִ</w:t>
        </w:r>
        <w:r>
          <w:t>‬</w:t>
        </w:r>
      </w:bdo>
    </w:p>
    <w:p w14:paraId="2C64A91E" w14:textId="77777777" w:rsidR="00AC66DA" w:rsidRDefault="00CC5C72">
      <w:pPr>
        <w:pStyle w:val="BodySans"/>
      </w:pPr>
      <w:r>
        <w:t>“Serve YHWH in gladness; come before his face with ringing shouts.”</w:t>
      </w:r>
    </w:p>
    <w:p w14:paraId="2CB8AF47" w14:textId="77777777" w:rsidR="00AC66DA" w:rsidRDefault="00CC5C72">
      <w:pPr>
        <w:pStyle w:val="BodySans"/>
      </w:pPr>
      <w:r>
        <w:t xml:space="preserve">The verb </w:t>
      </w:r>
      <w:r>
        <w:t>עִבְדוּ</w:t>
      </w:r>
      <w:r>
        <w:t xml:space="preserve"> (from </w:t>
      </w:r>
      <w:r>
        <w:t>עבד</w:t>
      </w:r>
      <w:r>
        <w:t xml:space="preserve">) straddles several domains. In ordinary prose it means “work, serve,” whether as a slave </w:t>
      </w:r>
      <w:bdo w:val="ltr">
        <w:r>
          <w:t>(</w:t>
        </w:r>
        <w:r>
          <w:t>דבֶעֶ</w:t>
        </w:r>
        <w:r>
          <w:t>)</w:t>
        </w:r>
        <w:r>
          <w:t xml:space="preserve">‬ or as a vassal to a king. Cultically it often means “worship”: </w:t>
        </w:r>
        <w:r>
          <w:t>וַעֲבַדְתֶּם</w:t>
        </w:r>
        <w:r>
          <w:t xml:space="preserve"> </w:t>
        </w:r>
        <w:r>
          <w:t>אֵת־ה׳</w:t>
        </w:r>
        <w:r>
          <w:t xml:space="preserve"> </w:t>
        </w:r>
        <w:r>
          <w:t>אֱלֹקֵיכֶם</w:t>
        </w:r>
        <w:r>
          <w:t xml:space="preserve"> (“You shall serve YHWH your God,” Exodus 23:25). Its political freight is clear in the Exodus: Israel is freed from “serving” Pharaoh in order to “serve” YHWH.‏</w:t>
        </w:r>
      </w:bdo>
    </w:p>
    <w:p w14:paraId="4429064B" w14:textId="77777777" w:rsidR="00AC66DA" w:rsidRDefault="00CC5C72">
      <w:pPr>
        <w:pStyle w:val="BodySans"/>
      </w:pPr>
      <w:r>
        <w:t xml:space="preserve">Here that service is qualified </w:t>
      </w:r>
      <w:r>
        <w:t>בְּשִׂמְחָה</w:t>
      </w:r>
      <w:r>
        <w:t xml:space="preserve">, “in gladness.” That adverbial phrase is unusual with </w:t>
      </w:r>
      <w:r>
        <w:t>עבד</w:t>
      </w:r>
      <w:r>
        <w:t xml:space="preserve">. Psalm 2:11 gives a darker pair: </w:t>
      </w:r>
      <w:r>
        <w:t>עִבְדוּ</w:t>
      </w:r>
      <w:r>
        <w:t xml:space="preserve"> </w:t>
      </w:r>
      <w:r>
        <w:t>אֶת־ה׳</w:t>
      </w:r>
      <w:r>
        <w:t xml:space="preserve"> </w:t>
      </w:r>
      <w:r>
        <w:t>בְּיִרְאָה</w:t>
      </w:r>
      <w:r>
        <w:t xml:space="preserve"> </w:t>
      </w:r>
      <w:r>
        <w:t>וְגִילוּ</w:t>
      </w:r>
      <w:r>
        <w:t xml:space="preserve"> </w:t>
      </w:r>
      <w:r>
        <w:t>בִּרְעָדָה</w:t>
      </w:r>
      <w:r>
        <w:t xml:space="preserve"> (“Serve YHWH in fear, rejoice with trembling”). Meiri notes the contrast and reconciles it: service must be both fearful and joyful—fear in the sense of inner humility, joy in the privilege of addressing “one whom none can equal.” Psalm 100 leans heavily into the joy side of that equation.‏</w:t>
      </w:r>
    </w:p>
    <w:p w14:paraId="74E33A5E" w14:textId="77777777" w:rsidR="00AC66DA" w:rsidRDefault="00CC5C72">
      <w:pPr>
        <w:pStyle w:val="BodySans"/>
      </w:pPr>
      <w:r>
        <w:t>Malbim presses the point by contrasting divine and human masters. Service to flesh‑and‑blood rulers is burdened by uncertainty; one works hoping for later wages. Service to God is its own reward, a present participation in divine life. Hence the inversion he notes: before a human king, one enters weeping and leaves rejoicing (if granted); before God, one enters already rejoicing—</w:t>
      </w:r>
      <w:r>
        <w:t>בִּרְנָנָה</w:t>
      </w:r>
      <w:r>
        <w:t xml:space="preserve"> (“with ringing shouts”)—because “</w:t>
      </w:r>
      <w:r>
        <w:t>כְּבָר</w:t>
      </w:r>
      <w:r>
        <w:t xml:space="preserve"> </w:t>
      </w:r>
      <w:r>
        <w:t>הִקְדִּים</w:t>
      </w:r>
      <w:r>
        <w:t xml:space="preserve"> </w:t>
      </w:r>
      <w:r>
        <w:t>לָכֶם</w:t>
      </w:r>
      <w:r>
        <w:t xml:space="preserve"> </w:t>
      </w:r>
      <w:r>
        <w:t>טוֹבוֹתָיו</w:t>
      </w:r>
      <w:r>
        <w:t>,” “he has already anticipated you with his benefits.”</w:t>
      </w:r>
    </w:p>
    <w:p w14:paraId="4C432128" w14:textId="77777777" w:rsidR="00AC66DA" w:rsidRDefault="00CC5C72">
      <w:pPr>
        <w:pStyle w:val="BodySans"/>
      </w:pPr>
      <w:r>
        <w:t xml:space="preserve">The phrase </w:t>
      </w:r>
      <w:r>
        <w:t>בֹּאוּ</w:t>
      </w:r>
      <w:r>
        <w:t xml:space="preserve"> </w:t>
      </w:r>
      <w:r>
        <w:t>לְפָנָיו</w:t>
      </w:r>
      <w:r>
        <w:t xml:space="preserve"> literally means “come before his face.” In court idiom, to “stand before” a lord is to be his servant or counselor; Elisha swears, </w:t>
      </w:r>
      <w:r>
        <w:t>חַי־ה׳</w:t>
      </w:r>
      <w:r>
        <w:t xml:space="preserve"> </w:t>
      </w:r>
      <w:r>
        <w:t>אֲשֶׁר־עָמַדְתִּי</w:t>
      </w:r>
      <w:r>
        <w:t xml:space="preserve"> </w:t>
      </w:r>
      <w:r>
        <w:t>לְפָנָיו</w:t>
      </w:r>
      <w:r>
        <w:t xml:space="preserve"> (“As YHWH lives, before whom I stand,” 2 Kings 5:16). Ezekiel 44:16 uses similar language of priests: “they shall come near my table to serve me” </w:t>
      </w:r>
      <w:bdo w:val="ltr">
        <w:r>
          <w:t>(</w:t>
        </w:r>
        <w:r>
          <w:t>ינִתֵרְשָׁלְ</w:t>
        </w:r>
        <w:r>
          <w:t xml:space="preserve"> </w:t>
        </w:r>
        <w:r>
          <w:t>ינִחָלְשֻׁ־לאֶ</w:t>
        </w:r>
        <w:r>
          <w:t>)</w:t>
        </w:r>
        <w:r>
          <w:t>‬. Here that high‑status privilege is democratized. “All the earth” is invited to behave like royal courtiers.‏</w:t>
        </w:r>
      </w:bdo>
    </w:p>
    <w:p w14:paraId="465BE2DB" w14:textId="77777777" w:rsidR="00AC66DA" w:rsidRDefault="00CC5C72">
      <w:pPr>
        <w:pStyle w:val="BodySans"/>
      </w:pPr>
      <w:r>
        <w:lastRenderedPageBreak/>
        <w:t xml:space="preserve">The noun </w:t>
      </w:r>
      <w:r>
        <w:t>רְנָנָה</w:t>
      </w:r>
      <w:r>
        <w:t xml:space="preserve">, “ringing shout,” pairs with </w:t>
      </w:r>
      <w:r>
        <w:t>שִׂמְחָה</w:t>
      </w:r>
      <w:r>
        <w:t xml:space="preserve"> as near‑synonyms; Job 3:7 contrasts it with mourning: </w:t>
      </w:r>
      <w:r>
        <w:t>לֹא־יָבֹא</w:t>
      </w:r>
      <w:r>
        <w:t xml:space="preserve"> </w:t>
      </w:r>
      <w:r>
        <w:t>בֵיתָם</w:t>
      </w:r>
      <w:r>
        <w:t xml:space="preserve"> </w:t>
      </w:r>
      <w:r>
        <w:t>רְנָנָה</w:t>
      </w:r>
      <w:r>
        <w:t xml:space="preserve"> (“let no joyful shout come into it”). The parallel with verse 1’s </w:t>
      </w:r>
      <w:r>
        <w:t>הָרִיעוּ</w:t>
      </w:r>
      <w:r>
        <w:t xml:space="preserve"> suggests a continuum of sound from raw acclamation to tuneful exultation. Worship begins in noise and crystallizes into song.‏</w:t>
      </w:r>
    </w:p>
    <w:p w14:paraId="4E1AD7E8" w14:textId="77777777" w:rsidR="00AC66DA" w:rsidRDefault="00CC5C72">
      <w:pPr>
        <w:pStyle w:val="BodySans"/>
        <w:jc w:val="center"/>
      </w:pPr>
      <w:r>
        <w:t>—</w:t>
      </w:r>
    </w:p>
    <w:p w14:paraId="76D9ABC8" w14:textId="77777777" w:rsidR="00AC66DA" w:rsidRDefault="00CC5C72">
      <w:pPr>
        <w:pStyle w:val="BodySans"/>
      </w:pPr>
      <w:r>
        <w:rPr>
          <w:b/>
          <w:color w:val="008000"/>
        </w:rPr>
        <w:t xml:space="preserve">“Serve </w:t>
      </w:r>
      <w:r>
        <w:t>YHWH with gladness; come before his face with ringing shouts.”</w:t>
      </w:r>
    </w:p>
    <w:p w14:paraId="17A002F5" w14:textId="77777777" w:rsidR="00AC66DA" w:rsidRDefault="00CC5C72">
      <w:pPr>
        <w:pStyle w:val="BodySans"/>
      </w:pPr>
      <w:r>
        <w:t xml:space="preserve">The root </w:t>
      </w:r>
      <w:r>
        <w:t>עבד</w:t>
      </w:r>
      <w:r>
        <w:t xml:space="preserve"> (</w:t>
      </w:r>
      <w:r>
        <w:rPr>
          <w:i/>
        </w:rPr>
        <w:t>ʿ</w:t>
      </w:r>
      <w:r>
        <w:rPr>
          <w:i/>
        </w:rPr>
        <w:t>-b-d</w:t>
      </w:r>
      <w:r>
        <w:t xml:space="preserve">) means “to work, serve,” and by extension “to worship.” In royal contexts it parallels being a </w:t>
      </w:r>
      <w:r>
        <w:rPr>
          <w:b/>
        </w:rPr>
        <w:t>vassal</w:t>
      </w:r>
      <w:r>
        <w:t xml:space="preserve">: “my servant David” </w:t>
      </w:r>
      <w:bdo w:val="ltr">
        <w:r>
          <w:t>(</w:t>
        </w:r>
        <w:r>
          <w:t>דוִדָ</w:t>
        </w:r>
        <w:r>
          <w:t xml:space="preserve"> </w:t>
        </w:r>
        <w:r>
          <w:t>ידִּבְעַ</w:t>
        </w:r>
        <w:r>
          <w:t>)</w:t>
        </w:r>
        <w:r>
          <w:t>‬ for the king, “Nebuchadnezzar my servant” (</w:t>
        </w:r>
        <w:r>
          <w:t>עַבְדִּי</w:t>
        </w:r>
        <w:r>
          <w:t xml:space="preserve">, Jeremiah 43:10) for a foreign ruler God uses. So </w:t>
        </w:r>
        <w:r>
          <w:t>עִבְדוּ</w:t>
        </w:r>
        <w:r>
          <w:t xml:space="preserve"> </w:t>
        </w:r>
        <w:r>
          <w:t>אֶת־ה׳</w:t>
        </w:r>
        <w:r>
          <w:t xml:space="preserve"> / “serve YHWH” is politically loaded: render to YHWH the obedience vassals owe a suzerain.‏</w:t>
        </w:r>
      </w:bdo>
    </w:p>
    <w:p w14:paraId="709E28AC" w14:textId="77777777" w:rsidR="00AC66DA" w:rsidRDefault="00CC5C72">
      <w:pPr>
        <w:pStyle w:val="BodySans"/>
      </w:pPr>
      <w:r>
        <w:t xml:space="preserve">Here the surprise is the adverb: </w:t>
      </w:r>
      <w:r>
        <w:t>בְּשִׂמְחָה</w:t>
      </w:r>
      <w:r>
        <w:t xml:space="preserve"> / “in gladness.” Psalm 2:11 says:‏</w:t>
      </w:r>
    </w:p>
    <w:p w14:paraId="7E8B4D1C" w14:textId="77777777" w:rsidR="00AC66DA" w:rsidRDefault="00CC5C72">
      <w:pPr>
        <w:pStyle w:val="BodySans"/>
        <w:ind w:left="720"/>
      </w:pPr>
      <w:bdo w:val="ltr">
        <w:r>
          <w:rPr>
            <w:i/>
          </w:rPr>
          <w:t>׃הדָעָרְבִּ</w:t>
        </w:r>
        <w:r>
          <w:rPr>
            <w:i/>
          </w:rPr>
          <w:t xml:space="preserve"> </w:t>
        </w:r>
        <w:r>
          <w:rPr>
            <w:i/>
          </w:rPr>
          <w:t>וּליגִוְ</w:t>
        </w:r>
        <w:r>
          <w:rPr>
            <w:i/>
          </w:rPr>
          <w:t xml:space="preserve"> </w:t>
        </w:r>
        <w:r>
          <w:rPr>
            <w:i/>
          </w:rPr>
          <w:t>האָרְיִבְּ</w:t>
        </w:r>
        <w:r>
          <w:rPr>
            <w:i/>
          </w:rPr>
          <w:t xml:space="preserve"> </w:t>
        </w:r>
        <w:r>
          <w:rPr>
            <w:i/>
          </w:rPr>
          <w:t>ה־תאֶ</w:t>
        </w:r>
        <w:r>
          <w:rPr>
            <w:i/>
          </w:rPr>
          <w:t xml:space="preserve"> </w:t>
        </w:r>
        <w:r>
          <w:rPr>
            <w:i/>
          </w:rPr>
          <w:t>וּדבְעִ</w:t>
        </w:r>
        <w:r>
          <w:rPr>
            <w:i/>
          </w:rPr>
          <w:t>‬</w:t>
        </w:r>
      </w:bdo>
    </w:p>
    <w:p w14:paraId="411A2A7A" w14:textId="77777777" w:rsidR="00AC66DA" w:rsidRDefault="00CC5C72">
      <w:pPr>
        <w:pStyle w:val="BodySans"/>
        <w:ind w:left="720"/>
      </w:pPr>
      <w:r>
        <w:rPr>
          <w:i/>
        </w:rPr>
        <w:t>“Serve YHWH in fear, and rejoice with trembling.”</w:t>
      </w:r>
    </w:p>
    <w:p w14:paraId="23DC552D" w14:textId="77777777" w:rsidR="00AC66DA" w:rsidRDefault="00CC5C72">
      <w:pPr>
        <w:pStyle w:val="BodySans"/>
      </w:pPr>
      <w:r>
        <w:t xml:space="preserve">Meiri resolves the tension by assigning them to </w:t>
      </w:r>
      <w:r>
        <w:rPr>
          <w:b/>
        </w:rPr>
        <w:t>different moments</w:t>
      </w:r>
      <w:r>
        <w:t>: in this world, awe dominates; in the messianic future, joy. Our psalm feels very much like that future: fear has not disappeared—this is still royal service—but it has been transfigured into delight. Malbim explains that with human masters service is a burdensome means to later reward; with God, “the service itself is the reward,” so joy properly accompanies it.</w:t>
      </w:r>
    </w:p>
    <w:p w14:paraId="56BC646E" w14:textId="77777777" w:rsidR="00AC66DA" w:rsidRDefault="00CC5C72">
      <w:pPr>
        <w:pStyle w:val="BodySans"/>
      </w:pPr>
      <w:r>
        <w:t xml:space="preserve">The second colon, </w:t>
      </w:r>
      <w:r>
        <w:t>בֹּאוּ</w:t>
      </w:r>
      <w:r>
        <w:t xml:space="preserve"> </w:t>
      </w:r>
      <w:r>
        <w:t>לְפָנָיו</w:t>
      </w:r>
      <w:r>
        <w:t xml:space="preserve"> </w:t>
      </w:r>
      <w:r>
        <w:t>בִּרְנָנָה</w:t>
      </w:r>
      <w:r>
        <w:t xml:space="preserve"> / “come before his face with ringing shouts,” intensifies intimacy. The idiom “come before the face” </w:t>
      </w:r>
      <w:bdo w:val="ltr">
        <w:r>
          <w:t>(</w:t>
        </w:r>
        <w:r>
          <w:t>ינֵפְלִ</w:t>
        </w:r>
        <w:r>
          <w:t xml:space="preserve"> </w:t>
        </w:r>
        <w:r>
          <w:t>אוֹבּ</w:t>
        </w:r>
        <w:r>
          <w:t>)</w:t>
        </w:r>
        <w:r>
          <w:t>‬ parallels prophetic service. Elisha swears:‏</w:t>
        </w:r>
      </w:bdo>
    </w:p>
    <w:p w14:paraId="1465BBF0" w14:textId="77777777" w:rsidR="00AC66DA" w:rsidRDefault="00CC5C72">
      <w:pPr>
        <w:pStyle w:val="BodySans"/>
        <w:ind w:left="720"/>
      </w:pPr>
      <w:r>
        <w:rPr>
          <w:i/>
        </w:rPr>
        <w:t>חַי־ה׳</w:t>
      </w:r>
      <w:r>
        <w:rPr>
          <w:i/>
        </w:rPr>
        <w:t xml:space="preserve"> </w:t>
      </w:r>
      <w:r>
        <w:rPr>
          <w:i/>
        </w:rPr>
        <w:t>אֲשֶׁר־עָמַדְתִּי</w:t>
      </w:r>
      <w:r>
        <w:rPr>
          <w:i/>
        </w:rPr>
        <w:t xml:space="preserve"> </w:t>
      </w:r>
      <w:r>
        <w:rPr>
          <w:i/>
        </w:rPr>
        <w:t>לְפָנָיו</w:t>
      </w:r>
    </w:p>
    <w:p w14:paraId="1DE78FDA" w14:textId="77777777" w:rsidR="00AC66DA" w:rsidRDefault="00CC5C72">
      <w:pPr>
        <w:pStyle w:val="BodySans"/>
        <w:ind w:left="720"/>
      </w:pPr>
      <w:r>
        <w:rPr>
          <w:i/>
        </w:rPr>
        <w:t>“As YHWH lives, before whom I stand” (2 Kings 5:16),</w:t>
      </w:r>
    </w:p>
    <w:p w14:paraId="5786515F" w14:textId="77777777" w:rsidR="00AC66DA" w:rsidRDefault="00CC5C72">
      <w:pPr>
        <w:pStyle w:val="BodySans"/>
      </w:pPr>
      <w:r>
        <w:t xml:space="preserve">where “standing before” marks him as a courtier‑prophet. Psalm 100 universalizes this privilege: </w:t>
      </w:r>
      <w:r>
        <w:rPr>
          <w:b/>
        </w:rPr>
        <w:t>all the earth</w:t>
      </w:r>
      <w:r>
        <w:t xml:space="preserve"> can now “come before his face.”</w:t>
      </w:r>
    </w:p>
    <w:p w14:paraId="56EC85AC" w14:textId="77777777" w:rsidR="00AC66DA" w:rsidRDefault="00CC5C72">
      <w:pPr>
        <w:pStyle w:val="BodySans"/>
      </w:pPr>
      <w:r>
        <w:t xml:space="preserve">The noun </w:t>
      </w:r>
      <w:r>
        <w:t>רְנָנָה</w:t>
      </w:r>
      <w:r>
        <w:t xml:space="preserve"> (</w:t>
      </w:r>
      <w:r>
        <w:rPr>
          <w:i/>
        </w:rPr>
        <w:t>renanah</w:t>
      </w:r>
      <w:r>
        <w:t>) is a “ringing shout” of joy. Job 3:7 uses it negatively:</w:t>
      </w:r>
    </w:p>
    <w:p w14:paraId="4AD1015C" w14:textId="77777777" w:rsidR="00AC66DA" w:rsidRDefault="00CC5C72">
      <w:pPr>
        <w:pStyle w:val="BodySans"/>
        <w:ind w:left="720"/>
      </w:pPr>
      <w:bdo w:val="ltr">
        <w:r>
          <w:rPr>
            <w:i/>
          </w:rPr>
          <w:t>׃הנָנָרְ</w:t>
        </w:r>
        <w:r>
          <w:rPr>
            <w:i/>
          </w:rPr>
          <w:t xml:space="preserve"> </w:t>
        </w:r>
        <w:r>
          <w:rPr>
            <w:i/>
          </w:rPr>
          <w:t>אוֹבתָּ־לאַוְ</w:t>
        </w:r>
        <w:r>
          <w:rPr>
            <w:i/>
          </w:rPr>
          <w:t>‬</w:t>
        </w:r>
      </w:bdo>
    </w:p>
    <w:p w14:paraId="4F2DF326" w14:textId="77777777" w:rsidR="00AC66DA" w:rsidRDefault="00CC5C72">
      <w:pPr>
        <w:pStyle w:val="BodySans"/>
        <w:ind w:left="720"/>
      </w:pPr>
      <w:r>
        <w:rPr>
          <w:i/>
        </w:rPr>
        <w:t>“Let no joyful shout come there,”</w:t>
      </w:r>
    </w:p>
    <w:p w14:paraId="30D5D2A5" w14:textId="77777777" w:rsidR="00AC66DA" w:rsidRDefault="00CC5C72">
      <w:pPr>
        <w:pStyle w:val="BodySans"/>
      </w:pPr>
      <w:r>
        <w:t xml:space="preserve">showing that the word really does mean loud exuberance, not quiet contentment. The pairing </w:t>
      </w:r>
      <w:r>
        <w:t>שִׂמְחָה</w:t>
      </w:r>
      <w:r>
        <w:t xml:space="preserve"> // </w:t>
      </w:r>
      <w:r>
        <w:t>רְנָנָה</w:t>
      </w:r>
      <w:r>
        <w:t xml:space="preserve"> (“gladness” // “joyful shouts”) makes verse 2 a </w:t>
      </w:r>
      <w:r>
        <w:rPr>
          <w:b/>
        </w:rPr>
        <w:t xml:space="preserve">synonymous </w:t>
      </w:r>
      <w:r>
        <w:rPr>
          <w:b/>
        </w:rPr>
        <w:lastRenderedPageBreak/>
        <w:t>parallelism</w:t>
      </w:r>
      <w:r>
        <w:t xml:space="preserve"> that moves from inner emotion to outer sound: rejoice inwardly, then let it out in noise.</w:t>
      </w:r>
    </w:p>
    <w:p w14:paraId="15FED59E" w14:textId="77777777" w:rsidR="00AC66DA" w:rsidRDefault="00CC5C72">
      <w:pPr>
        <w:pStyle w:val="BodySans"/>
      </w:pPr>
      <w:r>
        <w:t xml:space="preserve">In Ancient Near Eastern myths like </w:t>
      </w:r>
      <w:r>
        <w:rPr>
          <w:i/>
        </w:rPr>
        <w:t>Enuma Elish</w:t>
      </w:r>
      <w:r>
        <w:t xml:space="preserve">, humans are created to do the gods’ drudgery. The Akkadian word </w:t>
      </w:r>
      <w:r>
        <w:rPr>
          <w:i/>
        </w:rPr>
        <w:t>dullu</w:t>
      </w:r>
      <w:r>
        <w:t xml:space="preserve"> (“menial labor”) describes what people are for. Psalm 100:2 quietly overturns that anthropology. Service to YHWH is not drudgery; it is the glad work of people invited into the throne room.</w:t>
      </w:r>
    </w:p>
    <w:p w14:paraId="6C55C16C" w14:textId="77777777" w:rsidR="00AC66DA" w:rsidRDefault="00AC66DA">
      <w:pPr>
        <w:pBdr>
          <w:bottom w:val="single" w:sz="12" w:space="1" w:color="000000"/>
        </w:pBdr>
      </w:pPr>
    </w:p>
    <w:p w14:paraId="30EA40D3" w14:textId="77777777" w:rsidR="00AC66DA" w:rsidRDefault="00CC5C72">
      <w:pPr>
        <w:pStyle w:val="Heading3"/>
      </w:pPr>
      <w:r>
        <w:t>Verse 3</w:t>
      </w:r>
    </w:p>
    <w:p w14:paraId="25C5AA68" w14:textId="77777777" w:rsidR="00AC66DA" w:rsidRDefault="00CC5C72">
      <w:pPr>
        <w:pStyle w:val="BodySans"/>
      </w:pPr>
      <w:bdo w:val="ltr">
        <w:r>
          <w:t>׃וֹתיעִרְמַ</w:t>
        </w:r>
        <w:r>
          <w:t xml:space="preserve"> </w:t>
        </w:r>
        <w:r>
          <w:t>ןאצֹוְ</w:t>
        </w:r>
        <w:r>
          <w:t xml:space="preserve"> </w:t>
        </w:r>
        <w:r>
          <w:t>וֹמּעַ</w:t>
        </w:r>
        <w:r>
          <w:t xml:space="preserve"> ;</w:t>
        </w:r>
        <w:r>
          <w:t>וּנחְנַאֲ</w:t>
        </w:r>
        <w:r>
          <w:t xml:space="preserve"> [</w:t>
        </w:r>
        <w:r>
          <w:t>וֹלוְ</w:t>
        </w:r>
        <w:r>
          <w:t xml:space="preserve">] </w:t>
        </w:r>
        <w:r>
          <w:t>אלֹוְ</w:t>
        </w:r>
        <w:r>
          <w:t xml:space="preserve"> </w:t>
        </w:r>
        <w:r>
          <w:t>וּנשָׂעָ־אוּה</w:t>
        </w:r>
        <w:r>
          <w:t xml:space="preserve"> ;</w:t>
        </w:r>
        <w:r>
          <w:t>םיקִלֹאֱ</w:t>
        </w:r>
        <w:r>
          <w:t xml:space="preserve"> </w:t>
        </w:r>
        <w:r>
          <w:t>אוּה</w:t>
        </w:r>
        <w:r>
          <w:t xml:space="preserve"> </w:t>
        </w:r>
        <w:r>
          <w:t>ה־יכִּ</w:t>
        </w:r>
        <w:r>
          <w:t xml:space="preserve"> </w:t>
        </w:r>
        <w:r>
          <w:t>וּעדְּ</w:t>
        </w:r>
        <w:r>
          <w:t>‬</w:t>
        </w:r>
      </w:bdo>
    </w:p>
    <w:p w14:paraId="2B2723C3" w14:textId="77777777" w:rsidR="00AC66DA" w:rsidRDefault="00CC5C72">
      <w:pPr>
        <w:pStyle w:val="BodySans"/>
      </w:pPr>
      <w:r>
        <w:t>“Know that YHWH—He is God; He made us and not we ourselves / and we are His; [we are] his people and the sheep of his pasture.”</w:t>
      </w:r>
    </w:p>
    <w:p w14:paraId="1793AA5D" w14:textId="77777777" w:rsidR="00AC66DA" w:rsidRDefault="00CC5C72">
      <w:pPr>
        <w:pStyle w:val="BodySans"/>
      </w:pPr>
      <w:r>
        <w:t xml:space="preserve">The imperative </w:t>
      </w:r>
      <w:r>
        <w:t>דְּעוּ</w:t>
      </w:r>
      <w:r>
        <w:t xml:space="preserve"> (“know!”) is striking. It is the only non‑performative command in the psalm; everything else is a bodily act. Yet in biblical idiom, “knowing” can be as covenantal as shouting. Deuteronomy 4:39 deploys the same structure: </w:t>
      </w:r>
      <w:r>
        <w:t>וְיָדַעְתָּ</w:t>
      </w:r>
      <w:r>
        <w:t xml:space="preserve">… </w:t>
      </w:r>
      <w:r>
        <w:t>כִּי</w:t>
      </w:r>
      <w:r>
        <w:t xml:space="preserve"> </w:t>
      </w:r>
      <w:r>
        <w:t>ה׳</w:t>
      </w:r>
      <w:r>
        <w:t xml:space="preserve"> </w:t>
      </w:r>
      <w:r>
        <w:t>הוּא</w:t>
      </w:r>
      <w:r>
        <w:t xml:space="preserve"> </w:t>
      </w:r>
      <w:r>
        <w:t>הָאֱלֹקִים</w:t>
      </w:r>
      <w:r>
        <w:t xml:space="preserve"> (“Know… that YHWH is the God”). Here, too, the statement is less an argument than a demand for allegiance.‏</w:t>
      </w:r>
    </w:p>
    <w:p w14:paraId="16FB5FF2" w14:textId="77777777" w:rsidR="00AC66DA" w:rsidRDefault="00CC5C72">
      <w:pPr>
        <w:pStyle w:val="BodySans"/>
      </w:pPr>
      <w:r>
        <w:t xml:space="preserve">The formula </w:t>
      </w:r>
      <w:r>
        <w:t>ה׳</w:t>
      </w:r>
      <w:r>
        <w:t xml:space="preserve"> </w:t>
      </w:r>
      <w:r>
        <w:t>הוּא</w:t>
      </w:r>
      <w:r>
        <w:t xml:space="preserve"> </w:t>
      </w:r>
      <w:r>
        <w:t>אֱלֹקִים</w:t>
      </w:r>
      <w:r>
        <w:t xml:space="preserve"> recalls climactic scenes of decision, most famously Elijah on Carmel: </w:t>
      </w:r>
      <w:r>
        <w:t>וַיִּפְּלוּ</w:t>
      </w:r>
      <w:r>
        <w:t xml:space="preserve"> </w:t>
      </w:r>
      <w:r>
        <w:t>עַל־פְּנֵיהֶם</w:t>
      </w:r>
      <w:r>
        <w:t xml:space="preserve"> </w:t>
      </w:r>
      <w:r>
        <w:t>וַיֹּאמְרוּ</w:t>
      </w:r>
      <w:r>
        <w:t xml:space="preserve"> </w:t>
      </w:r>
      <w:r>
        <w:t>ה׳</w:t>
      </w:r>
      <w:r>
        <w:t xml:space="preserve"> </w:t>
      </w:r>
      <w:r>
        <w:t>הוּא</w:t>
      </w:r>
      <w:r>
        <w:t xml:space="preserve"> </w:t>
      </w:r>
      <w:r>
        <w:t>הָאֱלֹקִים</w:t>
      </w:r>
      <w:r>
        <w:t xml:space="preserve"> (“They fell on their faces and said, ‘YHWH—He is the God!’” 1 Kings 18:39). There the people answer fire with confession; here the psalm front‑loads the creed so that praise flows from it.‏</w:t>
      </w:r>
    </w:p>
    <w:p w14:paraId="449C7632" w14:textId="77777777" w:rsidR="00AC66DA" w:rsidRDefault="00CC5C72">
      <w:pPr>
        <w:pStyle w:val="BodySans"/>
      </w:pPr>
      <w:r>
        <w:t xml:space="preserve">The phrase </w:t>
      </w:r>
      <w:r>
        <w:t>הוּא־עָשָׂנוּ</w:t>
      </w:r>
      <w:r>
        <w:t xml:space="preserve">, “He made us,” chooses the general verb </w:t>
      </w:r>
      <w:r>
        <w:t>עָשָׂה</w:t>
      </w:r>
      <w:r>
        <w:t xml:space="preserve"> rather than more specific covenantal terms like </w:t>
      </w:r>
      <w:r>
        <w:t>בָּחַר</w:t>
      </w:r>
      <w:r>
        <w:t xml:space="preserve"> (“chose”) or </w:t>
      </w:r>
      <w:r>
        <w:t>גָּאַל</w:t>
      </w:r>
      <w:r>
        <w:t xml:space="preserve"> (“redeemed”). Radak and Meiri read it not as a bare creation statement but as “he fashioned us and perfected us”—that is, he made Israel into a people. Deuteronomy 32:6 joins these ideas: </w:t>
      </w:r>
      <w:r>
        <w:t>הֲלוֹא</w:t>
      </w:r>
      <w:r>
        <w:t xml:space="preserve"> </w:t>
      </w:r>
      <w:r>
        <w:t>הוּא</w:t>
      </w:r>
      <w:r>
        <w:t xml:space="preserve"> </w:t>
      </w:r>
      <w:r>
        <w:t>אָבִיךָ</w:t>
      </w:r>
      <w:r>
        <w:t xml:space="preserve"> </w:t>
      </w:r>
      <w:r>
        <w:t>קָנֶךָ</w:t>
      </w:r>
      <w:r>
        <w:t xml:space="preserve"> </w:t>
      </w:r>
      <w:r>
        <w:t>הוּא</w:t>
      </w:r>
      <w:r>
        <w:t xml:space="preserve"> </w:t>
      </w:r>
      <w:r>
        <w:t>עָשְׂךָ</w:t>
      </w:r>
      <w:r>
        <w:t xml:space="preserve"> </w:t>
      </w:r>
      <w:r>
        <w:t>וַיְכֹנְנֶךָ</w:t>
      </w:r>
      <w:r>
        <w:t xml:space="preserve"> (“Is he not your father who created you? He made you and established you”). Psalm 100 participates in that fusion: ontological origin a</w:t>
      </w:r>
      <w:r>
        <w:t>nd covenant election are one fabric.‏</w:t>
      </w:r>
    </w:p>
    <w:p w14:paraId="416F273E" w14:textId="77777777" w:rsidR="00AC66DA" w:rsidRDefault="00CC5C72">
      <w:pPr>
        <w:pStyle w:val="BodySans"/>
      </w:pPr>
      <w:r>
        <w:t xml:space="preserve">The ketiv/qere </w:t>
      </w:r>
      <w:r>
        <w:t>וְלֹא</w:t>
      </w:r>
      <w:r>
        <w:t xml:space="preserve"> / </w:t>
      </w:r>
      <w:r>
        <w:t>וְלוֹ</w:t>
      </w:r>
      <w:r>
        <w:t xml:space="preserve"> is a classic crux. The ancient Greek (LXX) follows the ketiv (“and not we [ourselves]”), as do Rashi and the Vulgate: </w:t>
      </w:r>
      <w:r>
        <w:rPr>
          <w:i/>
        </w:rPr>
        <w:t>et non ipsi nos</w:t>
      </w:r>
      <w:r>
        <w:t xml:space="preserve">. Later Jewish tradition often favors the qere (“and we are His”), in part because it yields a smoother parallel to </w:t>
      </w:r>
      <w:r>
        <w:t>עַמּוֹ</w:t>
      </w:r>
      <w:r>
        <w:t xml:space="preserve"> (“his people”). Ibn Ezra, however, already insists that both senses matter. Meiri cleverly notes that “</w:t>
      </w:r>
      <w:r>
        <w:t>וְלֹא</w:t>
      </w:r>
      <w:r>
        <w:t xml:space="preserve"> </w:t>
      </w:r>
      <w:r>
        <w:t>אֲנַחְנוּ</w:t>
      </w:r>
      <w:r>
        <w:t xml:space="preserve">” is the opposite of Pharaoh’s hubris, </w:t>
      </w:r>
      <w:r>
        <w:t>וַאֲנִי</w:t>
      </w:r>
      <w:r>
        <w:t xml:space="preserve"> </w:t>
      </w:r>
      <w:r>
        <w:t>עָשִׂיתִנִי</w:t>
      </w:r>
      <w:r>
        <w:t xml:space="preserve"> (“I made myself,” Ezekiel 29:3). The psalm thus both humbles and </w:t>
      </w:r>
      <w:r>
        <w:t>consoles: we are not self‑made—and that is why we are securely His.‏</w:t>
      </w:r>
    </w:p>
    <w:p w14:paraId="60414F83" w14:textId="77777777" w:rsidR="00AC66DA" w:rsidRDefault="00CC5C72">
      <w:pPr>
        <w:pStyle w:val="BodySans"/>
      </w:pPr>
      <w:r>
        <w:lastRenderedPageBreak/>
        <w:t xml:space="preserve">The closing metaphor, </w:t>
      </w:r>
      <w:r>
        <w:t>צֹאן</w:t>
      </w:r>
      <w:r>
        <w:t xml:space="preserve"> </w:t>
      </w:r>
      <w:r>
        <w:t>מַרְעִיתוֹ</w:t>
      </w:r>
      <w:r>
        <w:t xml:space="preserve">, casts God as shepherd. This is one of several “flock” texts that define Israel. Psalm 79:13 prays, </w:t>
      </w:r>
      <w:r>
        <w:t>וַאֲנַחְנוּ</w:t>
      </w:r>
      <w:r>
        <w:t xml:space="preserve"> </w:t>
      </w:r>
      <w:r>
        <w:t>עַמְּךָ</w:t>
      </w:r>
      <w:r>
        <w:t xml:space="preserve"> </w:t>
      </w:r>
      <w:r>
        <w:t>וְצֹאן</w:t>
      </w:r>
      <w:r>
        <w:t xml:space="preserve"> </w:t>
      </w:r>
      <w:r>
        <w:t>מַרְעִיתֶךָ</w:t>
      </w:r>
      <w:r>
        <w:t xml:space="preserve"> </w:t>
      </w:r>
      <w:r>
        <w:t>נוֹדֶה</w:t>
      </w:r>
      <w:r>
        <w:t xml:space="preserve"> </w:t>
      </w:r>
      <w:r>
        <w:t>לְךָ</w:t>
      </w:r>
      <w:r>
        <w:t xml:space="preserve"> </w:t>
      </w:r>
      <w:r>
        <w:t>לְעוֹלָם</w:t>
      </w:r>
      <w:r>
        <w:t xml:space="preserve"> (“We are your people and the flock of your pasture; we will give you thanks forever”), almost a prose expansion of our line. Ezekiel 34 paints the negative: corrupt human shepherds exploit the flock until God intervenes, saying, “I will rescue my flock from their mouths” (</w:t>
      </w:r>
      <w:r>
        <w:t>וְהִצַּלְתִּי</w:t>
      </w:r>
      <w:r>
        <w:t xml:space="preserve"> </w:t>
      </w:r>
      <w:r>
        <w:t>צֹאנִי</w:t>
      </w:r>
      <w:r>
        <w:t xml:space="preserve"> </w:t>
      </w:r>
      <w:r>
        <w:t>מִפִּיהֶם</w:t>
      </w:r>
      <w:r>
        <w:t>, Ezekiel 34:10). Psalm 100 offer</w:t>
      </w:r>
      <w:r>
        <w:t>s the serene side of that picture: there is no mention of wolves, only pasture.‏</w:t>
      </w:r>
    </w:p>
    <w:p w14:paraId="44943433" w14:textId="77777777" w:rsidR="00AC66DA" w:rsidRDefault="00CC5C72">
      <w:pPr>
        <w:pStyle w:val="BodySans"/>
      </w:pPr>
      <w:r>
        <w:t xml:space="preserve">Notably absent is any human shepherd. In ancient royal ideology—whether in Homer’s </w:t>
      </w:r>
      <w:r>
        <w:rPr>
          <w:i/>
        </w:rPr>
        <w:t>ποιμήν λα</w:t>
      </w:r>
      <w:r>
        <w:rPr>
          <w:i/>
        </w:rPr>
        <w:t>ῶ</w:t>
      </w:r>
      <w:r>
        <w:rPr>
          <w:i/>
        </w:rPr>
        <w:t>ν</w:t>
      </w:r>
      <w:r>
        <w:t xml:space="preserve"> (“shepherd of the people”) or in Mesopotamian inscriptions—kings are “shepherds” delegated by the gods. Here, God bypasses human intermediaries; “we” are his flock directly. That fits the psalm’s larger pattern of collapsing distinctions between priestly elite and “all the earth,” inviting all into the royal court.</w:t>
      </w:r>
    </w:p>
    <w:p w14:paraId="04A359AE" w14:textId="77777777" w:rsidR="00AC66DA" w:rsidRDefault="00CC5C72">
      <w:pPr>
        <w:pStyle w:val="BodySans"/>
        <w:jc w:val="center"/>
      </w:pPr>
      <w:r>
        <w:t>—</w:t>
      </w:r>
    </w:p>
    <w:p w14:paraId="09B410D3" w14:textId="77777777" w:rsidR="00AC66DA" w:rsidRDefault="00CC5C72">
      <w:pPr>
        <w:pStyle w:val="BodySans"/>
      </w:pPr>
      <w:r>
        <w:rPr>
          <w:b/>
          <w:color w:val="008000"/>
        </w:rPr>
        <w:t xml:space="preserve">“Know </w:t>
      </w:r>
      <w:r>
        <w:t>that YHWH—he is God; it is he who made us, and we are his / and not we ourselves; [we are] his people and the sheep of his pasture.”</w:t>
      </w:r>
    </w:p>
    <w:p w14:paraId="5BF6335C" w14:textId="77777777" w:rsidR="00AC66DA" w:rsidRDefault="00CC5C72">
      <w:pPr>
        <w:pStyle w:val="BodySans"/>
      </w:pPr>
      <w:r>
        <w:t>This is the densest verse and the psalm’s pivot.</w:t>
      </w:r>
    </w:p>
    <w:p w14:paraId="0F1D3FEB" w14:textId="77777777" w:rsidR="00AC66DA" w:rsidRDefault="00CC5C72">
      <w:pPr>
        <w:pStyle w:val="BodySans"/>
      </w:pPr>
      <w:r>
        <w:t xml:space="preserve">First, </w:t>
      </w:r>
      <w:r>
        <w:t>דְּעוּ</w:t>
      </w:r>
      <w:r>
        <w:t xml:space="preserve"> (</w:t>
      </w:r>
      <w:r>
        <w:rPr>
          <w:i/>
        </w:rPr>
        <w:t>deʿu</w:t>
      </w:r>
      <w:r>
        <w:t xml:space="preserve">) / “know” is the only </w:t>
      </w:r>
      <w:r>
        <w:rPr>
          <w:b/>
        </w:rPr>
        <w:t>cognitive</w:t>
      </w:r>
      <w:r>
        <w:t xml:space="preserve"> imperative. In Deuteronomy, knowing that “YHWH is God” is the climax of revelation:</w:t>
      </w:r>
    </w:p>
    <w:p w14:paraId="7029D8A2" w14:textId="77777777" w:rsidR="00AC66DA" w:rsidRDefault="00CC5C72">
      <w:pPr>
        <w:pStyle w:val="BodySans"/>
        <w:ind w:left="720"/>
      </w:pPr>
      <w:r>
        <w:rPr>
          <w:i/>
        </w:rPr>
        <w:t>אַתָּה</w:t>
      </w:r>
      <w:r>
        <w:rPr>
          <w:i/>
        </w:rPr>
        <w:t xml:space="preserve"> </w:t>
      </w:r>
      <w:r>
        <w:rPr>
          <w:i/>
        </w:rPr>
        <w:t>הׇרְאֵתָ</w:t>
      </w:r>
      <w:r>
        <w:rPr>
          <w:i/>
        </w:rPr>
        <w:t xml:space="preserve"> </w:t>
      </w:r>
      <w:r>
        <w:rPr>
          <w:i/>
        </w:rPr>
        <w:t>לָדַעַת</w:t>
      </w:r>
      <w:r>
        <w:rPr>
          <w:i/>
        </w:rPr>
        <w:t xml:space="preserve"> </w:t>
      </w:r>
      <w:r>
        <w:rPr>
          <w:i/>
        </w:rPr>
        <w:t>כִּי</w:t>
      </w:r>
      <w:r>
        <w:rPr>
          <w:i/>
        </w:rPr>
        <w:t xml:space="preserve"> </w:t>
      </w:r>
      <w:r>
        <w:rPr>
          <w:i/>
        </w:rPr>
        <w:t>ה׳</w:t>
      </w:r>
      <w:r>
        <w:rPr>
          <w:i/>
        </w:rPr>
        <w:t xml:space="preserve"> </w:t>
      </w:r>
      <w:r>
        <w:rPr>
          <w:i/>
        </w:rPr>
        <w:t>הוּא</w:t>
      </w:r>
      <w:r>
        <w:rPr>
          <w:i/>
        </w:rPr>
        <w:t xml:space="preserve"> </w:t>
      </w:r>
      <w:r>
        <w:rPr>
          <w:i/>
        </w:rPr>
        <w:t>הָאֱלֹקִים</w:t>
      </w:r>
    </w:p>
    <w:p w14:paraId="1068BCE2" w14:textId="77777777" w:rsidR="00AC66DA" w:rsidRDefault="00CC5C72">
      <w:pPr>
        <w:pStyle w:val="BodySans"/>
        <w:ind w:left="720"/>
      </w:pPr>
      <w:r>
        <w:rPr>
          <w:i/>
        </w:rPr>
        <w:t>“You were shown in order to know that YHWH, he is the God” (Deuteronomy 4:35).</w:t>
      </w:r>
    </w:p>
    <w:p w14:paraId="1D22F1A9" w14:textId="77777777" w:rsidR="00AC66DA" w:rsidRDefault="00CC5C72">
      <w:pPr>
        <w:pStyle w:val="BodySans"/>
      </w:pPr>
      <w:r>
        <w:t xml:space="preserve">Our verse condenses that creedal claim: </w:t>
      </w:r>
      <w:r>
        <w:t>ה׳</w:t>
      </w:r>
      <w:r>
        <w:t xml:space="preserve"> </w:t>
      </w:r>
      <w:r>
        <w:t>הוּא</w:t>
      </w:r>
      <w:r>
        <w:t xml:space="preserve"> </w:t>
      </w:r>
      <w:r>
        <w:t>אֱלֹקִים</w:t>
      </w:r>
      <w:r>
        <w:t xml:space="preserve"> / “YHWH—he is God,” without the article on </w:t>
      </w:r>
      <w:r>
        <w:t>אֱלֹקִים</w:t>
      </w:r>
      <w:r>
        <w:t>. Grammatically this is standard predicate‑noun syntax (“is God”), but it echoes the great shout on Mount Carmel:‏</w:t>
      </w:r>
    </w:p>
    <w:p w14:paraId="609DA5C7" w14:textId="77777777" w:rsidR="00AC66DA" w:rsidRDefault="00CC5C72">
      <w:pPr>
        <w:pStyle w:val="BodySans"/>
        <w:ind w:left="720"/>
      </w:pPr>
      <w:r>
        <w:rPr>
          <w:i/>
        </w:rPr>
        <w:t>ה׳</w:t>
      </w:r>
      <w:r>
        <w:rPr>
          <w:i/>
        </w:rPr>
        <w:t xml:space="preserve"> </w:t>
      </w:r>
      <w:r>
        <w:rPr>
          <w:i/>
        </w:rPr>
        <w:t>הוּא</w:t>
      </w:r>
      <w:r>
        <w:rPr>
          <w:i/>
        </w:rPr>
        <w:t xml:space="preserve"> </w:t>
      </w:r>
      <w:r>
        <w:rPr>
          <w:i/>
        </w:rPr>
        <w:t>הָאֱלֹקִים</w:t>
      </w:r>
    </w:p>
    <w:p w14:paraId="1AEDA4C7" w14:textId="77777777" w:rsidR="00AC66DA" w:rsidRDefault="00CC5C72">
      <w:pPr>
        <w:pStyle w:val="BodySans"/>
        <w:ind w:left="720"/>
      </w:pPr>
      <w:r>
        <w:rPr>
          <w:i/>
        </w:rPr>
        <w:t xml:space="preserve">“YHWH—he is </w:t>
      </w:r>
      <w:r>
        <w:rPr>
          <w:b/>
          <w:i/>
        </w:rPr>
        <w:t>the</w:t>
      </w:r>
      <w:r>
        <w:rPr>
          <w:i/>
        </w:rPr>
        <w:t xml:space="preserve"> God!” (1 Kings 18:39).</w:t>
      </w:r>
    </w:p>
    <w:p w14:paraId="29D725D5" w14:textId="77777777" w:rsidR="00AC66DA" w:rsidRDefault="00CC5C72">
      <w:pPr>
        <w:pStyle w:val="BodySans"/>
      </w:pPr>
      <w:r>
        <w:t xml:space="preserve">In both, the point is exclusivity: not “YHWH is </w:t>
      </w:r>
      <w:r>
        <w:rPr>
          <w:i/>
        </w:rPr>
        <w:t>a</w:t>
      </w:r>
      <w:r>
        <w:t xml:space="preserve"> god,” but “YHWH alone is truly divine.”</w:t>
      </w:r>
    </w:p>
    <w:p w14:paraId="3DD3376B" w14:textId="77777777" w:rsidR="00AC66DA" w:rsidRDefault="00CC5C72">
      <w:pPr>
        <w:pStyle w:val="BodySans"/>
      </w:pPr>
      <w:r>
        <w:t xml:space="preserve">Second, </w:t>
      </w:r>
      <w:r>
        <w:t>הוּא</w:t>
      </w:r>
      <w:r>
        <w:t xml:space="preserve"> </w:t>
      </w:r>
      <w:r>
        <w:t>עָשָׂנוּ</w:t>
      </w:r>
      <w:r>
        <w:t xml:space="preserve"> / “it is he who made us” uses the common verb </w:t>
      </w:r>
      <w:r>
        <w:t>עשה</w:t>
      </w:r>
      <w:r>
        <w:t xml:space="preserve"> (</w:t>
      </w:r>
      <w:r>
        <w:rPr>
          <w:i/>
        </w:rPr>
        <w:t>ʿ</w:t>
      </w:r>
      <w:r>
        <w:rPr>
          <w:i/>
        </w:rPr>
        <w:t>asah</w:t>
      </w:r>
      <w:r>
        <w:t xml:space="preserve">), “to make/do.” The psalmist could have said “He chose us” </w:t>
      </w:r>
      <w:bdo w:val="ltr">
        <w:r>
          <w:t>(</w:t>
        </w:r>
        <w:r>
          <w:t>רחַבָּ</w:t>
        </w:r>
        <w:r>
          <w:t>)</w:t>
        </w:r>
        <w:r>
          <w:t xml:space="preserve">‬ or “He redeemed us” </w:t>
        </w:r>
        <w:bdo w:val="ltr">
          <w:r>
            <w:t>(</w:t>
          </w:r>
          <w:r>
            <w:t>לאַגָּ</w:t>
          </w:r>
          <w:r>
            <w:t>)</w:t>
          </w:r>
          <w:r>
            <w:t xml:space="preserve">‬, terms tied to Israel’s history. Instead he goes underneath history to </w:t>
          </w:r>
          <w:r>
            <w:rPr>
              <w:b/>
            </w:rPr>
            <w:t>origination</w:t>
          </w:r>
          <w:r>
            <w:t>: our very existence is his act. Isaiah uses “maker” in a similar, potter‑like way:</w:t>
          </w:r>
        </w:bdo>
      </w:bdo>
    </w:p>
    <w:p w14:paraId="6B01D1F2" w14:textId="77777777" w:rsidR="00AC66DA" w:rsidRDefault="00CC5C72">
      <w:pPr>
        <w:pStyle w:val="BodySans"/>
        <w:ind w:left="720"/>
      </w:pPr>
      <w:r>
        <w:rPr>
          <w:i/>
        </w:rPr>
        <w:t>הֲיֹאמַר</w:t>
      </w:r>
      <w:r>
        <w:rPr>
          <w:i/>
        </w:rPr>
        <w:t xml:space="preserve"> </w:t>
      </w:r>
      <w:r>
        <w:rPr>
          <w:i/>
        </w:rPr>
        <w:t>חֹמֶר</w:t>
      </w:r>
      <w:r>
        <w:rPr>
          <w:i/>
        </w:rPr>
        <w:t xml:space="preserve"> </w:t>
      </w:r>
      <w:r>
        <w:rPr>
          <w:i/>
        </w:rPr>
        <w:t>לְיֹצְרוֹ</w:t>
      </w:r>
      <w:r>
        <w:rPr>
          <w:i/>
        </w:rPr>
        <w:t xml:space="preserve"> </w:t>
      </w:r>
      <w:r>
        <w:rPr>
          <w:i/>
        </w:rPr>
        <w:t>מַה־תַּעֲשֶׂה</w:t>
      </w:r>
    </w:p>
    <w:p w14:paraId="3FE01518" w14:textId="77777777" w:rsidR="00AC66DA" w:rsidRDefault="00CC5C72">
      <w:pPr>
        <w:pStyle w:val="BodySans"/>
        <w:ind w:left="720"/>
      </w:pPr>
      <w:r>
        <w:rPr>
          <w:i/>
        </w:rPr>
        <w:t>“Shall the clay say to its potter, ‘What are you doing?’” (Isaiah 45:9).</w:t>
      </w:r>
    </w:p>
    <w:p w14:paraId="12960E04" w14:textId="77777777" w:rsidR="00AC66DA" w:rsidRDefault="00CC5C72">
      <w:pPr>
        <w:pStyle w:val="BodySans"/>
      </w:pPr>
      <w:r>
        <w:lastRenderedPageBreak/>
        <w:t>By connecting creation and ownership, the psalm fuses the power of the potter with the care of a shepherd.</w:t>
      </w:r>
    </w:p>
    <w:p w14:paraId="21A47031" w14:textId="77777777" w:rsidR="00AC66DA" w:rsidRDefault="00CC5C72">
      <w:pPr>
        <w:pStyle w:val="BodySans"/>
      </w:pPr>
      <w:r>
        <w:t xml:space="preserve">The textual variant (ketiv/qere) on </w:t>
      </w:r>
      <w:r>
        <w:t>וְלֹא</w:t>
      </w:r>
      <w:r>
        <w:t>/</w:t>
      </w:r>
      <w:r>
        <w:t>וְלוֹ</w:t>
      </w:r>
      <w:r>
        <w:t xml:space="preserve"> is famous. The </w:t>
      </w:r>
      <w:r>
        <w:rPr>
          <w:b/>
        </w:rPr>
        <w:t>ketiv</w:t>
      </w:r>
      <w:r>
        <w:t xml:space="preserve"> (what is written) is </w:t>
      </w:r>
      <w:r>
        <w:t>וְלֹא</w:t>
      </w:r>
      <w:r>
        <w:t xml:space="preserve"> </w:t>
      </w:r>
      <w:r>
        <w:t>אֲנַחְנוּ</w:t>
      </w:r>
      <w:r>
        <w:t xml:space="preserve"> / “and not we [ourselves].” The </w:t>
      </w:r>
      <w:r>
        <w:rPr>
          <w:b/>
        </w:rPr>
        <w:t>qere</w:t>
      </w:r>
      <w:r>
        <w:t xml:space="preserve"> (what is read) is </w:t>
      </w:r>
      <w:r>
        <w:t>וְלוֹ</w:t>
      </w:r>
      <w:r>
        <w:t xml:space="preserve"> </w:t>
      </w:r>
      <w:r>
        <w:t>אֲנַחְנוּ</w:t>
      </w:r>
      <w:r>
        <w:t xml:space="preserve"> / “and we are his.” In consonantal text they are identical </w:t>
      </w:r>
      <w:bdo w:val="ltr">
        <w:r>
          <w:t>(</w:t>
        </w:r>
        <w:r>
          <w:t>אלו</w:t>
        </w:r>
        <w:r>
          <w:t>)</w:t>
        </w:r>
        <w:r>
          <w:t xml:space="preserve">‬; only the vowels differ. The Septuagint (Greek translation) reads “and not we,” suggesting that the “not” is ancient. Medieval Jewish commentators often preserve both senses. Meiri glosses the ketiv as a rejection of self‑creation (echoing Ezekiel 29:3’s “I made myself”), and the qere as an affirmation </w:t>
        </w:r>
        <w:r>
          <w:t>of belonging “with his treasured people.”</w:t>
        </w:r>
      </w:bdo>
    </w:p>
    <w:p w14:paraId="3C70DF3E" w14:textId="77777777" w:rsidR="00AC66DA" w:rsidRDefault="00CC5C72">
      <w:pPr>
        <w:pStyle w:val="BodySans"/>
      </w:pPr>
      <w:r>
        <w:t xml:space="preserve">The final line, </w:t>
      </w:r>
      <w:r>
        <w:t>עַמּוֹ</w:t>
      </w:r>
      <w:r>
        <w:t xml:space="preserve"> </w:t>
      </w:r>
      <w:r>
        <w:t>וְצֹאן</w:t>
      </w:r>
      <w:r>
        <w:t xml:space="preserve"> </w:t>
      </w:r>
      <w:r>
        <w:t>מַרְעִיתוֹ</w:t>
      </w:r>
      <w:r>
        <w:t xml:space="preserve"> / “his people and the sheep of his pasture,” ties Psalm 100 explicitly to Psalm 95:7 (</w:t>
      </w:r>
      <w:r>
        <w:t>עַם</w:t>
      </w:r>
      <w:r>
        <w:t xml:space="preserve"> </w:t>
      </w:r>
      <w:r>
        <w:t>מַרְעִיתוֹ</w:t>
      </w:r>
      <w:r>
        <w:t xml:space="preserve"> </w:t>
      </w:r>
      <w:r>
        <w:t>וְצֹאן</w:t>
      </w:r>
      <w:r>
        <w:t xml:space="preserve"> </w:t>
      </w:r>
      <w:r>
        <w:t>יָדוֹ</w:t>
      </w:r>
      <w:r>
        <w:t xml:space="preserve"> / “the people of his pasture and the sheep of his hand”) and to Psalm 79:13:‏</w:t>
      </w:r>
    </w:p>
    <w:p w14:paraId="51312663" w14:textId="77777777" w:rsidR="00AC66DA" w:rsidRDefault="00CC5C72">
      <w:pPr>
        <w:pStyle w:val="BodySans"/>
        <w:ind w:left="720"/>
      </w:pPr>
      <w:r>
        <w:rPr>
          <w:i/>
        </w:rPr>
        <w:t>וַאֲנַחְנוּ</w:t>
      </w:r>
      <w:r>
        <w:rPr>
          <w:i/>
        </w:rPr>
        <w:t xml:space="preserve"> </w:t>
      </w:r>
      <w:r>
        <w:rPr>
          <w:i/>
        </w:rPr>
        <w:t>עַמֶּךָ</w:t>
      </w:r>
      <w:r>
        <w:rPr>
          <w:i/>
        </w:rPr>
        <w:t xml:space="preserve"> </w:t>
      </w:r>
      <w:r>
        <w:rPr>
          <w:i/>
        </w:rPr>
        <w:t>וְצֹאן</w:t>
      </w:r>
      <w:r>
        <w:rPr>
          <w:i/>
        </w:rPr>
        <w:t xml:space="preserve"> </w:t>
      </w:r>
      <w:r>
        <w:rPr>
          <w:i/>
        </w:rPr>
        <w:t>מַרְעִיתֶךָ</w:t>
      </w:r>
      <w:r>
        <w:rPr>
          <w:i/>
        </w:rPr>
        <w:t xml:space="preserve"> </w:t>
      </w:r>
      <w:r>
        <w:rPr>
          <w:i/>
        </w:rPr>
        <w:t>נוֹדֶה</w:t>
      </w:r>
      <w:r>
        <w:rPr>
          <w:i/>
        </w:rPr>
        <w:t xml:space="preserve"> </w:t>
      </w:r>
      <w:r>
        <w:rPr>
          <w:i/>
        </w:rPr>
        <w:t>לְךָ</w:t>
      </w:r>
      <w:r>
        <w:rPr>
          <w:i/>
        </w:rPr>
        <w:t xml:space="preserve"> </w:t>
      </w:r>
      <w:r>
        <w:rPr>
          <w:i/>
        </w:rPr>
        <w:t>לְעוֹלָם</w:t>
      </w:r>
    </w:p>
    <w:p w14:paraId="659A8E23" w14:textId="77777777" w:rsidR="00AC66DA" w:rsidRDefault="00CC5C72">
      <w:pPr>
        <w:pStyle w:val="BodySans"/>
        <w:ind w:left="720"/>
      </w:pPr>
      <w:r>
        <w:rPr>
          <w:i/>
        </w:rPr>
        <w:t>“And we are your people and the sheep of your pasture; we will give you thanks forever.”</w:t>
      </w:r>
    </w:p>
    <w:p w14:paraId="754BBD50" w14:textId="77777777" w:rsidR="00AC66DA" w:rsidRDefault="00CC5C72">
      <w:pPr>
        <w:pStyle w:val="BodySans"/>
      </w:pPr>
      <w:r>
        <w:t>In those psalms, the “flock” metaphor emphasizes dependence and protection. Sheep are not valued for productivity (like vineyards that must yield grapes) but for being tended. By choosing “sheep of his pasture” rather than something like “vineyard of his planting” (Isaiah 5:7), Psalm 100 shifts focus from what people produce to whom they belong.</w:t>
      </w:r>
    </w:p>
    <w:p w14:paraId="75AA95C7" w14:textId="77777777" w:rsidR="00AC66DA" w:rsidRDefault="00CC5C72">
      <w:pPr>
        <w:pStyle w:val="BodySans"/>
      </w:pPr>
      <w:r>
        <w:t xml:space="preserve">If Henley’s “Invictus” ends “I am the captain of my soul,” Psalm 100:3 is the opposite creed: </w:t>
      </w:r>
      <w:r>
        <w:rPr>
          <w:b/>
        </w:rPr>
        <w:t>He made us; we are his; we are sheep, not captains.</w:t>
      </w:r>
      <w:r>
        <w:t xml:space="preserve"> But that dependence is presented as safety, not humiliation.</w:t>
      </w:r>
    </w:p>
    <w:p w14:paraId="2C40ECE7" w14:textId="77777777" w:rsidR="00AC66DA" w:rsidRDefault="00AC66DA">
      <w:pPr>
        <w:pBdr>
          <w:bottom w:val="single" w:sz="12" w:space="1" w:color="000000"/>
        </w:pBdr>
      </w:pPr>
    </w:p>
    <w:p w14:paraId="51CD2C43" w14:textId="77777777" w:rsidR="00AC66DA" w:rsidRDefault="00CC5C72">
      <w:pPr>
        <w:pStyle w:val="Heading3"/>
      </w:pPr>
      <w:r>
        <w:t>Verse 4</w:t>
      </w:r>
    </w:p>
    <w:p w14:paraId="4727F815" w14:textId="77777777" w:rsidR="00AC66DA" w:rsidRDefault="00CC5C72">
      <w:pPr>
        <w:pStyle w:val="BodySans"/>
      </w:pPr>
      <w:bdo w:val="ltr">
        <w:r>
          <w:t>׃וֹמשְׁ</w:t>
        </w:r>
        <w:r>
          <w:t xml:space="preserve"> </w:t>
        </w:r>
        <w:r>
          <w:t>וּכרְבָּ</w:t>
        </w:r>
        <w:r>
          <w:t xml:space="preserve"> </w:t>
        </w:r>
        <w:r>
          <w:t>וֹל־וּדוֹה</w:t>
        </w:r>
        <w:r>
          <w:t xml:space="preserve"> ;</w:t>
        </w:r>
        <w:r>
          <w:t>הלָּהִתְבִּ</w:t>
        </w:r>
        <w:r>
          <w:t xml:space="preserve"> </w:t>
        </w:r>
        <w:r>
          <w:t>ויתָרֹצֵחֲ</w:t>
        </w:r>
        <w:r>
          <w:t xml:space="preserve"> ;</w:t>
        </w:r>
        <w:r>
          <w:t>הדָוֹתבְּ</w:t>
        </w:r>
        <w:r>
          <w:t xml:space="preserve"> </w:t>
        </w:r>
        <w:r>
          <w:t>וירָעָשְׁ</w:t>
        </w:r>
        <w:r>
          <w:t xml:space="preserve"> </w:t>
        </w:r>
        <w:r>
          <w:t>וּאבֹּ</w:t>
        </w:r>
        <w:r>
          <w:t>‬</w:t>
        </w:r>
      </w:bdo>
    </w:p>
    <w:p w14:paraId="63650D20" w14:textId="77777777" w:rsidR="00AC66DA" w:rsidRDefault="00CC5C72">
      <w:pPr>
        <w:pStyle w:val="BodySans"/>
      </w:pPr>
      <w:r>
        <w:t>“Enter his gates with todah, his courts with praise; give thanks to him; bless his name.”</w:t>
      </w:r>
    </w:p>
    <w:p w14:paraId="36B57A1D" w14:textId="77777777" w:rsidR="00AC66DA" w:rsidRDefault="00CC5C72">
      <w:pPr>
        <w:pStyle w:val="BodySans"/>
      </w:pPr>
      <w:r>
        <w:t xml:space="preserve">This verse is the processional climax. The imperative </w:t>
      </w:r>
      <w:r>
        <w:t>בֹּאוּ</w:t>
      </w:r>
      <w:r>
        <w:t xml:space="preserve"> has already appeared in verse 2 with a general object (“come before his face”); now the destination is specified: gates, courts—architectural markers of the Temple. The absence of a preposition with </w:t>
      </w:r>
      <w:r>
        <w:t>שְׁעָרָיו</w:t>
      </w:r>
      <w:r>
        <w:t xml:space="preserve"> (“his gates”)—no </w:t>
      </w:r>
      <w:r>
        <w:t>אֶל</w:t>
      </w:r>
      <w:r>
        <w:t xml:space="preserve"> or </w:t>
      </w:r>
      <w:r>
        <w:t>בּ</w:t>
      </w:r>
      <w:r>
        <w:t>—creates an accusative of direction, a syntactic nudge that feels more immediate than “to his gates.”</w:t>
      </w:r>
    </w:p>
    <w:p w14:paraId="6B1A7D2E" w14:textId="77777777" w:rsidR="00AC66DA" w:rsidRDefault="00CC5C72">
      <w:pPr>
        <w:pStyle w:val="BodySans"/>
      </w:pPr>
      <w:r>
        <w:lastRenderedPageBreak/>
        <w:t xml:space="preserve">The repetition of the root </w:t>
      </w:r>
      <w:r>
        <w:t>ידה</w:t>
      </w:r>
      <w:r>
        <w:t xml:space="preserve"> is deliberate. We began with </w:t>
      </w:r>
      <w:r>
        <w:t>מִזְמוֹר</w:t>
      </w:r>
      <w:r>
        <w:t xml:space="preserve"> </w:t>
      </w:r>
      <w:r>
        <w:t>לְתוֹדָה</w:t>
      </w:r>
      <w:r>
        <w:t xml:space="preserve"> (“a psalm for todah”); now we have </w:t>
      </w:r>
      <w:r>
        <w:t>בְּתוֹדָה</w:t>
      </w:r>
      <w:r>
        <w:t xml:space="preserve"> (“with todah”) and finally </w:t>
      </w:r>
      <w:r>
        <w:t>הוֹדוּ־לוֹ</w:t>
      </w:r>
      <w:r>
        <w:t xml:space="preserve"> (“give thanks to him”), the Hiphil imperative of the same root. The psalm enacts its own title: it is a todah that commands todah while entering in todah. In the parallel colon, </w:t>
      </w:r>
      <w:r>
        <w:t>בִּתְהִלָּה</w:t>
      </w:r>
      <w:r>
        <w:t xml:space="preserve"> (“with praise”), we hear the singular form of the book’s name, </w:t>
      </w:r>
      <w:r>
        <w:t>תְּהִלִּים</w:t>
      </w:r>
      <w:r>
        <w:t>. The line is almost meta‑poetic: “enter with todah… with a tehillah”—with the very sort of song you are now singin</w:t>
      </w:r>
      <w:r>
        <w:t>g.‏</w:t>
      </w:r>
    </w:p>
    <w:p w14:paraId="724134F6" w14:textId="77777777" w:rsidR="00AC66DA" w:rsidRDefault="00CC5C72">
      <w:pPr>
        <w:pStyle w:val="BodySans"/>
      </w:pPr>
      <w:r>
        <w:t xml:space="preserve">The phrase </w:t>
      </w:r>
      <w:r>
        <w:t>בָּרְכוּ</w:t>
      </w:r>
      <w:r>
        <w:t xml:space="preserve"> </w:t>
      </w:r>
      <w:r>
        <w:t>שְׁמוֹ</w:t>
      </w:r>
      <w:r>
        <w:t xml:space="preserve">, “bless his name,” recurs in Psalm 96:2: </w:t>
      </w:r>
      <w:r>
        <w:t>שִׁירוּ</w:t>
      </w:r>
      <w:r>
        <w:t xml:space="preserve"> </w:t>
      </w:r>
      <w:r>
        <w:t>לַה׳</w:t>
      </w:r>
      <w:r>
        <w:t xml:space="preserve"> </w:t>
      </w:r>
      <w:r>
        <w:t>בָּרְכוּ</w:t>
      </w:r>
      <w:r>
        <w:t xml:space="preserve"> </w:t>
      </w:r>
      <w:r>
        <w:t>שְׁמוֹ</w:t>
      </w:r>
      <w:r>
        <w:t xml:space="preserve"> (“Sing to YHWH, bless his name”). To “bless” God’s name is to speak well of it, to publicize his reputation. Deuteronomy’s centralization formula speaks of “the place where he will cause his name to dwell” (</w:t>
      </w:r>
      <w:r>
        <w:t>הַמָּקוֹם</w:t>
      </w:r>
      <w:r>
        <w:t xml:space="preserve"> </w:t>
      </w:r>
      <w:r>
        <w:t>אֲשֶׁר</w:t>
      </w:r>
      <w:r>
        <w:t xml:space="preserve"> </w:t>
      </w:r>
      <w:r>
        <w:t>יַשְׁכִּין</w:t>
      </w:r>
      <w:r>
        <w:t xml:space="preserve"> </w:t>
      </w:r>
      <w:r>
        <w:t>שְׁמוֹ</w:t>
      </w:r>
      <w:r>
        <w:t xml:space="preserve"> </w:t>
      </w:r>
      <w:r>
        <w:t>שָׁם</w:t>
      </w:r>
      <w:r>
        <w:t>, Deuteronomy 12:11); God’s “name” is the addressable presence that can be localized without confining God himself. Here, the object of blessing is not God’s hidden essence but his</w:t>
      </w:r>
      <w:r>
        <w:t xml:space="preserve"> manifest identity as known in Israel’s story.‏</w:t>
      </w:r>
    </w:p>
    <w:p w14:paraId="4A99A6E5" w14:textId="77777777" w:rsidR="00AC66DA" w:rsidRDefault="00CC5C72">
      <w:pPr>
        <w:pStyle w:val="BodySans"/>
      </w:pPr>
      <w:r>
        <w:t xml:space="preserve">Against other biblical gate scenes, the openness here is striking. Isaiah 26:2 imagines a future Jerusalem where the watchmen cry, </w:t>
      </w:r>
      <w:r>
        <w:t>פִּתְחוּ</w:t>
      </w:r>
      <w:r>
        <w:t xml:space="preserve"> </w:t>
      </w:r>
      <w:r>
        <w:t>שְׁעָרִים</w:t>
      </w:r>
      <w:r>
        <w:t xml:space="preserve"> </w:t>
      </w:r>
      <w:r>
        <w:t>וְיָבֹא</w:t>
      </w:r>
      <w:r>
        <w:t xml:space="preserve"> </w:t>
      </w:r>
      <w:r>
        <w:t>גוֹי־צַדִּיק</w:t>
      </w:r>
      <w:r>
        <w:t xml:space="preserve"> (“Open the gates, that a righteous nation may enter”), explicitly restricting entrance to the morally qualified. Psalm 24 asks, “Who may ascend?” and answers with “clean hands and a pure heart.” Psalm 100, by contrast, supplies no conditions. The only specification is </w:t>
      </w:r>
      <w:r>
        <w:rPr>
          <w:i/>
        </w:rPr>
        <w:t>how</w:t>
      </w:r>
      <w:r>
        <w:t xml:space="preserve"> to enter: with todah and tehillah. It is as if the ethical demands of Pss 15 and 24 are assumed rather than restated, and the poet wants to focus our attention on the affective posture: praise, not p</w:t>
      </w:r>
      <w:r>
        <w:t>erformance, is foregrounded.</w:t>
      </w:r>
    </w:p>
    <w:p w14:paraId="03A47DD4" w14:textId="77777777" w:rsidR="00AC66DA" w:rsidRDefault="00CC5C72">
      <w:pPr>
        <w:pStyle w:val="BodySans"/>
      </w:pPr>
      <w:r>
        <w:t xml:space="preserve">The courts </w:t>
      </w:r>
      <w:bdo w:val="ltr">
        <w:r>
          <w:t>(</w:t>
        </w:r>
        <w:r>
          <w:t>תוֹרצֵחֲ</w:t>
        </w:r>
        <w:r>
          <w:t>)</w:t>
        </w:r>
        <w:r>
          <w:t>‬ elsewhere are judicial arenas. Zechariah 8:16 urges, “</w:t>
        </w:r>
        <w:r>
          <w:t>שִׁפְטוּ</w:t>
        </w:r>
        <w:r>
          <w:t xml:space="preserve"> </w:t>
        </w:r>
        <w:r>
          <w:t>בְשַׁעֲרֵיכֶם</w:t>
        </w:r>
        <w:r>
          <w:t xml:space="preserve"> </w:t>
        </w:r>
        <w:r>
          <w:t>מִשְׁפַּט</w:t>
        </w:r>
        <w:r>
          <w:t xml:space="preserve"> </w:t>
        </w:r>
        <w:r>
          <w:t>שָׁלוֹם</w:t>
        </w:r>
        <w:r>
          <w:t>” (“judge in your gates judgments of peace”); Psalm 65:5 speaks of being satisfied “with the goodness of your house, the holiness of your temple” after God has “answered us by awesome deeds of justice.” Psalm 100 transposes that forensic setting into a sanctuary of gratitude. The “testimony” brought into the court is not a complaint but a confession of God’s goodness.‏</w:t>
        </w:r>
      </w:bdo>
    </w:p>
    <w:p w14:paraId="587BF14D" w14:textId="77777777" w:rsidR="00AC66DA" w:rsidRDefault="00CC5C72">
      <w:pPr>
        <w:pStyle w:val="BodySans"/>
      </w:pPr>
      <w:r>
        <w:t>Liturgically, this verse is often quoted in penitential contexts, as noted above, where the act of entering with thanksgiving is juxtaposed with confession of sin. The tradition seems to hear in it a paradox: even when approaching God as judge, one must cross the threshold with praise. Guilt does not erase gratitude.</w:t>
      </w:r>
    </w:p>
    <w:p w14:paraId="25E4F529" w14:textId="77777777" w:rsidR="00AC66DA" w:rsidRDefault="00CC5C72">
      <w:pPr>
        <w:pStyle w:val="BodySans"/>
        <w:jc w:val="center"/>
      </w:pPr>
      <w:r>
        <w:t>—</w:t>
      </w:r>
    </w:p>
    <w:p w14:paraId="5B9DE5BB" w14:textId="77777777" w:rsidR="00AC66DA" w:rsidRDefault="00CC5C72">
      <w:pPr>
        <w:pStyle w:val="BodySans"/>
      </w:pPr>
      <w:r>
        <w:rPr>
          <w:b/>
          <w:color w:val="008000"/>
        </w:rPr>
        <w:t xml:space="preserve">“Enter </w:t>
      </w:r>
      <w:r>
        <w:t>his gates with thanksgiving, his courts with praise; give thanks to him, bless his name.”</w:t>
      </w:r>
    </w:p>
    <w:p w14:paraId="53832DD8" w14:textId="77777777" w:rsidR="00AC66DA" w:rsidRDefault="00CC5C72">
      <w:pPr>
        <w:pStyle w:val="BodySans"/>
      </w:pPr>
      <w:r>
        <w:lastRenderedPageBreak/>
        <w:t xml:space="preserve">This verse is the processional climax. The imperative </w:t>
      </w:r>
      <w:r>
        <w:t>בֹּאוּ</w:t>
      </w:r>
      <w:r>
        <w:t xml:space="preserve"> / “enter” repeats from verse 2, but now with a destination: </w:t>
      </w:r>
      <w:r>
        <w:t>שְׁעָרָיו</w:t>
      </w:r>
      <w:r>
        <w:t xml:space="preserve"> / “his gates.” Strikingly, there is </w:t>
      </w:r>
      <w:r>
        <w:rPr>
          <w:b/>
        </w:rPr>
        <w:t>no preposition</w:t>
      </w:r>
      <w:r>
        <w:t xml:space="preserve"> (“into”) before </w:t>
      </w:r>
      <w:r>
        <w:t>שְׁעָרָיו</w:t>
      </w:r>
      <w:r>
        <w:t xml:space="preserve">. Hebrew often uses the direct object without a preposition as an </w:t>
      </w:r>
      <w:r>
        <w:rPr>
          <w:b/>
        </w:rPr>
        <w:t>accusative of direction</w:t>
      </w:r>
      <w:r>
        <w:t xml:space="preserve">, making the movement more forceful: not “come </w:t>
      </w:r>
      <w:r>
        <w:rPr>
          <w:i/>
        </w:rPr>
        <w:t>to</w:t>
      </w:r>
      <w:r>
        <w:t xml:space="preserve"> his gates” but “come </w:t>
      </w:r>
      <w:r>
        <w:rPr>
          <w:b/>
        </w:rPr>
        <w:t>his gates</w:t>
      </w:r>
      <w:r>
        <w:t>,” like “storm the gates” in English.</w:t>
      </w:r>
    </w:p>
    <w:p w14:paraId="6A829B6C" w14:textId="77777777" w:rsidR="00AC66DA" w:rsidRDefault="00CC5C72">
      <w:pPr>
        <w:pStyle w:val="BodySans"/>
      </w:pPr>
      <w:r>
        <w:t xml:space="preserve">“Gates” and “courts” elsewhere are sites of </w:t>
      </w:r>
      <w:r>
        <w:rPr>
          <w:b/>
        </w:rPr>
        <w:t>judgment</w:t>
      </w:r>
      <w:r>
        <w:t>. In Isaiah 26:2 we read:</w:t>
      </w:r>
    </w:p>
    <w:p w14:paraId="2F9163EA" w14:textId="77777777" w:rsidR="00AC66DA" w:rsidRDefault="00CC5C72">
      <w:pPr>
        <w:pStyle w:val="BodySans"/>
        <w:ind w:left="720"/>
      </w:pPr>
      <w:r>
        <w:rPr>
          <w:i/>
        </w:rPr>
        <w:t>פִּתְחוּ</w:t>
      </w:r>
      <w:r>
        <w:rPr>
          <w:i/>
        </w:rPr>
        <w:t xml:space="preserve"> </w:t>
      </w:r>
      <w:r>
        <w:rPr>
          <w:i/>
        </w:rPr>
        <w:t>שְׁעָרִים</w:t>
      </w:r>
      <w:r>
        <w:rPr>
          <w:i/>
        </w:rPr>
        <w:t xml:space="preserve"> </w:t>
      </w:r>
      <w:r>
        <w:rPr>
          <w:i/>
        </w:rPr>
        <w:t>וְיָבֹא</w:t>
      </w:r>
      <w:r>
        <w:rPr>
          <w:i/>
        </w:rPr>
        <w:t xml:space="preserve"> </w:t>
      </w:r>
      <w:r>
        <w:rPr>
          <w:i/>
        </w:rPr>
        <w:t>גוֹי־צַדִּיק</w:t>
      </w:r>
    </w:p>
    <w:p w14:paraId="77B2CE23" w14:textId="77777777" w:rsidR="00AC66DA" w:rsidRDefault="00CC5C72">
      <w:pPr>
        <w:pStyle w:val="BodySans"/>
        <w:ind w:left="720"/>
      </w:pPr>
      <w:r>
        <w:rPr>
          <w:i/>
        </w:rPr>
        <w:t>“Open the gates, that a righteous nation may enter,”</w:t>
      </w:r>
    </w:p>
    <w:p w14:paraId="219B1585" w14:textId="77777777" w:rsidR="00AC66DA" w:rsidRDefault="00CC5C72">
      <w:pPr>
        <w:pStyle w:val="BodySans"/>
      </w:pPr>
      <w:r>
        <w:t>with righteousness as the entrance requirement. Zechariah 8:16 links the gates with legal decisions:</w:t>
      </w:r>
    </w:p>
    <w:p w14:paraId="55954C15" w14:textId="77777777" w:rsidR="00AC66DA" w:rsidRDefault="00CC5C72">
      <w:pPr>
        <w:pStyle w:val="BodySans"/>
        <w:ind w:left="720"/>
      </w:pPr>
      <w:r>
        <w:rPr>
          <w:i/>
        </w:rPr>
        <w:t>מִשְׁפַּט</w:t>
      </w:r>
      <w:r>
        <w:rPr>
          <w:i/>
        </w:rPr>
        <w:t xml:space="preserve"> </w:t>
      </w:r>
      <w:r>
        <w:rPr>
          <w:i/>
        </w:rPr>
        <w:t>שָׁלוֹם</w:t>
      </w:r>
      <w:r>
        <w:rPr>
          <w:i/>
        </w:rPr>
        <w:t xml:space="preserve"> </w:t>
      </w:r>
      <w:r>
        <w:rPr>
          <w:i/>
        </w:rPr>
        <w:t>שִׁפְטוּ</w:t>
      </w:r>
      <w:r>
        <w:rPr>
          <w:i/>
        </w:rPr>
        <w:t xml:space="preserve"> </w:t>
      </w:r>
      <w:r>
        <w:rPr>
          <w:i/>
        </w:rPr>
        <w:t>בְשַׁעֲרֵיכֶם</w:t>
      </w:r>
    </w:p>
    <w:p w14:paraId="5B94A761" w14:textId="77777777" w:rsidR="00AC66DA" w:rsidRDefault="00CC5C72">
      <w:pPr>
        <w:pStyle w:val="BodySans"/>
        <w:ind w:left="720"/>
      </w:pPr>
      <w:r>
        <w:rPr>
          <w:i/>
        </w:rPr>
        <w:t>“Judge with judgments of peace in your gates.”</w:t>
      </w:r>
    </w:p>
    <w:p w14:paraId="70E627B3" w14:textId="77777777" w:rsidR="00AC66DA" w:rsidRDefault="00CC5C72">
      <w:pPr>
        <w:pStyle w:val="BodySans"/>
      </w:pPr>
      <w:r>
        <w:t xml:space="preserve">Against that background, Psalm 100’s instruction feels radical: what you bring to the gates is not forensic evidence or ethical qualifications, but </w:t>
      </w:r>
      <w:r>
        <w:rPr>
          <w:b/>
        </w:rPr>
        <w:t>todah</w:t>
      </w:r>
      <w:r>
        <w:t>—thanks.</w:t>
      </w:r>
    </w:p>
    <w:p w14:paraId="488DFAB5" w14:textId="77777777" w:rsidR="00AC66DA" w:rsidRDefault="00CC5C72">
      <w:pPr>
        <w:pStyle w:val="BodySans"/>
      </w:pPr>
      <w:r>
        <w:t xml:space="preserve">The root </w:t>
      </w:r>
      <w:r>
        <w:t>ידה</w:t>
      </w:r>
      <w:r>
        <w:t xml:space="preserve"> (</w:t>
      </w:r>
      <w:r>
        <w:rPr>
          <w:i/>
        </w:rPr>
        <w:t>y-d-h</w:t>
      </w:r>
      <w:r>
        <w:t>) saturates the psalm’s frame:</w:t>
      </w:r>
    </w:p>
    <w:p w14:paraId="09D7D530" w14:textId="77777777" w:rsidR="00AC66DA" w:rsidRDefault="00CC5C72">
      <w:pPr>
        <w:pStyle w:val="ListBullet"/>
      </w:pPr>
      <w:r>
        <w:rPr>
          <w:rFonts w:ascii="Aptos" w:hAnsi="Aptos"/>
        </w:rPr>
        <w:t xml:space="preserve">Superscription: </w:t>
      </w:r>
      <w:r>
        <w:rPr>
          <w:rFonts w:ascii="Aptos" w:hAnsi="Aptos"/>
        </w:rPr>
        <w:t>לְתוֹדָה</w:t>
      </w:r>
      <w:r>
        <w:rPr>
          <w:rFonts w:ascii="Aptos" w:hAnsi="Aptos"/>
        </w:rPr>
        <w:t xml:space="preserve"> / “for thanksgiving.”</w:t>
      </w:r>
    </w:p>
    <w:p w14:paraId="381A4756" w14:textId="77777777" w:rsidR="00AC66DA" w:rsidRDefault="00CC5C72">
      <w:pPr>
        <w:pStyle w:val="ListBullet"/>
      </w:pPr>
      <w:r>
        <w:rPr>
          <w:rFonts w:ascii="Aptos" w:hAnsi="Aptos"/>
        </w:rPr>
        <w:t xml:space="preserve">Here: </w:t>
      </w:r>
      <w:r>
        <w:rPr>
          <w:rFonts w:ascii="Aptos" w:hAnsi="Aptos"/>
        </w:rPr>
        <w:t>בְּתוֹדָה</w:t>
      </w:r>
      <w:r>
        <w:rPr>
          <w:rFonts w:ascii="Aptos" w:hAnsi="Aptos"/>
        </w:rPr>
        <w:t xml:space="preserve"> / “with thanksgiving.”</w:t>
      </w:r>
    </w:p>
    <w:p w14:paraId="632F9138" w14:textId="77777777" w:rsidR="00AC66DA" w:rsidRDefault="00CC5C72">
      <w:pPr>
        <w:pStyle w:val="ListBullet"/>
      </w:pPr>
      <w:r>
        <w:rPr>
          <w:rFonts w:ascii="Aptos" w:hAnsi="Aptos"/>
        </w:rPr>
        <w:t xml:space="preserve">Next colon: </w:t>
      </w:r>
      <w:r>
        <w:rPr>
          <w:rFonts w:ascii="Aptos" w:hAnsi="Aptos"/>
        </w:rPr>
        <w:t>הוֹדוּ־לוֹ</w:t>
      </w:r>
      <w:r>
        <w:rPr>
          <w:rFonts w:ascii="Aptos" w:hAnsi="Aptos"/>
        </w:rPr>
        <w:t xml:space="preserve"> / “give thanks to him.”</w:t>
      </w:r>
    </w:p>
    <w:p w14:paraId="32E30F86" w14:textId="77777777" w:rsidR="00AC66DA" w:rsidRDefault="00CC5C72">
      <w:pPr>
        <w:pStyle w:val="BodySans"/>
      </w:pPr>
      <w:r>
        <w:t xml:space="preserve">The noun </w:t>
      </w:r>
      <w:r>
        <w:t>תְּהִלָּה</w:t>
      </w:r>
      <w:r>
        <w:t xml:space="preserve"> (</w:t>
      </w:r>
      <w:r>
        <w:rPr>
          <w:i/>
        </w:rPr>
        <w:t>tehillah</w:t>
      </w:r>
      <w:r>
        <w:t xml:space="preserve">) / “praise” in the middle colon is the singular form of </w:t>
      </w:r>
      <w:r>
        <w:t>תְּהִלִּים</w:t>
      </w:r>
      <w:r>
        <w:t xml:space="preserve"> / “Psalms,” giving the verse a self‑referential feel: you enter the courts with the very thing the whole book is constructed from, praise.‏</w:t>
      </w:r>
    </w:p>
    <w:p w14:paraId="4BD75D06" w14:textId="77777777" w:rsidR="00AC66DA" w:rsidRDefault="00CC5C72">
      <w:pPr>
        <w:pStyle w:val="BodySans"/>
      </w:pPr>
      <w:r>
        <w:t xml:space="preserve">The last colon raises a small theological question: why “bless his </w:t>
      </w:r>
      <w:r>
        <w:rPr>
          <w:b/>
        </w:rPr>
        <w:t>name</w:t>
      </w:r>
      <w:r>
        <w:t xml:space="preserve">” </w:t>
      </w:r>
      <w:bdo w:val="ltr">
        <w:r>
          <w:t>(</w:t>
        </w:r>
        <w:r>
          <w:t>וֹמשְׁ</w:t>
        </w:r>
        <w:r>
          <w:t xml:space="preserve"> </w:t>
        </w:r>
        <w:r>
          <w:t>וּכרְבָּ</w:t>
        </w:r>
        <w:r>
          <w:t>)</w:t>
        </w:r>
        <w:r>
          <w:t xml:space="preserve">‬, not “bless </w:t>
        </w:r>
        <w:r>
          <w:rPr>
            <w:b/>
          </w:rPr>
          <w:t>him</w:t>
        </w:r>
        <w:r>
          <w:t xml:space="preserve">”? In Deuteronomy, God puts his “name” at the temple: </w:t>
        </w:r>
        <w:r>
          <w:t>לָשׂוּם</w:t>
        </w:r>
        <w:r>
          <w:t xml:space="preserve"> </w:t>
        </w:r>
        <w:r>
          <w:t>אֶת־שְׁמוֹ</w:t>
        </w:r>
        <w:r>
          <w:t xml:space="preserve"> </w:t>
        </w:r>
        <w:r>
          <w:t>שָׁם</w:t>
        </w:r>
        <w:r>
          <w:t xml:space="preserve"> / “to cause his name to dwell there” (Deuteronomy 12:11). The “name” is a metonymy for God’s accessible presence. So to bless the name in the courts is to honor God as he has chosen to localize himself among humans. Psalm 96:2 uses the same phrase:‏</w:t>
        </w:r>
      </w:bdo>
    </w:p>
    <w:p w14:paraId="201884C0" w14:textId="77777777" w:rsidR="00AC66DA" w:rsidRDefault="00CC5C72">
      <w:pPr>
        <w:pStyle w:val="BodySans"/>
        <w:ind w:left="720"/>
      </w:pPr>
      <w:r>
        <w:rPr>
          <w:i/>
        </w:rPr>
        <w:t>שִׁירוּ</w:t>
      </w:r>
      <w:r>
        <w:rPr>
          <w:i/>
        </w:rPr>
        <w:t xml:space="preserve"> </w:t>
      </w:r>
      <w:r>
        <w:rPr>
          <w:i/>
        </w:rPr>
        <w:t>לַה׳</w:t>
      </w:r>
      <w:r>
        <w:rPr>
          <w:i/>
        </w:rPr>
        <w:t xml:space="preserve"> </w:t>
      </w:r>
      <w:r>
        <w:rPr>
          <w:i/>
        </w:rPr>
        <w:t>בָּרְכוּ</w:t>
      </w:r>
      <w:r>
        <w:rPr>
          <w:i/>
        </w:rPr>
        <w:t xml:space="preserve"> </w:t>
      </w:r>
      <w:r>
        <w:rPr>
          <w:i/>
        </w:rPr>
        <w:t>שְׁמוֹ</w:t>
      </w:r>
    </w:p>
    <w:p w14:paraId="67A97DDC" w14:textId="77777777" w:rsidR="00AC66DA" w:rsidRDefault="00CC5C72">
      <w:pPr>
        <w:pStyle w:val="BodySans"/>
        <w:ind w:left="720"/>
      </w:pPr>
      <w:r>
        <w:rPr>
          <w:i/>
        </w:rPr>
        <w:t>“Sing to YHWH, bless his name.”</w:t>
      </w:r>
    </w:p>
    <w:p w14:paraId="6C4E3F08" w14:textId="77777777" w:rsidR="00AC66DA" w:rsidRDefault="00CC5C72">
      <w:pPr>
        <w:pStyle w:val="BodySans"/>
      </w:pPr>
      <w:r>
        <w:t xml:space="preserve">A modern literary contrast helps here. In Kafka’s parable “Before the Law,” a man spends his life begging a doorkeeper for access to the Law, only to be told at the end: “This entrance was meant for you alone. I am now going to close it.” Psalm 100 envisions the </w:t>
      </w:r>
      <w:r>
        <w:lastRenderedPageBreak/>
        <w:t xml:space="preserve">opposite situation: the </w:t>
      </w:r>
      <w:r>
        <w:rPr>
          <w:b/>
        </w:rPr>
        <w:t>gate of God</w:t>
      </w:r>
      <w:r>
        <w:t xml:space="preserve"> is open, the doorkeeper is not blocking it, and the only instruction is: walk in loudly grateful. The psalm subverts the anxiety of inaccessibility with a liturgy of open approach.</w:t>
      </w:r>
    </w:p>
    <w:p w14:paraId="10D4F525" w14:textId="77777777" w:rsidR="00AC66DA" w:rsidRDefault="00AC66DA">
      <w:pPr>
        <w:pBdr>
          <w:bottom w:val="single" w:sz="12" w:space="1" w:color="000000"/>
        </w:pBdr>
      </w:pPr>
    </w:p>
    <w:p w14:paraId="54CD3AD2" w14:textId="77777777" w:rsidR="00AC66DA" w:rsidRDefault="00CC5C72">
      <w:pPr>
        <w:pStyle w:val="Heading3"/>
      </w:pPr>
      <w:r>
        <w:t>Verse 5</w:t>
      </w:r>
    </w:p>
    <w:p w14:paraId="605674D6" w14:textId="77777777" w:rsidR="00AC66DA" w:rsidRDefault="00CC5C72">
      <w:pPr>
        <w:pStyle w:val="BodySans"/>
      </w:pPr>
      <w:bdo w:val="ltr">
        <w:r>
          <w:t>׃וֹתנָוּמאֱ</w:t>
        </w:r>
        <w:r>
          <w:t xml:space="preserve"> </w:t>
        </w:r>
        <w:r>
          <w:t>רדֹוָ</w:t>
        </w:r>
        <w:r>
          <w:t xml:space="preserve"> </w:t>
        </w:r>
        <w:r>
          <w:t>רדֹּ־דעַוְ</w:t>
        </w:r>
        <w:r>
          <w:t xml:space="preserve"> ;</w:t>
        </w:r>
        <w:r>
          <w:t>וֹדּסְחַ</w:t>
        </w:r>
        <w:r>
          <w:t xml:space="preserve"> </w:t>
        </w:r>
        <w:r>
          <w:t>םלָוֹעלְ</w:t>
        </w:r>
        <w:r>
          <w:t xml:space="preserve"> ;</w:t>
        </w:r>
        <w:r>
          <w:t>ה</w:t>
        </w:r>
        <w:r>
          <w:t xml:space="preserve"> </w:t>
        </w:r>
        <w:r>
          <w:t>בוֹט־יכִּ</w:t>
        </w:r>
        <w:r>
          <w:t>‬</w:t>
        </w:r>
      </w:bdo>
    </w:p>
    <w:p w14:paraId="6FCD1AD1" w14:textId="77777777" w:rsidR="00AC66DA" w:rsidRDefault="00CC5C72">
      <w:pPr>
        <w:pStyle w:val="BodySans"/>
      </w:pPr>
      <w:r>
        <w:t>“For YHWH is good; his steadfast love is forever; and his faithfulness [endures] to every generation.”</w:t>
      </w:r>
    </w:p>
    <w:p w14:paraId="2A8AC567" w14:textId="77777777" w:rsidR="00AC66DA" w:rsidRDefault="00CC5C72">
      <w:pPr>
        <w:pStyle w:val="BodySans"/>
      </w:pPr>
      <w:r>
        <w:t xml:space="preserve">After seven imperatives, the psalm falls into declarative mode. The conjunction </w:t>
      </w:r>
      <w:r>
        <w:t>כִּי</w:t>
      </w:r>
      <w:r>
        <w:t xml:space="preserve"> (“for”) introduces the ground for everything that precedes: the universal shout, the joyful service, the open gates. The three clauses constitute a miniature creed.</w:t>
      </w:r>
    </w:p>
    <w:p w14:paraId="28C3D577" w14:textId="77777777" w:rsidR="00AC66DA" w:rsidRDefault="00CC5C72">
      <w:pPr>
        <w:pStyle w:val="BodySans"/>
      </w:pPr>
      <w:r>
        <w:t xml:space="preserve">The formula </w:t>
      </w:r>
      <w:r>
        <w:t>כִּי־טוֹב</w:t>
      </w:r>
      <w:r>
        <w:t xml:space="preserve"> </w:t>
      </w:r>
      <w:r>
        <w:t>ה׳</w:t>
      </w:r>
      <w:r>
        <w:t xml:space="preserve"> (“for YHWH is good”) recurs in the refrain that opens several psalms: </w:t>
      </w:r>
      <w:r>
        <w:t>הוֹדוּ</w:t>
      </w:r>
      <w:r>
        <w:t xml:space="preserve"> </w:t>
      </w:r>
      <w:r>
        <w:t>לַה׳</w:t>
      </w:r>
      <w:r>
        <w:t xml:space="preserve"> </w:t>
      </w:r>
      <w:r>
        <w:t>כִּי־טוֹב</w:t>
      </w:r>
      <w:r>
        <w:t xml:space="preserve"> </w:t>
      </w:r>
      <w:r>
        <w:t>כִּי</w:t>
      </w:r>
      <w:r>
        <w:t xml:space="preserve"> </w:t>
      </w:r>
      <w:r>
        <w:t>לְעוֹלָם</w:t>
      </w:r>
      <w:r>
        <w:t xml:space="preserve"> </w:t>
      </w:r>
      <w:r>
        <w:t>חַסְדּוֹ</w:t>
      </w:r>
      <w:r>
        <w:t xml:space="preserve"> (“Give thanks to YHWH, for he is good; for his steadfast love is forever,” Psalms 106:1; 107:1; 118:1). It is also heard at key redemptive moments. When the Second Temple’s foundation is laid, the people sing, </w:t>
      </w:r>
      <w:r>
        <w:t>כִּי־טוֹב</w:t>
      </w:r>
      <w:r>
        <w:t xml:space="preserve"> </w:t>
      </w:r>
      <w:r>
        <w:t>כִּי</w:t>
      </w:r>
      <w:r>
        <w:t xml:space="preserve"> </w:t>
      </w:r>
      <w:r>
        <w:t>לְעוֹלָם</w:t>
      </w:r>
      <w:r>
        <w:t xml:space="preserve"> </w:t>
      </w:r>
      <w:r>
        <w:t>חַסְדּוֹ</w:t>
      </w:r>
      <w:r>
        <w:t xml:space="preserve"> </w:t>
      </w:r>
      <w:r>
        <w:t>עַל־יִשְׂרָאֵל</w:t>
      </w:r>
      <w:r>
        <w:t xml:space="preserve"> (“For he is good, for his steadfast love for Israel is forever,” Ezra 3:11). Jeremiah 33:11 imagines future wedding songs in r</w:t>
      </w:r>
      <w:r>
        <w:t>uined Jerusalem using the same refrain. Psalm 100 thus taps into a liturgical formula associated with national restoration.‏</w:t>
      </w:r>
    </w:p>
    <w:p w14:paraId="7BE0EFEC" w14:textId="77777777" w:rsidR="00AC66DA" w:rsidRDefault="00CC5C72">
      <w:pPr>
        <w:pStyle w:val="BodySans"/>
      </w:pPr>
      <w:r>
        <w:t xml:space="preserve">The second colon, </w:t>
      </w:r>
      <w:r>
        <w:t>לְעוֹלָם</w:t>
      </w:r>
      <w:r>
        <w:t xml:space="preserve"> </w:t>
      </w:r>
      <w:r>
        <w:t>חַסְדּוֹ</w:t>
      </w:r>
      <w:r>
        <w:t xml:space="preserve">, uses </w:t>
      </w:r>
      <w:r>
        <w:t>חֶסֶד</w:t>
      </w:r>
      <w:r>
        <w:t xml:space="preserve">, a notoriously rich word. It can mean “kindness, mercy, loyalty,” especially within covenant. When linked with </w:t>
      </w:r>
      <w:r>
        <w:t>לְעוֹלָם</w:t>
      </w:r>
      <w:r>
        <w:t xml:space="preserve"> (“forever”), it evokes not just a general benevolence but a durable, sworn allegiance. Psalm 136 famously answers every line of history, from creation to the conquest, with the refrain </w:t>
      </w:r>
      <w:r>
        <w:t>כִּי</w:t>
      </w:r>
      <w:r>
        <w:t xml:space="preserve"> </w:t>
      </w:r>
      <w:r>
        <w:t>לְעוֹלָם</w:t>
      </w:r>
      <w:r>
        <w:t xml:space="preserve"> </w:t>
      </w:r>
      <w:r>
        <w:t>חַסְדּוֹ</w:t>
      </w:r>
      <w:r>
        <w:t xml:space="preserve"> (“for his chesed is forever”), turning the word into a lens for reading reality.‏</w:t>
      </w:r>
    </w:p>
    <w:p w14:paraId="7F612BB0" w14:textId="77777777" w:rsidR="00AC66DA" w:rsidRDefault="00CC5C72">
      <w:pPr>
        <w:pStyle w:val="BodySans"/>
      </w:pPr>
      <w:r>
        <w:t xml:space="preserve">The third colon, </w:t>
      </w:r>
      <w:r>
        <w:t>וְעַד־דֹּר</w:t>
      </w:r>
      <w:r>
        <w:t xml:space="preserve"> </w:t>
      </w:r>
      <w:r>
        <w:t>וָדֹר</w:t>
      </w:r>
      <w:r>
        <w:t xml:space="preserve"> </w:t>
      </w:r>
      <w:r>
        <w:t>אֱמוּנָתוֹ</w:t>
      </w:r>
      <w:r>
        <w:t xml:space="preserve">, shifts from abstract eternity (“forever”) to generational time: “to every generation, his faithfulness.” The noun </w:t>
      </w:r>
      <w:r>
        <w:t>אֱמוּנָה</w:t>
      </w:r>
      <w:r>
        <w:t xml:space="preserve"> denotes firmness, reliability; Exodus 17:12 says of Moses’ supported hands during battle, </w:t>
      </w:r>
      <w:r>
        <w:t>וַיְהִי</w:t>
      </w:r>
      <w:r>
        <w:t xml:space="preserve"> </w:t>
      </w:r>
      <w:r>
        <w:t>יָדָיו</w:t>
      </w:r>
      <w:r>
        <w:t xml:space="preserve"> </w:t>
      </w:r>
      <w:r>
        <w:t>אֱמוּנָה</w:t>
      </w:r>
      <w:r>
        <w:t xml:space="preserve"> (“his hands were steady”). Applied to God, it means he keeps promises. Psalm 103:17 echoes our line: </w:t>
      </w:r>
      <w:r>
        <w:t>וְחֶסֶד</w:t>
      </w:r>
      <w:r>
        <w:t xml:space="preserve"> </w:t>
      </w:r>
      <w:r>
        <w:t>ה׳</w:t>
      </w:r>
      <w:r>
        <w:t xml:space="preserve"> </w:t>
      </w:r>
      <w:r>
        <w:t>מֵעוֹלָם</w:t>
      </w:r>
      <w:r>
        <w:t xml:space="preserve"> </w:t>
      </w:r>
      <w:r>
        <w:t>וְעַד־עוֹלָם</w:t>
      </w:r>
      <w:r>
        <w:t xml:space="preserve"> </w:t>
      </w:r>
      <w:r>
        <w:t>עַל־יְרֵאָיו</w:t>
      </w:r>
      <w:r>
        <w:t xml:space="preserve"> (“The chesed of YHWH is from everlasting to everlasting on those who fear him”), immediately adding</w:t>
      </w:r>
      <w:r>
        <w:t xml:space="preserve">, </w:t>
      </w:r>
      <w:r>
        <w:t>וְצִדְקָתוֹ</w:t>
      </w:r>
      <w:r>
        <w:t xml:space="preserve"> </w:t>
      </w:r>
      <w:r>
        <w:t>לִבְנֵי</w:t>
      </w:r>
      <w:r>
        <w:t xml:space="preserve"> </w:t>
      </w:r>
      <w:r>
        <w:t>בָנִים</w:t>
      </w:r>
      <w:r>
        <w:t xml:space="preserve"> (“and his righteousness to children’s children”). Our psalm tightens the triad to two: chesed (love) and emunah (faithfulness). Love speaks to God’s disposition toward us; faithfulness speaks to his constancy through our fluctuating history.‏</w:t>
      </w:r>
    </w:p>
    <w:p w14:paraId="4DD601FD" w14:textId="77777777" w:rsidR="00AC66DA" w:rsidRDefault="00CC5C72">
      <w:pPr>
        <w:pStyle w:val="BodySans"/>
      </w:pPr>
      <w:r>
        <w:t xml:space="preserve">It is noteworthy that the psalm ends on </w:t>
      </w:r>
      <w:r>
        <w:t>אֱמוּנָתוֹ</w:t>
      </w:r>
      <w:r>
        <w:t xml:space="preserve"> rather than </w:t>
      </w:r>
      <w:r>
        <w:t>חַסְדּוֹ</w:t>
      </w:r>
      <w:r>
        <w:t xml:space="preserve">. The ear might expect the more colorful, affection‑laden term. By placing “his faithfulness” last, the poet anchors the </w:t>
      </w:r>
      <w:r>
        <w:lastRenderedPageBreak/>
        <w:t>experience of God less in emotion than in steadiness. Human feeling might oscillate; divine reliability does not. For a congregation emerging from exile or crisis—Radak reads the psalm against a backdrop of return from captivity—that assurance is more than doctrinal. It is existential.‏</w:t>
      </w:r>
    </w:p>
    <w:p w14:paraId="261714EA" w14:textId="77777777" w:rsidR="00AC66DA" w:rsidRDefault="00CC5C72">
      <w:pPr>
        <w:pStyle w:val="BodySans"/>
      </w:pPr>
      <w:r>
        <w:t xml:space="preserve">Compared with Exodus 34:6–7, the great creedal passage, Psalm 100’s creed is short and sweet. Exodus lists both mercy and judgment: </w:t>
      </w:r>
      <w:r>
        <w:t>נֹשֵׂא</w:t>
      </w:r>
      <w:r>
        <w:t xml:space="preserve"> </w:t>
      </w:r>
      <w:r>
        <w:t>עָוֹן</w:t>
      </w:r>
      <w:r>
        <w:t xml:space="preserve">… </w:t>
      </w:r>
      <w:r>
        <w:t>וְנַקֵּה</w:t>
      </w:r>
      <w:r>
        <w:t xml:space="preserve"> </w:t>
      </w:r>
      <w:r>
        <w:t>לֹא</w:t>
      </w:r>
      <w:r>
        <w:t xml:space="preserve"> </w:t>
      </w:r>
      <w:r>
        <w:t>יְנַקֶּה</w:t>
      </w:r>
      <w:r>
        <w:t xml:space="preserve"> (“forgiving iniquity… yet by no means clearing the guilty”). Psalm 100 omits the shadow entirely. That is not denial but selection. This is not the place to remind penitents of wrath; it is the place to ground thanksgiving in the qualities that endure when wrath has passed.‏</w:t>
      </w:r>
    </w:p>
    <w:p w14:paraId="5E8A0BDB" w14:textId="77777777" w:rsidR="00AC66DA" w:rsidRDefault="00CC5C72">
      <w:pPr>
        <w:pStyle w:val="BodySans"/>
      </w:pPr>
      <w:r>
        <w:t xml:space="preserve">In later custom, as we saw, this verse is lifted into penitential prayers, where its affirmative tone leavens the gravity of confession. On </w:t>
      </w:r>
      <w:r>
        <w:rPr>
          <w:i/>
        </w:rPr>
        <w:t>Yom Kippur Katan</w:t>
      </w:r>
      <w:r>
        <w:t xml:space="preserve">, worshippers declare, </w:t>
      </w:r>
      <w:r>
        <w:t>כִּי</w:t>
      </w:r>
      <w:r>
        <w:t xml:space="preserve"> </w:t>
      </w:r>
      <w:r>
        <w:t>טוֹב</w:t>
      </w:r>
      <w:r>
        <w:t xml:space="preserve"> </w:t>
      </w:r>
      <w:r>
        <w:t>ה׳</w:t>
      </w:r>
      <w:r>
        <w:t xml:space="preserve"> </w:t>
      </w:r>
      <w:r>
        <w:t>לְעוֹלָם</w:t>
      </w:r>
      <w:r>
        <w:t xml:space="preserve"> </w:t>
      </w:r>
      <w:r>
        <w:t>חַסְדּוֹ</w:t>
      </w:r>
      <w:r>
        <w:t xml:space="preserve"> </w:t>
      </w:r>
      <w:r>
        <w:t>וְעַד</w:t>
      </w:r>
      <w:r>
        <w:t xml:space="preserve"> </w:t>
      </w:r>
      <w:r>
        <w:t>דֹּר</w:t>
      </w:r>
      <w:r>
        <w:t xml:space="preserve"> </w:t>
      </w:r>
      <w:r>
        <w:t>וָדֹר</w:t>
      </w:r>
      <w:r>
        <w:t xml:space="preserve"> </w:t>
      </w:r>
      <w:r>
        <w:t>אֱמוּנָתוֹ</w:t>
      </w:r>
      <w:r>
        <w:t>, flanked by verses about human frailty. Divine reliability is the hinge between our dust and our hope.‏</w:t>
      </w:r>
    </w:p>
    <w:p w14:paraId="70F5A8E5" w14:textId="77777777" w:rsidR="00AC66DA" w:rsidRDefault="00CC5C72">
      <w:pPr>
        <w:pStyle w:val="BodySans"/>
        <w:jc w:val="center"/>
      </w:pPr>
      <w:r>
        <w:t>—</w:t>
      </w:r>
    </w:p>
    <w:p w14:paraId="1B5D5F51" w14:textId="77777777" w:rsidR="00AC66DA" w:rsidRDefault="00CC5C72">
      <w:pPr>
        <w:pStyle w:val="BodySans"/>
      </w:pPr>
      <w:r>
        <w:rPr>
          <w:b/>
          <w:color w:val="008000"/>
        </w:rPr>
        <w:t xml:space="preserve">“For </w:t>
      </w:r>
      <w:r>
        <w:t>YHWH is good; his steadfast love is forever; and to generation after generation, his faithfulness.”</w:t>
      </w:r>
    </w:p>
    <w:p w14:paraId="681E5F4B" w14:textId="77777777" w:rsidR="00AC66DA" w:rsidRDefault="00CC5C72">
      <w:pPr>
        <w:pStyle w:val="BodySans"/>
      </w:pPr>
      <w:r>
        <w:t xml:space="preserve">This verse gives the </w:t>
      </w:r>
      <w:r>
        <w:rPr>
          <w:b/>
        </w:rPr>
        <w:t>reason</w:t>
      </w:r>
      <w:r>
        <w:t xml:space="preserve"> for all the commands. The conjunction </w:t>
      </w:r>
      <w:r>
        <w:t>כִּי</w:t>
      </w:r>
      <w:r>
        <w:t xml:space="preserve"> (</w:t>
      </w:r>
      <w:r>
        <w:rPr>
          <w:i/>
        </w:rPr>
        <w:t>ki</w:t>
      </w:r>
      <w:r>
        <w:t>) / “for” links back especially to “give thanks to him, bless his name.” What do you actually say when you bless his name? Verse 5 is the content.</w:t>
      </w:r>
    </w:p>
    <w:p w14:paraId="703ABB47" w14:textId="77777777" w:rsidR="00AC66DA" w:rsidRDefault="00CC5C72">
      <w:pPr>
        <w:pStyle w:val="BodySans"/>
      </w:pPr>
      <w:r>
        <w:t>The three key words deserve unpacking:</w:t>
      </w:r>
    </w:p>
    <w:p w14:paraId="182F7660" w14:textId="77777777" w:rsidR="00AC66DA" w:rsidRDefault="00CC5C72">
      <w:pPr>
        <w:pStyle w:val="ListBullet"/>
      </w:pPr>
      <w:r>
        <w:rPr>
          <w:rFonts w:ascii="Aptos" w:hAnsi="Aptos"/>
        </w:rPr>
        <w:t>טוֹב</w:t>
      </w:r>
      <w:r>
        <w:rPr>
          <w:rFonts w:ascii="Aptos" w:hAnsi="Aptos"/>
        </w:rPr>
        <w:t xml:space="preserve"> (</w:t>
      </w:r>
      <w:r>
        <w:rPr>
          <w:rFonts w:ascii="Aptos" w:hAnsi="Aptos"/>
          <w:i/>
        </w:rPr>
        <w:t>tov</w:t>
      </w:r>
      <w:r>
        <w:rPr>
          <w:rFonts w:ascii="Aptos" w:hAnsi="Aptos"/>
        </w:rPr>
        <w:t>) / “good” is simple but rich. Psalm 34:9 invites:</w:t>
      </w:r>
    </w:p>
    <w:p w14:paraId="6FDD03C9" w14:textId="77777777" w:rsidR="00AC66DA" w:rsidRDefault="00CC5C72">
      <w:pPr>
        <w:pStyle w:val="BodySans"/>
        <w:ind w:left="720"/>
      </w:pPr>
      <w:r>
        <w:rPr>
          <w:i/>
        </w:rPr>
        <w:t>טַעֲמוּ</w:t>
      </w:r>
      <w:r>
        <w:rPr>
          <w:i/>
        </w:rPr>
        <w:t xml:space="preserve"> </w:t>
      </w:r>
      <w:r>
        <w:rPr>
          <w:i/>
        </w:rPr>
        <w:t>וּרְאוּ</w:t>
      </w:r>
      <w:r>
        <w:rPr>
          <w:i/>
        </w:rPr>
        <w:t xml:space="preserve"> </w:t>
      </w:r>
      <w:r>
        <w:rPr>
          <w:i/>
        </w:rPr>
        <w:t>כִּי־טוֹב</w:t>
      </w:r>
      <w:r>
        <w:rPr>
          <w:i/>
        </w:rPr>
        <w:t xml:space="preserve"> </w:t>
      </w:r>
      <w:r>
        <w:rPr>
          <w:i/>
        </w:rPr>
        <w:t>ה׳</w:t>
      </w:r>
    </w:p>
    <w:p w14:paraId="0CE717BB" w14:textId="77777777" w:rsidR="00AC66DA" w:rsidRDefault="00CC5C72">
      <w:pPr>
        <w:pStyle w:val="BodySans"/>
        <w:ind w:left="720"/>
      </w:pPr>
      <w:r>
        <w:rPr>
          <w:i/>
        </w:rPr>
        <w:t>“Taste and see that YHWH is good.”</w:t>
      </w:r>
    </w:p>
    <w:p w14:paraId="18860F04" w14:textId="77777777" w:rsidR="00AC66DA" w:rsidRDefault="00CC5C72">
      <w:pPr>
        <w:pStyle w:val="BodySans"/>
      </w:pPr>
      <w:r>
        <w:t>For this psalm, “good” is the most basic assertion about God’s character.</w:t>
      </w:r>
    </w:p>
    <w:p w14:paraId="69FADB20" w14:textId="77777777" w:rsidR="00AC66DA" w:rsidRDefault="00CC5C72">
      <w:pPr>
        <w:pStyle w:val="ListBullet"/>
      </w:pPr>
      <w:r>
        <w:rPr>
          <w:rFonts w:ascii="Aptos" w:hAnsi="Aptos"/>
        </w:rPr>
        <w:t>חֶסֶד</w:t>
      </w:r>
      <w:r>
        <w:rPr>
          <w:rFonts w:ascii="Aptos" w:hAnsi="Aptos"/>
        </w:rPr>
        <w:t xml:space="preserve"> (</w:t>
      </w:r>
      <w:r>
        <w:rPr>
          <w:rFonts w:ascii="Aptos" w:hAnsi="Aptos"/>
          <w:i/>
        </w:rPr>
        <w:t>chesed</w:t>
      </w:r>
      <w:r>
        <w:rPr>
          <w:rFonts w:ascii="Aptos" w:hAnsi="Aptos"/>
        </w:rPr>
        <w:t xml:space="preserve">) is notoriously hard to translate. It is </w:t>
      </w:r>
      <w:r>
        <w:rPr>
          <w:rFonts w:ascii="Aptos" w:hAnsi="Aptos"/>
          <w:b/>
        </w:rPr>
        <w:t>covenant loyalty</w:t>
      </w:r>
      <w:r>
        <w:rPr>
          <w:rFonts w:ascii="Aptos" w:hAnsi="Aptos"/>
        </w:rPr>
        <w:t xml:space="preserve">, love that keeps promises. Our verse says it is </w:t>
      </w:r>
      <w:r>
        <w:rPr>
          <w:rFonts w:ascii="Aptos" w:hAnsi="Aptos"/>
        </w:rPr>
        <w:t>לְעוֹלָם</w:t>
      </w:r>
      <w:r>
        <w:rPr>
          <w:rFonts w:ascii="Aptos" w:hAnsi="Aptos"/>
        </w:rPr>
        <w:t xml:space="preserve"> / “forever.” This line recurs as a liturgical refrain in many texts, e.g. Psalm 106:1:‏</w:t>
      </w:r>
    </w:p>
    <w:p w14:paraId="57B55030" w14:textId="77777777" w:rsidR="00AC66DA" w:rsidRDefault="00CC5C72">
      <w:pPr>
        <w:pStyle w:val="BodySans"/>
        <w:ind w:left="720"/>
      </w:pPr>
      <w:bdo w:val="ltr">
        <w:r>
          <w:rPr>
            <w:i/>
          </w:rPr>
          <w:t>׃וֹדּסְחַ</w:t>
        </w:r>
        <w:r>
          <w:rPr>
            <w:i/>
          </w:rPr>
          <w:t xml:space="preserve"> </w:t>
        </w:r>
        <w:r>
          <w:rPr>
            <w:i/>
          </w:rPr>
          <w:t>םלָוֹעלְ</w:t>
        </w:r>
        <w:r>
          <w:rPr>
            <w:i/>
          </w:rPr>
          <w:t xml:space="preserve"> </w:t>
        </w:r>
        <w:r>
          <w:rPr>
            <w:i/>
          </w:rPr>
          <w:t>יכִּ</w:t>
        </w:r>
        <w:r>
          <w:rPr>
            <w:i/>
          </w:rPr>
          <w:t xml:space="preserve"> </w:t>
        </w:r>
        <w:r>
          <w:rPr>
            <w:i/>
          </w:rPr>
          <w:t>בוֹט־יכִּ</w:t>
        </w:r>
        <w:r>
          <w:rPr>
            <w:i/>
          </w:rPr>
          <w:t xml:space="preserve"> </w:t>
        </w:r>
        <w:r>
          <w:rPr>
            <w:i/>
          </w:rPr>
          <w:t>הלַ</w:t>
        </w:r>
        <w:r>
          <w:rPr>
            <w:i/>
          </w:rPr>
          <w:t xml:space="preserve"> </w:t>
        </w:r>
        <w:r>
          <w:rPr>
            <w:i/>
          </w:rPr>
          <w:t>וּדוֹה</w:t>
        </w:r>
        <w:r>
          <w:rPr>
            <w:i/>
          </w:rPr>
          <w:t>‬</w:t>
        </w:r>
      </w:bdo>
    </w:p>
    <w:p w14:paraId="61D21B0D" w14:textId="77777777" w:rsidR="00AC66DA" w:rsidRDefault="00CC5C72">
      <w:pPr>
        <w:pStyle w:val="BodySans"/>
        <w:ind w:left="720"/>
      </w:pPr>
      <w:r>
        <w:rPr>
          <w:i/>
        </w:rPr>
        <w:t>“Give thanks to YHWH, for he is good; for his steadfast love is forever.”</w:t>
      </w:r>
    </w:p>
    <w:p w14:paraId="5464A4DA" w14:textId="77777777" w:rsidR="00AC66DA" w:rsidRDefault="00CC5C72">
      <w:pPr>
        <w:pStyle w:val="ListBullet"/>
      </w:pPr>
      <w:r>
        <w:rPr>
          <w:rFonts w:ascii="Aptos" w:hAnsi="Aptos"/>
        </w:rPr>
        <w:t>אֱמוּנָה</w:t>
      </w:r>
      <w:r>
        <w:rPr>
          <w:rFonts w:ascii="Aptos" w:hAnsi="Aptos"/>
        </w:rPr>
        <w:t xml:space="preserve"> (</w:t>
      </w:r>
      <w:r>
        <w:rPr>
          <w:rFonts w:ascii="Aptos" w:hAnsi="Aptos"/>
          <w:i/>
        </w:rPr>
        <w:t>emunah</w:t>
      </w:r>
      <w:r>
        <w:rPr>
          <w:rFonts w:ascii="Aptos" w:hAnsi="Aptos"/>
        </w:rPr>
        <w:t>) is “firmness, steadfastness, faithfulness.” Exodus 17:12 uses it literally:</w:t>
      </w:r>
    </w:p>
    <w:p w14:paraId="341524F3" w14:textId="77777777" w:rsidR="00AC66DA" w:rsidRDefault="00CC5C72">
      <w:pPr>
        <w:pStyle w:val="BodySans"/>
        <w:ind w:left="720"/>
      </w:pPr>
      <w:r>
        <w:rPr>
          <w:i/>
        </w:rPr>
        <w:lastRenderedPageBreak/>
        <w:t>וַיְהִי</w:t>
      </w:r>
      <w:r>
        <w:rPr>
          <w:i/>
        </w:rPr>
        <w:t xml:space="preserve"> </w:t>
      </w:r>
      <w:r>
        <w:rPr>
          <w:i/>
        </w:rPr>
        <w:t>יָדָיו</w:t>
      </w:r>
      <w:r>
        <w:rPr>
          <w:i/>
        </w:rPr>
        <w:t xml:space="preserve"> </w:t>
      </w:r>
      <w:r>
        <w:rPr>
          <w:i/>
        </w:rPr>
        <w:t>אֱמוּנָה</w:t>
      </w:r>
    </w:p>
    <w:p w14:paraId="2A374B61" w14:textId="77777777" w:rsidR="00AC66DA" w:rsidRDefault="00CC5C72">
      <w:pPr>
        <w:pStyle w:val="BodySans"/>
        <w:ind w:left="720"/>
      </w:pPr>
      <w:r>
        <w:rPr>
          <w:i/>
        </w:rPr>
        <w:t>“His hands were steady.”</w:t>
      </w:r>
    </w:p>
    <w:p w14:paraId="26539E8F" w14:textId="77777777" w:rsidR="00AC66DA" w:rsidRDefault="00CC5C72">
      <w:pPr>
        <w:pStyle w:val="BodySans"/>
      </w:pPr>
      <w:r>
        <w:t>When applied to God, it means reliability. Psalm 89:2 pairs it with chesed:</w:t>
      </w:r>
    </w:p>
    <w:p w14:paraId="70F69103" w14:textId="77777777" w:rsidR="00AC66DA" w:rsidRDefault="00CC5C72">
      <w:pPr>
        <w:pStyle w:val="BodySans"/>
        <w:ind w:left="720"/>
      </w:pPr>
      <w:r>
        <w:rPr>
          <w:i/>
        </w:rPr>
        <w:t>חַסְדֵי</w:t>
      </w:r>
      <w:r>
        <w:rPr>
          <w:i/>
        </w:rPr>
        <w:t xml:space="preserve"> </w:t>
      </w:r>
      <w:r>
        <w:rPr>
          <w:i/>
        </w:rPr>
        <w:t>ה׳</w:t>
      </w:r>
      <w:r>
        <w:rPr>
          <w:i/>
        </w:rPr>
        <w:t xml:space="preserve"> </w:t>
      </w:r>
      <w:r>
        <w:rPr>
          <w:i/>
        </w:rPr>
        <w:t>עוֹלָם</w:t>
      </w:r>
      <w:r>
        <w:rPr>
          <w:i/>
        </w:rPr>
        <w:t xml:space="preserve"> </w:t>
      </w:r>
      <w:r>
        <w:rPr>
          <w:i/>
        </w:rPr>
        <w:t>אָשִׁירָה</w:t>
      </w:r>
      <w:r>
        <w:rPr>
          <w:i/>
        </w:rPr>
        <w:t xml:space="preserve"> … </w:t>
      </w:r>
      <w:r>
        <w:rPr>
          <w:i/>
        </w:rPr>
        <w:t>בְּפִי</w:t>
      </w:r>
      <w:r>
        <w:rPr>
          <w:i/>
        </w:rPr>
        <w:t xml:space="preserve"> </w:t>
      </w:r>
      <w:r>
        <w:rPr>
          <w:i/>
        </w:rPr>
        <w:t>אֲמוֹדִיעַ</w:t>
      </w:r>
      <w:r>
        <w:rPr>
          <w:i/>
        </w:rPr>
        <w:t xml:space="preserve"> </w:t>
      </w:r>
      <w:r>
        <w:rPr>
          <w:i/>
        </w:rPr>
        <w:t>אֱמוּנָתְךָ</w:t>
      </w:r>
    </w:p>
    <w:p w14:paraId="3E2621B7" w14:textId="77777777" w:rsidR="00AC66DA" w:rsidRDefault="00CC5C72">
      <w:pPr>
        <w:pStyle w:val="BodySans"/>
        <w:ind w:left="720"/>
      </w:pPr>
      <w:r>
        <w:rPr>
          <w:i/>
        </w:rPr>
        <w:t>“I will sing of the loving‑kindnesses of YHWH forever… with my mouth I will make known your faithfulness.”</w:t>
      </w:r>
    </w:p>
    <w:p w14:paraId="57E84C9C" w14:textId="77777777" w:rsidR="00AC66DA" w:rsidRDefault="00CC5C72">
      <w:pPr>
        <w:pStyle w:val="BodySans"/>
      </w:pPr>
      <w:r>
        <w:t xml:space="preserve">Our verse compresses Exodus 34:6–7’s long list (“compassionate and gracious, slow to anger, abounding in loyalty and faithfulness…”). Notice what is missing: no mention of anger, no threat of visiting iniquity to the third and fourth generation. Instead, </w:t>
      </w:r>
      <w:r>
        <w:rPr>
          <w:i/>
        </w:rPr>
        <w:t>our</w:t>
      </w:r>
      <w:r>
        <w:t xml:space="preserve"> generation fades into “generation and generation” </w:t>
      </w:r>
      <w:bdo w:val="ltr">
        <w:r>
          <w:t>(</w:t>
        </w:r>
        <w:r>
          <w:t>רדֹוָ</w:t>
        </w:r>
        <w:r>
          <w:t xml:space="preserve"> </w:t>
        </w:r>
        <w:r>
          <w:t>רדֹּ</w:t>
        </w:r>
        <w:r>
          <w:t>)</w:t>
        </w:r>
        <w:r>
          <w:t>‬, while his loyalty and faithfulness remain.‏</w:t>
        </w:r>
      </w:bdo>
    </w:p>
    <w:p w14:paraId="05CFE26E" w14:textId="77777777" w:rsidR="00AC66DA" w:rsidRDefault="00CC5C72">
      <w:pPr>
        <w:pStyle w:val="BodySans"/>
      </w:pPr>
      <w:r>
        <w:t>Psalm 103 is a close cousin:</w:t>
      </w:r>
    </w:p>
    <w:p w14:paraId="132E3CB4" w14:textId="77777777" w:rsidR="00AC66DA" w:rsidRDefault="00CC5C72">
      <w:pPr>
        <w:pStyle w:val="BodySans"/>
        <w:ind w:left="720"/>
      </w:pPr>
      <w:r>
        <w:rPr>
          <w:i/>
        </w:rPr>
        <w:t>וְחֶסֶד</w:t>
      </w:r>
      <w:r>
        <w:rPr>
          <w:i/>
        </w:rPr>
        <w:t xml:space="preserve"> </w:t>
      </w:r>
      <w:r>
        <w:rPr>
          <w:i/>
        </w:rPr>
        <w:t>ה׳</w:t>
      </w:r>
      <w:r>
        <w:rPr>
          <w:i/>
        </w:rPr>
        <w:t xml:space="preserve"> </w:t>
      </w:r>
      <w:r>
        <w:rPr>
          <w:i/>
        </w:rPr>
        <w:t>מֵעוֹלָם</w:t>
      </w:r>
      <w:r>
        <w:rPr>
          <w:i/>
        </w:rPr>
        <w:t xml:space="preserve"> </w:t>
      </w:r>
      <w:r>
        <w:rPr>
          <w:i/>
        </w:rPr>
        <w:t>וְעַד־עוֹלָם</w:t>
      </w:r>
      <w:r>
        <w:rPr>
          <w:i/>
        </w:rPr>
        <w:t xml:space="preserve"> </w:t>
      </w:r>
      <w:r>
        <w:rPr>
          <w:i/>
        </w:rPr>
        <w:t>עַל־יְרֵאָיו</w:t>
      </w:r>
      <w:r>
        <w:rPr>
          <w:i/>
        </w:rPr>
        <w:t xml:space="preserve"> …</w:t>
      </w:r>
    </w:p>
    <w:p w14:paraId="6FDB7558" w14:textId="77777777" w:rsidR="00AC66DA" w:rsidRDefault="00CC5C72">
      <w:pPr>
        <w:pStyle w:val="BodySans"/>
        <w:ind w:left="720"/>
      </w:pPr>
      <w:r>
        <w:rPr>
          <w:i/>
        </w:rPr>
        <w:t>“But the loyal love of YHWH is from everlasting to everlasting upon those who fear him” (Psalm 103:17).</w:t>
      </w:r>
    </w:p>
    <w:p w14:paraId="51319466" w14:textId="77777777" w:rsidR="00AC66DA" w:rsidRDefault="00CC5C72">
      <w:pPr>
        <w:pStyle w:val="BodySans"/>
      </w:pPr>
      <w:r>
        <w:t>Both psalms answer the problem of human transience (we return to dust) with divine constancy.</w:t>
      </w:r>
    </w:p>
    <w:p w14:paraId="7616E864" w14:textId="77777777" w:rsidR="00AC66DA" w:rsidRDefault="00CC5C72">
      <w:pPr>
        <w:pStyle w:val="BodySans"/>
      </w:pPr>
      <w:r>
        <w:t xml:space="preserve">Why end on </w:t>
      </w:r>
      <w:r>
        <w:t>אֱמוּנָתוֹ</w:t>
      </w:r>
      <w:r>
        <w:t xml:space="preserve"> / “his faithfulness” rather than on </w:t>
      </w:r>
      <w:r>
        <w:t>חַסְדּוֹ</w:t>
      </w:r>
      <w:r>
        <w:t xml:space="preserve"> / “his love”? Several medieval commentators (Rashi, Radak, Metzudat David) gloss </w:t>
      </w:r>
      <w:r>
        <w:t>אֱמוּנָה</w:t>
      </w:r>
      <w:r>
        <w:t xml:space="preserve"> as “the keeping of his promise.” Ending on this word shifts the focus from how God </w:t>
      </w:r>
      <w:r>
        <w:rPr>
          <w:b/>
        </w:rPr>
        <w:t>feels</w:t>
      </w:r>
      <w:r>
        <w:t xml:space="preserve"> toward Israel (affection) to how God </w:t>
      </w:r>
      <w:r>
        <w:rPr>
          <w:b/>
        </w:rPr>
        <w:t>behaves</w:t>
      </w:r>
      <w:r>
        <w:t xml:space="preserve"> toward Israel (keeping his word). In a world of shifting empires and fragile human commitments, that final word is a deliberate choice: after the shouts, the movement, the emotion, what ultimately carries the people is not their wor</w:t>
      </w:r>
      <w:r>
        <w:t xml:space="preserve">ship of him but </w:t>
      </w:r>
      <w:r>
        <w:rPr>
          <w:b/>
        </w:rPr>
        <w:t>his faithfulness to them</w:t>
      </w:r>
      <w:r>
        <w:t>.</w:t>
      </w:r>
    </w:p>
    <w:p w14:paraId="67DE2E46" w14:textId="77777777" w:rsidR="00AC66DA" w:rsidRDefault="00CC5C72">
      <w:r>
        <w:br w:type="page"/>
      </w:r>
    </w:p>
    <w:p w14:paraId="51A22DA3" w14:textId="77777777" w:rsidR="00AC66DA" w:rsidRDefault="00CC5C72">
      <w:pPr>
        <w:pStyle w:val="Heading2"/>
      </w:pPr>
      <w:r>
        <w:lastRenderedPageBreak/>
        <w:t>Methodological &amp; Bibliographical Summary</w:t>
      </w:r>
    </w:p>
    <w:p w14:paraId="55BDA9DE" w14:textId="77777777" w:rsidR="00AC66DA" w:rsidRDefault="00CC5C72">
      <w:pPr>
        <w:pStyle w:val="Heading3"/>
      </w:pPr>
      <w:r>
        <w:t>Research &amp; Data Inputs</w:t>
      </w:r>
    </w:p>
    <w:p w14:paraId="682A99D0" w14:textId="77777777" w:rsidR="00AC66DA" w:rsidRDefault="00CC5C72">
      <w:pPr>
        <w:pStyle w:val="SummaryText"/>
      </w:pPr>
      <w:r>
        <w:rPr>
          <w:rFonts w:ascii="Aptos" w:hAnsi="Aptos"/>
          <w:b/>
          <w:sz w:val="24"/>
        </w:rPr>
        <w:t>Psalm Verses Analyzed</w:t>
      </w:r>
      <w:r>
        <w:rPr>
          <w:rFonts w:ascii="Aptos" w:hAnsi="Aptos"/>
          <w:sz w:val="24"/>
        </w:rPr>
        <w:t>: 5</w:t>
      </w:r>
    </w:p>
    <w:p w14:paraId="455BBD8B" w14:textId="77777777" w:rsidR="00AC66DA" w:rsidRDefault="00CC5C72">
      <w:pPr>
        <w:pStyle w:val="SummaryText"/>
      </w:pPr>
      <w:r>
        <w:rPr>
          <w:rFonts w:ascii="Aptos" w:hAnsi="Aptos"/>
          <w:b/>
          <w:sz w:val="24"/>
        </w:rPr>
        <w:t>LXX (Septuagint) Verses Reviewed</w:t>
      </w:r>
      <w:r>
        <w:rPr>
          <w:rFonts w:ascii="Aptos" w:hAnsi="Aptos"/>
          <w:sz w:val="24"/>
        </w:rPr>
        <w:t>: 5</w:t>
      </w:r>
    </w:p>
    <w:p w14:paraId="6B83566F" w14:textId="77777777" w:rsidR="00AC66DA" w:rsidRDefault="00CC5C72">
      <w:pPr>
        <w:pStyle w:val="SummaryText"/>
      </w:pPr>
      <w:r>
        <w:rPr>
          <w:rFonts w:ascii="Aptos" w:hAnsi="Aptos"/>
          <w:b/>
          <w:sz w:val="24"/>
        </w:rPr>
        <w:t>Phonetic Transcriptions Generated</w:t>
      </w:r>
      <w:r>
        <w:rPr>
          <w:rFonts w:ascii="Aptos" w:hAnsi="Aptos"/>
          <w:sz w:val="24"/>
        </w:rPr>
        <w:t>: 5</w:t>
      </w:r>
    </w:p>
    <w:p w14:paraId="2897D178" w14:textId="77777777" w:rsidR="00AC66DA" w:rsidRDefault="00CC5C72">
      <w:pPr>
        <w:pStyle w:val="SummaryText"/>
      </w:pPr>
      <w:r>
        <w:rPr>
          <w:rFonts w:ascii="Aptos" w:hAnsi="Aptos"/>
          <w:b/>
          <w:sz w:val="24"/>
        </w:rPr>
        <w:t>Ugaritic Parallels Reviewed</w:t>
      </w:r>
      <w:r>
        <w:rPr>
          <w:rFonts w:ascii="Aptos" w:hAnsi="Aptos"/>
          <w:sz w:val="24"/>
        </w:rPr>
        <w:t>: 0</w:t>
      </w:r>
    </w:p>
    <w:p w14:paraId="634BA6DB" w14:textId="77777777" w:rsidR="00AC66DA" w:rsidRDefault="00CC5C72">
      <w:pPr>
        <w:pStyle w:val="SummaryText"/>
      </w:pPr>
      <w:r>
        <w:rPr>
          <w:rFonts w:ascii="Aptos" w:hAnsi="Aptos"/>
          <w:b/>
          <w:sz w:val="24"/>
        </w:rPr>
        <w:t>Lexicon Entries (BDB\Klein) Reviewed</w:t>
      </w:r>
      <w:r>
        <w:rPr>
          <w:rFonts w:ascii="Aptos" w:hAnsi="Aptos"/>
          <w:sz w:val="24"/>
        </w:rPr>
        <w:t>: 18</w:t>
      </w:r>
    </w:p>
    <w:p w14:paraId="684D1D96" w14:textId="77777777" w:rsidR="00AC66DA" w:rsidRDefault="00CC5C72">
      <w:pPr>
        <w:pStyle w:val="SummaryText"/>
      </w:pPr>
      <w:r>
        <w:rPr>
          <w:rFonts w:ascii="Aptos" w:hAnsi="Aptos"/>
          <w:b/>
          <w:sz w:val="24"/>
        </w:rPr>
        <w:t>Traditional Commentaries Reviewed</w:t>
      </w:r>
      <w:r>
        <w:rPr>
          <w:rFonts w:ascii="Aptos" w:hAnsi="Aptos"/>
          <w:sz w:val="24"/>
        </w:rPr>
        <w:t>: N/A</w:t>
      </w:r>
    </w:p>
    <w:p w14:paraId="7174F142" w14:textId="77777777" w:rsidR="00AC66DA" w:rsidRDefault="00CC5C72">
      <w:pPr>
        <w:pStyle w:val="SummaryText"/>
      </w:pPr>
      <w:r>
        <w:rPr>
          <w:rFonts w:ascii="Aptos" w:hAnsi="Aptos"/>
          <w:b/>
          <w:sz w:val="24"/>
        </w:rPr>
        <w:t>Concordance Entries Reviewed</w:t>
      </w:r>
      <w:r>
        <w:rPr>
          <w:rFonts w:ascii="Aptos" w:hAnsi="Aptos"/>
          <w:sz w:val="24"/>
        </w:rPr>
        <w:t>: 12</w:t>
      </w:r>
    </w:p>
    <w:p w14:paraId="2E587527" w14:textId="77777777" w:rsidR="00AC66DA" w:rsidRDefault="00CC5C72">
      <w:pPr>
        <w:pStyle w:val="SummaryText"/>
      </w:pPr>
      <w:r>
        <w:rPr>
          <w:rFonts w:ascii="Aptos" w:hAnsi="Aptos"/>
          <w:b/>
          <w:sz w:val="24"/>
        </w:rPr>
        <w:t>Figurative Concordance Matches Reviewed</w:t>
      </w:r>
      <w:r>
        <w:rPr>
          <w:rFonts w:ascii="Aptos" w:hAnsi="Aptos"/>
          <w:sz w:val="24"/>
        </w:rPr>
        <w:t>: 369 (court (30); father (30); gate (50); king (50); name (30); potter (50); servant (50); sheep (50); shout (9); vineyard (20))</w:t>
      </w:r>
    </w:p>
    <w:p w14:paraId="12931C88" w14:textId="77777777" w:rsidR="00AC66DA" w:rsidRDefault="00CC5C72">
      <w:pPr>
        <w:pStyle w:val="SummaryText"/>
      </w:pPr>
      <w:r>
        <w:rPr>
          <w:rFonts w:ascii="Aptos" w:hAnsi="Aptos"/>
          <w:b/>
          <w:sz w:val="24"/>
        </w:rPr>
        <w:t>Rabbi Jonathan Sacks References Reviewed</w:t>
      </w:r>
      <w:r>
        <w:rPr>
          <w:rFonts w:ascii="Aptos" w:hAnsi="Aptos"/>
          <w:sz w:val="24"/>
        </w:rPr>
        <w:t>: N/A</w:t>
      </w:r>
    </w:p>
    <w:p w14:paraId="30BA4C33" w14:textId="77777777" w:rsidR="00AC66DA" w:rsidRDefault="00CC5C72">
      <w:pPr>
        <w:pStyle w:val="SummaryText"/>
      </w:pPr>
      <w:r>
        <w:rPr>
          <w:rFonts w:ascii="Aptos" w:hAnsi="Aptos"/>
          <w:b/>
          <w:sz w:val="24"/>
        </w:rPr>
        <w:t>Similar Psalms Analyzed</w:t>
      </w:r>
      <w:r>
        <w:rPr>
          <w:rFonts w:ascii="Aptos" w:hAnsi="Aptos"/>
          <w:sz w:val="24"/>
        </w:rPr>
        <w:t>: 2 (Psalms 95, 103)</w:t>
      </w:r>
    </w:p>
    <w:p w14:paraId="7609FC3E" w14:textId="77777777" w:rsidR="00AC66DA" w:rsidRDefault="00CC5C72">
      <w:pPr>
        <w:pStyle w:val="SummaryText"/>
      </w:pPr>
      <w:r>
        <w:rPr>
          <w:rFonts w:ascii="Aptos" w:hAnsi="Aptos"/>
          <w:b/>
          <w:sz w:val="24"/>
        </w:rPr>
        <w:t>Deep Web Research</w:t>
      </w:r>
      <w:r>
        <w:rPr>
          <w:rFonts w:ascii="Aptos" w:hAnsi="Aptos"/>
          <w:sz w:val="24"/>
        </w:rPr>
        <w:t>: Yes</w:t>
      </w:r>
    </w:p>
    <w:p w14:paraId="781ECDCE" w14:textId="77777777" w:rsidR="00AC66DA" w:rsidRDefault="00CC5C72">
      <w:pPr>
        <w:pStyle w:val="SummaryText"/>
      </w:pPr>
      <w:r>
        <w:rPr>
          <w:rFonts w:ascii="Aptos" w:hAnsi="Aptos"/>
          <w:b/>
          <w:sz w:val="24"/>
        </w:rPr>
        <w:t>Literary Echoes Research</w:t>
      </w:r>
      <w:r>
        <w:rPr>
          <w:rFonts w:ascii="Aptos" w:hAnsi="Aptos"/>
          <w:sz w:val="24"/>
        </w:rPr>
        <w:t>: Yes</w:t>
      </w:r>
    </w:p>
    <w:p w14:paraId="50CA5EA2" w14:textId="77777777" w:rsidR="00AC66DA" w:rsidRDefault="00CC5C72">
      <w:pPr>
        <w:pStyle w:val="SummaryText"/>
      </w:pPr>
      <w:r>
        <w:rPr>
          <w:rFonts w:ascii="Aptos" w:hAnsi="Aptos"/>
          <w:b/>
          <w:sz w:val="24"/>
        </w:rPr>
        <w:t>Master Editor Prompt Size</w:t>
      </w:r>
      <w:r>
        <w:rPr>
          <w:rFonts w:ascii="Aptos" w:hAnsi="Aptos"/>
          <w:sz w:val="24"/>
        </w:rPr>
        <w:t>: 147,692 characters</w:t>
      </w:r>
    </w:p>
    <w:p w14:paraId="7E9D3DFF" w14:textId="77777777" w:rsidR="00AC66DA" w:rsidRDefault="00CC5C72">
      <w:pPr>
        <w:pStyle w:val="Heading3"/>
      </w:pPr>
      <w:r>
        <w:t>Models Used</w:t>
      </w:r>
    </w:p>
    <w:p w14:paraId="716054F9" w14:textId="77777777" w:rsidR="00AC66DA" w:rsidRDefault="00CC5C72">
      <w:pPr>
        <w:pStyle w:val="SummaryText"/>
      </w:pPr>
      <w:r>
        <w:rPr>
          <w:rFonts w:ascii="Aptos" w:hAnsi="Aptos"/>
          <w:b/>
          <w:sz w:val="24"/>
        </w:rPr>
        <w:t>Structural Analysis (Macro)</w:t>
      </w:r>
      <w:r>
        <w:rPr>
          <w:rFonts w:ascii="Aptos" w:hAnsi="Aptos"/>
          <w:sz w:val="24"/>
        </w:rPr>
        <w:t>: claude-opus-4-6</w:t>
      </w:r>
    </w:p>
    <w:p w14:paraId="17A8BFAF" w14:textId="77777777" w:rsidR="00AC66DA" w:rsidRDefault="00CC5C72">
      <w:pPr>
        <w:pStyle w:val="SummaryText"/>
      </w:pPr>
      <w:r>
        <w:rPr>
          <w:rFonts w:ascii="Aptos" w:hAnsi="Aptos"/>
          <w:b/>
          <w:sz w:val="24"/>
        </w:rPr>
        <w:t>Verse Discovery (Micro)</w:t>
      </w:r>
      <w:r>
        <w:rPr>
          <w:rFonts w:ascii="Aptos" w:hAnsi="Aptos"/>
          <w:sz w:val="24"/>
        </w:rPr>
        <w:t>: claude-opus-4-6</w:t>
      </w:r>
    </w:p>
    <w:p w14:paraId="3FCE4D5A" w14:textId="77777777" w:rsidR="00AC66DA" w:rsidRDefault="00CC5C72">
      <w:pPr>
        <w:pStyle w:val="SummaryText"/>
      </w:pPr>
      <w:r>
        <w:rPr>
          <w:rFonts w:ascii="Aptos" w:hAnsi="Aptos"/>
          <w:b/>
          <w:sz w:val="24"/>
        </w:rPr>
        <w:t>Liturgical Librarian</w:t>
      </w:r>
      <w:r>
        <w:rPr>
          <w:rFonts w:ascii="Aptos" w:hAnsi="Aptos"/>
          <w:sz w:val="24"/>
        </w:rPr>
        <w:t>: gemini-2.5-pro</w:t>
      </w:r>
    </w:p>
    <w:p w14:paraId="687A590C" w14:textId="77777777" w:rsidR="00AC66DA" w:rsidRDefault="00CC5C72">
      <w:pPr>
        <w:pStyle w:val="SummaryText"/>
      </w:pPr>
      <w:r>
        <w:rPr>
          <w:rFonts w:ascii="Aptos" w:hAnsi="Aptos"/>
          <w:b/>
          <w:sz w:val="24"/>
        </w:rPr>
        <w:t>Figurative Curator</w:t>
      </w:r>
      <w:r>
        <w:rPr>
          <w:rFonts w:ascii="Aptos" w:hAnsi="Aptos"/>
          <w:sz w:val="24"/>
        </w:rPr>
        <w:t>: gemini-3-pro-preview</w:t>
      </w:r>
    </w:p>
    <w:p w14:paraId="38B71C05" w14:textId="77777777" w:rsidR="00AC66DA" w:rsidRDefault="00CC5C72">
      <w:pPr>
        <w:pStyle w:val="SummaryText"/>
      </w:pPr>
      <w:r>
        <w:rPr>
          <w:rFonts w:ascii="Aptos" w:hAnsi="Aptos"/>
          <w:b/>
          <w:sz w:val="24"/>
        </w:rPr>
        <w:t>Question Generation</w:t>
      </w:r>
      <w:r>
        <w:rPr>
          <w:rFonts w:ascii="Aptos" w:hAnsi="Aptos"/>
          <w:sz w:val="24"/>
        </w:rPr>
        <w:t>: claude-opus-4-6</w:t>
      </w:r>
    </w:p>
    <w:p w14:paraId="63BAAC8D" w14:textId="77777777" w:rsidR="00AC66DA" w:rsidRDefault="00CC5C72">
      <w:pPr>
        <w:pStyle w:val="SummaryText"/>
      </w:pPr>
      <w:r>
        <w:rPr>
          <w:rFonts w:ascii="Aptos" w:hAnsi="Aptos"/>
          <w:b/>
          <w:sz w:val="24"/>
        </w:rPr>
        <w:t>Insights Extraction</w:t>
      </w:r>
      <w:r>
        <w:rPr>
          <w:rFonts w:ascii="Aptos" w:hAnsi="Aptos"/>
          <w:sz w:val="24"/>
        </w:rPr>
        <w:t>: claude-opus-4-6</w:t>
      </w:r>
    </w:p>
    <w:p w14:paraId="0B7A9B08" w14:textId="77777777" w:rsidR="00AC66DA" w:rsidRDefault="00CC5C72">
      <w:pPr>
        <w:pStyle w:val="SummaryText"/>
      </w:pPr>
      <w:r>
        <w:rPr>
          <w:rFonts w:ascii="Aptos" w:hAnsi="Aptos"/>
          <w:b/>
          <w:sz w:val="24"/>
        </w:rPr>
        <w:t>Commentary (Master Writer)</w:t>
      </w:r>
      <w:r>
        <w:rPr>
          <w:rFonts w:ascii="Aptos" w:hAnsi="Aptos"/>
          <w:sz w:val="24"/>
        </w:rPr>
        <w:t>: gpt-5.1</w:t>
      </w:r>
    </w:p>
    <w:p w14:paraId="799A3468" w14:textId="77777777" w:rsidR="00AC66DA" w:rsidRDefault="00CC5C72">
      <w:pPr>
        <w:pStyle w:val="Heading3"/>
      </w:pPr>
      <w:r>
        <w:t>Date Produced</w:t>
      </w:r>
    </w:p>
    <w:p w14:paraId="2BD963F5" w14:textId="77777777" w:rsidR="00AC66DA" w:rsidRDefault="00CC5C72">
      <w:pPr>
        <w:pStyle w:val="SummaryText"/>
      </w:pPr>
      <w:r>
        <w:rPr>
          <w:rFonts w:ascii="Aptos" w:hAnsi="Aptos"/>
          <w:sz w:val="24"/>
        </w:rPr>
        <w:t>February 18, 2026</w:t>
      </w:r>
    </w:p>
    <w:sectPr w:rsidR="00AC66DA"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37843" w14:textId="77777777" w:rsidR="00CC5C72" w:rsidRDefault="00CC5C72">
      <w:pPr>
        <w:spacing w:after="0" w:line="240" w:lineRule="auto"/>
      </w:pPr>
      <w:r>
        <w:separator/>
      </w:r>
    </w:p>
  </w:endnote>
  <w:endnote w:type="continuationSeparator" w:id="0">
    <w:p w14:paraId="41D5F62B" w14:textId="77777777" w:rsidR="00CC5C72" w:rsidRDefault="00CC5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591EE" w14:textId="3A4451A5" w:rsidR="00AC66DA" w:rsidRDefault="00CC5C72">
    <w:pPr>
      <w:pStyle w:val="Footer"/>
      <w:jc w:val="right"/>
    </w:pPr>
    <w:r>
      <w:fldChar w:fldCharType="begin"/>
    </w:r>
    <w:r>
      <w:instrText>PAGE</w:instrText>
    </w:r>
    <w:r w:rsidR="002C771A">
      <w:fldChar w:fldCharType="separate"/>
    </w:r>
    <w:r w:rsidR="002C771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DB9A3" w14:textId="77777777" w:rsidR="00CC5C72" w:rsidRDefault="00CC5C72">
      <w:pPr>
        <w:spacing w:after="0" w:line="240" w:lineRule="auto"/>
      </w:pPr>
      <w:r>
        <w:separator/>
      </w:r>
    </w:p>
  </w:footnote>
  <w:footnote w:type="continuationSeparator" w:id="0">
    <w:p w14:paraId="4001A0B7" w14:textId="77777777" w:rsidR="00CC5C72" w:rsidRDefault="00CC5C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9350017">
    <w:abstractNumId w:val="8"/>
  </w:num>
  <w:num w:numId="2" w16cid:durableId="242296590">
    <w:abstractNumId w:val="6"/>
  </w:num>
  <w:num w:numId="3" w16cid:durableId="246425654">
    <w:abstractNumId w:val="5"/>
  </w:num>
  <w:num w:numId="4" w16cid:durableId="1474129996">
    <w:abstractNumId w:val="4"/>
  </w:num>
  <w:num w:numId="5" w16cid:durableId="958950784">
    <w:abstractNumId w:val="7"/>
  </w:num>
  <w:num w:numId="6" w16cid:durableId="1817717639">
    <w:abstractNumId w:val="3"/>
  </w:num>
  <w:num w:numId="7" w16cid:durableId="1749234248">
    <w:abstractNumId w:val="2"/>
  </w:num>
  <w:num w:numId="8" w16cid:durableId="779296697">
    <w:abstractNumId w:val="1"/>
  </w:num>
  <w:num w:numId="9" w16cid:durableId="1881933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771A"/>
    <w:rsid w:val="00326F90"/>
    <w:rsid w:val="00AA1D8D"/>
    <w:rsid w:val="00AC66DA"/>
    <w:rsid w:val="00B47730"/>
    <w:rsid w:val="00C92540"/>
    <w:rsid w:val="00CB0664"/>
    <w:rsid w:val="00CC5C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B8ABAB4-FD03-4582-8A8D-312ED8D24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8508</Words>
  <Characters>48499</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2026-02-19T02:00:00Z</dcterms:created>
  <dcterms:modified xsi:type="dcterms:W3CDTF">2026-02-19T02:00:00Z</dcterms:modified>
  <cp:category/>
</cp:coreProperties>
</file>