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100</w:t>
      </w:r>
    </w:p>
    <w:p>
      <w:pPr>
        <w:pStyle w:val="Heading2"/>
      </w:pPr>
      <w:r>
        <w:t>Psalm 100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מִזְמ֥וֹר לְתוֹדָ֑ה הָרִ֥יעוּ לַ֝ה׳ כׇּל־הָאָֽרֶץ׃</w:t>
            </w:r>
          </w:p>
        </w:tc>
        <w:tc>
          <w:tcPr>
            <w:tcW w:type="dxa" w:w="4680"/>
          </w:tcPr>
          <w:p>
            <w:r>
              <w:rPr>
                <w:rFonts w:ascii="Cambria" w:hAnsi="Cambria"/>
              </w:rPr>
              <w:t>A psalm for praise.</w:t>
              <w:br/>
              <w:t>Raise a shout for the LORD, all the earth;</w:t>
            </w:r>
          </w:p>
        </w:tc>
      </w:tr>
      <w:tr>
        <w:tc>
          <w:tcPr>
            <w:tcW w:type="dxa" w:w="4680"/>
          </w:tcPr>
          <w:p>
            <w:r>
              <w:rPr>
                <w:b/>
              </w:rPr>
              <w:t xml:space="preserve">2. </w:t>
            </w:r>
            <w:r>
              <w:rPr>
                <w:rtl/>
              </w:rPr>
              <w:t>עִבְד֣וּ אֶת־ה׳ בְּשִׂמְחָ֑ה בֹּ֥אוּ לְ֝פָנָ֗יו בִּרְנָנָֽה׃</w:t>
            </w:r>
          </w:p>
        </w:tc>
        <w:tc>
          <w:tcPr>
            <w:tcW w:type="dxa" w:w="4680"/>
          </w:tcPr>
          <w:p>
            <w:r>
              <w:rPr>
                <w:rFonts w:ascii="Cambria" w:hAnsi="Cambria"/>
              </w:rPr>
              <w:t>worship the LORD in gladness;</w:t>
              <w:br/>
              <w:t>come into His presence with shouts of joy.</w:t>
            </w:r>
          </w:p>
        </w:tc>
      </w:tr>
      <w:tr>
        <w:tc>
          <w:tcPr>
            <w:tcW w:type="dxa" w:w="4680"/>
          </w:tcPr>
          <w:p>
            <w:r>
              <w:rPr>
                <w:b/>
              </w:rPr>
              <w:t xml:space="preserve">3. </w:t>
            </w:r>
            <w:r>
              <w:rPr>
                <w:rtl/>
              </w:rPr>
              <w:t>דְּע֗וּ כִּֽי־ה׳֮ ה֤וּא אֱלֹ֫קִ֥ים הֽוּא־עָ֭שָׂנוּ (ולא) [וְל֣וֹ] אֲנַ֑חְנוּ עַ֝מּ֗וֹ וְצֹ֣אן מַרְעִיתֽוֹ׃</w:t>
            </w:r>
          </w:p>
        </w:tc>
        <w:tc>
          <w:tcPr>
            <w:tcW w:type="dxa" w:w="4680"/>
          </w:tcPr>
          <w:p>
            <w:r>
              <w:rPr>
                <w:rFonts w:ascii="Cambria" w:hAnsi="Cambria"/>
              </w:rPr>
              <w:t>Acknowledge that the LORD is God;</w:t>
              <w:br/>
              <w:t>He made us and we are His,</w:t>
              <w:br/>
              <w:t>His people, the flock He tends.</w:t>
            </w:r>
          </w:p>
        </w:tc>
      </w:tr>
      <w:tr>
        <w:tc>
          <w:tcPr>
            <w:tcW w:type="dxa" w:w="4680"/>
          </w:tcPr>
          <w:p>
            <w:r>
              <w:rPr>
                <w:b/>
              </w:rPr>
              <w:t xml:space="preserve">4. </w:t>
            </w:r>
            <w:r>
              <w:rPr>
                <w:rtl/>
              </w:rPr>
              <w:t>בֹּ֤אוּ שְׁעָרָ֨יו ׀ בְּתוֹדָ֗ה חֲצֵרֹתָ֥יו בִּתְהִלָּ֑ה הוֹדוּ־ל֝֗וֹ בָּרְכ֥וּ שְׁמֽוֹ׃</w:t>
            </w:r>
          </w:p>
        </w:tc>
        <w:tc>
          <w:tcPr>
            <w:tcW w:type="dxa" w:w="4680"/>
          </w:tcPr>
          <w:p>
            <w:r>
              <w:rPr>
                <w:rFonts w:ascii="Cambria" w:hAnsi="Cambria"/>
              </w:rPr>
              <w:t>Enter His gates with praise,</w:t>
              <w:br/>
              <w:t>His courts with acclamation.</w:t>
              <w:br/>
              <w:t>Praise Him!</w:t>
              <w:br/>
              <w:t>Bless His name!</w:t>
            </w:r>
          </w:p>
        </w:tc>
      </w:tr>
      <w:tr>
        <w:tc>
          <w:tcPr>
            <w:tcW w:type="dxa" w:w="4680"/>
          </w:tcPr>
          <w:p>
            <w:r>
              <w:rPr>
                <w:b/>
              </w:rPr>
              <w:t xml:space="preserve">5. </w:t>
            </w:r>
            <w:r>
              <w:rPr>
                <w:rtl/>
              </w:rPr>
              <w:t>כִּי־ט֣וֹב ה׳ לְעוֹלָ֣ם חַסְדּ֑וֹ וְעַד־דֹּ֥ר וָ֝דֹ֗ר אֱמוּנָתֽוֹ׃ {פ}</w:t>
            </w:r>
          </w:p>
        </w:tc>
        <w:tc>
          <w:tcPr>
            <w:tcW w:type="dxa" w:w="4680"/>
          </w:tcPr>
          <w:p>
            <w:r>
              <w:rPr>
                <w:rFonts w:ascii="Cambria" w:hAnsi="Cambria"/>
              </w:rPr>
              <w:t>For the LORD is good;</w:t>
              <w:br/>
              <w:t>His steadfast love is eternal;</w:t>
              <w:br/>
              <w:t>His faithfulness is for all generations.</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Psalm 100 issues seven imperatives — shout, serve, come, know, enter, give thanks, bless — and then falls completely silent in its final verse. Why does the psalm end not with a command but with a statement? What changes when human action stops and divine character speaks?</w:t>
      </w:r>
    </w:p>
    <w:p>
      <w:pPr>
        <w:pStyle w:val="BodySans"/>
      </w:pPr>
      <w:r>
        <w:rPr>
          <w:b/>
        </w:rPr>
        <w:t xml:space="preserve">2. </w:t>
      </w:r>
      <w:r>
        <w:t>The written text of verse 3 reads וְלֹא אֲנַחְנוּ ("and not we ourselves") while the marginal reading gives וְלוֹ אֲנַחְנוּ ("and we are his"). In ancient Hebrew pronunciation, these sound identical. What does each reading claim — and is the psalm richer for holding both?‏</w:t>
      </w:r>
    </w:p>
    <w:p>
      <w:pPr>
        <w:pStyle w:val="BodySans"/>
      </w:pPr>
      <w:r>
        <w:rPr>
          <w:b/>
        </w:rPr>
        <w:t xml:space="preserve">3. </w:t>
      </w:r>
      <w:r>
        <w:t>Psalms 15 and 24 guard the temple entrance with ethical requirements — "clean hands," "a pure heart," no lying or bribery. Psalm 100 demands nothing except thanksgiving. Is this absence of moral prerequisites a deliberate theological claim about the terms of access to God, or does this psalm serve a different liturgical function entirely?</w:t>
      </w:r>
    </w:p>
    <w:p>
      <w:pPr>
        <w:pStyle w:val="BodySans"/>
      </w:pPr>
      <w:r>
        <w:rPr>
          <w:b/>
        </w:rPr>
        <w:t xml:space="preserve">4. </w:t>
      </w:r>
      <w:r>
        <w:t xml:space="preserve">Verse 3 uses the creation verb עָשָׂנוּ ("he </w:t>
      </w:r>
      <w:r>
        <w:rPr>
          <w:i/>
        </w:rPr>
        <w:t>made</w:t>
      </w:r>
      <w:r>
        <w:t xml:space="preserve"> us") rather than the more expected language of election ("chose"), redemption ("redeemed"), or covenant ("cut a covenant"). What does it mean to ground a people's identity in the act of being </w:t>
      </w:r>
      <w:r>
        <w:rPr>
          <w:i/>
        </w:rPr>
        <w:t>made</w:t>
      </w:r>
      <w:r>
        <w:t xml:space="preserve"> rather than being </w:t>
      </w:r>
      <w:r>
        <w:rPr>
          <w:i/>
        </w:rPr>
        <w:t>chosen</w:t>
      </w:r>
      <w:r>
        <w:t>?</w:t>
      </w:r>
    </w:p>
    <w:p>
      <w:pPr>
        <w:pStyle w:val="BodySans"/>
      </w:pPr>
      <w:r>
        <w:rPr>
          <w:b/>
        </w:rPr>
        <w:t xml:space="preserve">5. </w:t>
      </w:r>
      <w:r>
        <w:t>The psalm summons כׇּל־הָאָרֶץ ("all the earth") in verse 1 but identifies the worshippers as עַמּוֹ וְצֹאן מַרְעִיתוֹ ("his people and the flock of his pasture") in verse 3. Is the psalm expanding covenant identity to include everyone, or is it addressing Israel in universal terms? Can you hold both readings simultaneously?‏</w:t>
      </w:r>
    </w:p>
    <w:p>
      <w:pPr>
        <w:pStyle w:val="BodySans"/>
      </w:pPr>
      <w:r>
        <w:rPr>
          <w:b/>
        </w:rPr>
        <w:t xml:space="preserve">6. </w:t>
      </w:r>
      <w:r>
        <w:t>The three divine attributes in verse 5 — goodness, steadfast love, faithfulness — compress the longer creedal formula of Exodus 34:6–7 but omit its darker elements: no mention of compassion (implying prior suffering), patience (implying provocation), or forgiveness (implying sin). What kind of theology do you get when you strip the divine character down to its purely positive residue?</w:t>
      </w:r>
    </w:p>
    <w:p/>
    <w:p>
      <w:pPr>
        <w:pStyle w:val="Heading2"/>
      </w:pPr>
      <w:r>
        <w:t>Introduction</w:t>
      </w:r>
    </w:p>
    <w:p>
      <w:pPr>
        <w:pStyle w:val="BodySans"/>
        <w:bidi w:val="0"/>
      </w:pPr>
      <w:r>
        <w:t xml:space="preserve">Every other entrance liturgy in the Psalter posts a guard at the door. Psalm 15 asks: מִי־יָגוּר בְּאׇהְלֶךָ — "Who may dwell in your tent?" ‭(15:1)‬ — then answers with a list of moral requirements: no slander, no usury, no bribery. Psalm 24 demands נְקִי כַפַּיִם וּבַר־לֵבָב — "clean hands and a pure heart" ‭(24:4)‬. These are entrance liturgies — psalms sung as worshippers approached the temple, and they function like a liturgical checkpoint: </w:t>
      </w:r>
      <w:r>
        <w:rPr>
          <w:i/>
        </w:rPr>
        <w:t>prove you belong here.</w:t>
      </w:r>
    </w:p>
    <w:p>
      <w:pPr>
        <w:pStyle w:val="BodySans"/>
        <w:bidi w:val="0"/>
      </w:pPr>
      <w:r>
        <w:t>Psalm 100 has no checkpoint. It issues seven imperatives across five verses — shout, serve, come, know, enter, give thanks, bless — and not one of them is a moral requirement. The only "password" for crossing the threshold is תּוֹדָה — "thanksgiving" (v. 4). The psalm flings open the gates to כׇּל־הָאָרֶץ — "all the earth" (v. 1) — and then tells everyone to come in rejoicing.‏</w:t>
      </w:r>
    </w:p>
    <w:p>
      <w:pPr>
        <w:pStyle w:val="BodySans"/>
        <w:bidi w:val="0"/>
      </w:pPr>
      <w:r>
        <w:t>The psalm moves in three beats. Verses 1–2 issue a universal summons: the whole earth is called to shout, serve, and approach God with gladness. Verse 3 stops the processional — the single cognitive command דְּעוּ ("know!") pivots from action to understanding, grounding the noise in theological identity. Verses 4–5 resume the march, now aimed at specific sacred space — gates, courts — and close not with another command but with a declarative statement about God's character. Seven imperatives, then silence. The psalm's final verse contains zero commands. Human action stops; divine character speaks.‏</w:t>
      </w:r>
    </w:p>
    <w:p>
      <w:pPr>
        <w:pStyle w:val="Heading4"/>
      </w:pPr>
      <w:r>
        <w:t>Seven Commands and a Silence</w:t>
      </w:r>
    </w:p>
    <w:p>
      <w:pPr>
        <w:pStyle w:val="BodySans"/>
        <w:bidi w:val="0"/>
      </w:pPr>
      <w:r>
        <w:t>Those seven imperatives are not a random list. They fall in a 3–1–3 pattern: three active commands — הָרִיעוּ / עִבְדוּ / בֹּאוּ ("shout / serve / come," vv. 1–2) — one cognitive command — דְּעוּ ("know," v. 3) — and three more active commands — בֹּאוּ / הוֹדוּ / בָּרְכוּ ("enter / give thanks / bless," v. 4). The architecture means that worship-in-motion must pass through a gate of understanding before it arrives at its destination. Joy without theology is noise. Theology without joy is a lecture. The psalm insists on both — and on their proper sequence. You cannot enter the courts until you have reckoned with the identity of the one who owns them.‏</w:t>
      </w:r>
    </w:p>
    <w:p>
      <w:pPr>
        <w:pStyle w:val="BodySans"/>
        <w:bidi w:val="0"/>
      </w:pPr>
      <w:r>
        <w:t>The comparison with Psalm 29 is instructive. That psalm also features a seven-fold repetition — seven occurrences of קוֹל ה׳ ("the voice of the LORD") crashing through its lines like thunder. There, seven marks cosmic power. Here, seven marks the completeness of the human response. Seven commands answer the seven thunderclaps.‏</w:t>
      </w:r>
    </w:p>
    <w:p>
      <w:pPr>
        <w:pStyle w:val="BodySans"/>
        <w:bidi w:val="0"/>
      </w:pPr>
      <w:r>
        <w:t xml:space="preserve">So what must you know before you may proceed? Verse 3 delivers four identity claims in rapid succession: (1) ה׳ הוּא אֱלֹקִים — "the LORD, he is God"; (2) הוּא עָשָׂנוּ — "he made us"; (3) וְלוֹ אֲנַחְנוּ — "we are his"; (4) עַמּוֹ וְצֹאן מַרְעִיתוֹ — "his people, the flock he tends." Notice the verb the psalm chooses. It does not say בָּחַר בָּנוּ ("he chose us"), the standard election language. It does not say גְּאָלָנוּ ("he redeemed us"), the exodus verb. It says עָשָׂנוּ — "he </w:t>
      </w:r>
      <w:r>
        <w:rPr>
          <w:i/>
        </w:rPr>
        <w:t>made</w:t>
      </w:r>
      <w:r>
        <w:t xml:space="preserve"> us" — the creation verb. This is a claim about ontology, not history. Belonging to God is as fundamental as existing at all.</w:t>
      </w:r>
    </w:p>
    <w:p>
      <w:pPr>
        <w:pStyle w:val="BodySans"/>
        <w:bidi w:val="0"/>
      </w:pPr>
      <w:r>
        <w:t>And notice the metaphor that caps the verse: צֹאן מַרְעִיתוֹ — "the flock of his pasture." Not "the vineyard of his planting," as in Isaiah 5:7: כֶרֶם ה׳ צְבָקוֹת בֵּית יִשְׂרָאֵל — "the vineyard of the LORD of Hosts is the house of Israel" — where the people are valued for what they produce and judged harshly when they yield wild grapes. Sheep are not valued for their output. They are valued because they belong to the shepherd. The metaphor insists that the basis for entering these courts is the shepherd's faithfulness, not the flock's productivity.‏</w:t>
      </w:r>
    </w:p>
    <w:p>
      <w:pPr>
        <w:pStyle w:val="Heading4"/>
      </w:pPr>
      <w:r>
        <w:t>The Open Gate</w:t>
      </w:r>
    </w:p>
    <w:p>
      <w:pPr>
        <w:pStyle w:val="BodySans"/>
        <w:bidi w:val="0"/>
      </w:pPr>
      <w:r>
        <w:t>This shepherd language is doing something deliberate within the larger Psalter. Psalm 95 opens what scholars call the YHWH-Malak collection — a sequence of psalms (93–99) celebrating God's kingship — and it uses a nearly identical formula: עַם מַרְעִיתוֹ וְצֹאן יָדוֹ — "the people of his pasture and the sheep of his hand" ‭(95:7)‬. But there, that tender formula is immediately followed by a warning: אַל־תַּקְשׁוּ לְבַבְכֶם — "do not harden your hearts" ‭(95:8)‬, recalling the failure at Meribah, where the people tested God in the desert and an entire generation was barred from entering his rest ‭(95:11)‬. The shepherd offered pasture — and the sheep refused to follow.‏</w:t>
      </w:r>
    </w:p>
    <w:p>
      <w:pPr>
        <w:pStyle w:val="BodySans"/>
        <w:bidi w:val="0"/>
      </w:pPr>
      <w:r>
        <w:t>Psalm 100 takes that same formula, redistributes its elements — now it is עַמּוֹ וְצֹאן מַרְעִיתוֹ — and follows it not with a warning but with pure, unconditional declaration of divine goodness. The collection that opens with a conditional shepherd ("if you hear his voice") closes with an unconditional one. No "if." No threat. Just כִּי־טוֹב ה׳ — "for the LORD is good." The arc from Psalm 95 to Psalm 100 bends from warning to welcome.‏</w:t>
      </w:r>
    </w:p>
    <w:p>
      <w:pPr>
        <w:pStyle w:val="BodySans"/>
        <w:bidi w:val="0"/>
      </w:pPr>
      <w:r>
        <w:t xml:space="preserve">Franz Kafka wrote a parable about a man who spends his entire life sitting before an open gate, never entering, because a doorkeeper tells him he cannot pass. At his death, the doorkeeper says: </w:t>
      </w:r>
      <w:r>
        <w:rPr>
          <w:i/>
        </w:rPr>
        <w:t>"Dieser Eingang war nur für dich bestimmt. Ich gehe jetzt und schließe ihn"</w:t>
      </w:r>
      <w:r>
        <w:t xml:space="preserve"> — "This entrance was meant for you alone. I am going now and closing it." Psalm 100 is the precise inversion of Kafka's nightmare. The gates are not for one person but for כׇּל־הָאָרֶץ ("all the earth"), and there is no doorkeeper — only the imperative בֹּאוּ ("Enter!"). Where Kafka describes the anxiety of the modern subject excluded from meaning, the psalmist describes an ancient confidence that the center is open and welcoming.‏</w:t>
      </w:r>
    </w:p>
    <w:p>
      <w:pPr>
        <w:pStyle w:val="BodySans"/>
        <w:bidi w:val="0"/>
      </w:pPr>
      <w:r>
        <w:t>There is one more structural move worth tracing: the psalm's grammar quietly enacts what its theology claims. As the processional advances, possessive suffixes — the small Hebrew endings meaning "his" — multiply. Verse 2 has one: לְפָנָיו ("before his face"). Verse 3 adds two more: עַמּוֹ ("his people"), מַרְעִיתוֹ ("his pasture"). Verse 4 explodes with four: שְׁעָרָיו ("his gates"), חֲצֵרֹתָיו ("his courts"), לוֹ ("to him"), שְׁמוֹ ("his name"). Verse 5 closes with two: חַסְדּוֹ ("his steadfast love"), אֱמוּנָתוֹ ("his faithfulness"). By the end, every noun belongs to God — face, people, pasture, gates, courts, name, love, faithfulness. The psalm has linguistically absorbed the worshippers and their entire world into God's possession.‏</w:t>
      </w:r>
    </w:p>
    <w:p>
      <w:pPr>
        <w:pStyle w:val="BodySans"/>
        <w:bidi w:val="0"/>
      </w:pPr>
      <w:r>
        <w:t>The final word is אֱמוּנָתוֹ ("his faithfulness"), not חַסְדּוֹ ("his love"). That choice matters. The last sound in the ear is not that God feels for you but that God can be counted on. In a psalm about access — who gets in, and on what terms — the ultimate ground is not moral achievement, not emotional intensity, not even divine affection, but reliability. The gates are open because the one behind them does not change his mind.‏</w:t>
      </w:r>
    </w:p>
    <w:p>
      <w:pPr>
        <w:pStyle w:val="Heading2"/>
      </w:pPr>
      <w:r>
        <w:t>Modern Jewish Liturgical Use</w:t>
      </w:r>
    </w:p>
    <w:p>
      <w:pPr>
        <w:pStyle w:val="Heading4"/>
      </w:pPr>
      <w:r>
        <w:t>Full Psalm</w:t>
      </w:r>
    </w:p>
    <w:p>
      <w:pPr>
        <w:pStyle w:val="BodySans"/>
        <w:bidi w:val="0"/>
      </w:pPr>
      <w:r>
        <w:t>Psalm 100, called מִזְמוֹר לְתוֹדָה (</w:t>
      </w:r>
      <w:r>
        <w:rPr>
          <w:i/>
        </w:rPr>
        <w:t>Mizmor L'Todah</w:t>
      </w:r>
      <w:r>
        <w:t>), occupies a prominent place in the weekday morning service. It is recited during פְּסוּקֵי דְזִמְרָא (</w:t>
      </w:r>
      <w:r>
        <w:rPr>
          <w:i/>
        </w:rPr>
        <w:t>Pesukei Dezimra</w:t>
      </w:r>
      <w:r>
        <w:t xml:space="preserve">, "Verses of Praise," the preparatory psalm section of the morning liturgy), where it functions as a liturgical substitute for the Temple's thanksgiving offering — a verbal sacrifice replacing an animal one. Precisely because of this connection, its recitation is governed by a striking set of omissions: it is not recited on Shabbat, festivals, the eve of Passover, or the eve of Yom Kippur, since those are occasions when the </w:t>
      </w:r>
      <w:r>
        <w:rPr>
          <w:i/>
        </w:rPr>
        <w:t>todah</w:t>
      </w:r>
      <w:r>
        <w:t xml:space="preserve"> sacrifice could not have been offered (Shabbat and festivals required their own communal offerings; the eve of Passover prohibited leavened bread, and the </w:t>
      </w:r>
      <w:r>
        <w:rPr>
          <w:i/>
        </w:rPr>
        <w:t>todah</w:t>
      </w:r>
      <w:r>
        <w:t xml:space="preserve"> required leavened loaves per Leviticus 7:13; Yom Kippur's fast precluded the communal meal the sacrifice demanded). The absences preserve the psalm's identity as a sacrificial text, even centuries after the Temple's destruction.</w:t>
      </w:r>
    </w:p>
    <w:p>
      <w:pPr>
        <w:pStyle w:val="BodySans"/>
        <w:bidi w:val="0"/>
      </w:pPr>
      <w:r>
        <w:t>The psalm's second major liturgical home is the Friday evening קַבָּלַת שַׁבָּת (</w:t>
      </w:r>
      <w:r>
        <w:rPr>
          <w:i/>
        </w:rPr>
        <w:t>Kabbalat Shabbat</w:t>
      </w:r>
      <w:r>
        <w:t xml:space="preserve">, "Welcoming the Sabbath") service. In both Ashkenazic and Sephardic traditions, Psalm 100 is recited as one of the introductory psalms (alongside Psalms 95–99 and 29) that precede the hymn </w:t>
      </w:r>
      <w:r>
        <w:rPr>
          <w:i/>
        </w:rPr>
        <w:t>Lekha Dodi</w:t>
      </w:r>
      <w:r>
        <w:t xml:space="preserve">. In this context, the ancient command to enter God's gates — בֹּאוּ שְׁעָרָיו בְּתוֹדָה ("Enter his gates with thanksgiving," v. 4) — is reinterpreted as an invitation to enter sacred </w:t>
      </w:r>
      <w:r>
        <w:rPr>
          <w:i/>
        </w:rPr>
        <w:t>time</w:t>
      </w:r>
      <w:r>
        <w:t>: the Sabbath itself becomes the court the worshipper enters with praise.</w:t>
      </w:r>
    </w:p>
    <w:p>
      <w:pPr>
        <w:pStyle w:val="Heading4"/>
      </w:pPr>
      <w:r>
        <w:t>Individual Verses in Prayer</w:t>
      </w:r>
    </w:p>
    <w:p>
      <w:pPr>
        <w:pStyle w:val="BodySans"/>
        <w:bidi w:val="0"/>
      </w:pPr>
      <w:r>
        <w:t>The psalm's reach extends well beyond its full recitations. Verse 5 appears in the penitential service of יוֹם כִּפּוּר קָטָן (</w:t>
      </w:r>
      <w:r>
        <w:rPr>
          <w:i/>
        </w:rPr>
        <w:t>Yom Kippur Katan</w:t>
      </w:r>
      <w:r>
        <w:t>, "the Minor Day of Atonement"), recited on the eve of each new month. There it is embedded in a sequence that moves from human frailty to divine constancy: כִּי הוּא יָדַע יִצְרֵנוּ זָכוּר כִּי עָפָר אֲנָחְנוּ. כִּי טוֹב ה׳ לְעוֹלָם חַסְדּוֹ וְעַד דֹּר וָדֹר אֱמוּנָתוֹ. כְּרַחֵם אָב עַל בָּנִים כֵּן תְּרַחֵם ה׳ עָלֵינוּ — "For he knows our inclination; he remembers that we are dust. For the LORD is good; his steadfast love is eternal; his faithfulness is for all generations. As a father has compassion on his children, so may the LORD have compassion on us." Here the psalm's jubilant declaration of divine goodness grounds a plea for mercy — the same theological statement doing very different emotional work.‏</w:t>
      </w:r>
    </w:p>
    <w:p>
      <w:pPr>
        <w:pStyle w:val="BodySans"/>
        <w:bidi w:val="0"/>
      </w:pPr>
      <w:r>
        <w:t>Perhaps the most striking deployment comes from the Edot HaMizrach (Sephardic/Mizrachi) funeral liturgy. In the צִדּוּק הַדִּין (</w:t>
      </w:r>
      <w:r>
        <w:rPr>
          <w:i/>
        </w:rPr>
        <w:t>Tzidduk HaDin</w:t>
      </w:r>
      <w:r>
        <w:t>, "Justification of the [Divine] Decree"), recited at burial, the mourner declares: וַאֲנַחְנוּ עַמּוֹ וַעֲבָדָיו וְעַל הַכֹּל אֲנַחְנוּ חַיָּבִים לְהוֹדוֹת לוֹ וּלְבָרְכוֹ — "And we are his people and his servants, and for everything we are obligated to thank and bless him." The phrase אֲנַחְנוּ עַמּוֹ — "we are his people" — drawn from verse 3 of a psalm of thanksgiving, is spoken at the moment of greatest sorrow. The liturgy insists that covenant identity holds even when the decree is incomprehensible.‏</w:t>
      </w:r>
    </w:p>
    <w:p>
      <w:pPr>
        <w:pStyle w:val="BodySans"/>
        <w:bidi w:val="0"/>
      </w:pPr>
      <w:r>
        <w:t xml:space="preserve">A midrashic tradition preserved by the Meiri clarifies why this psalm endures: all sacrifices will cease in the messianic age, all petitionary prayers will become unnecessary — but the </w:t>
      </w:r>
      <w:r>
        <w:rPr>
          <w:i/>
        </w:rPr>
        <w:t>todah</w:t>
      </w:r>
      <w:r>
        <w:t>, the offering of thanksgiving, will never be abolished (</w:t>
      </w:r>
      <w:r>
        <w:rPr>
          <w:i/>
        </w:rPr>
        <w:t>Vayikra Rabbah</w:t>
      </w:r>
      <w:r>
        <w:t xml:space="preserve"> 9:7). Petition presupposes lack; thanksgiving presupposes goodness. In a perfected world, only gratitude remains. Psalm 100 is, on this reading, the one psalm that survives the end of history.</w:t>
      </w:r>
    </w:p>
    <w:p>
      <w:pPr>
        <w:pStyle w:val="Heading2"/>
      </w:pPr>
      <w:r>
        <w:t>Verse-by-Verse Commentary</w:t>
      </w:r>
    </w:p>
    <w:p>
      <w:pPr>
        <w:pStyle w:val="Heading3"/>
      </w:pPr>
      <w:r>
        <w:t>Verse 1</w:t>
      </w:r>
    </w:p>
    <w:p>
      <w:pPr>
        <w:pStyle w:val="BodySans"/>
        <w:bidi w:val="0"/>
      </w:pPr>
      <w:r>
        <w:rPr>
          <w:b w:val="0"/>
          <w:i w:val="0"/>
        </w:rPr>
        <w:t>‭׃ץרֶאָהָ־לכׇּ הלַ וּעירִהָ הדָוֹתלְ רוֹמזְמִ‬</w:t>
      </w:r>
    </w:p>
    <w:p>
      <w:pPr>
        <w:pStyle w:val="BodySans"/>
        <w:bidi w:val="0"/>
      </w:pPr>
      <w:r>
        <w:rPr>
          <w:b w:val="0"/>
          <w:i w:val="0"/>
        </w:rPr>
        <w:t xml:space="preserve">The superscription מִזְמוֹר לְתוֹדָה ("A psalm for thanksgiving" — or "a psalm for the thank-offering") is unique in the Psalter: no other psalm carries this heading. The word תּוֹדָה carries an irreducible ambiguity. On one hand, it denotes the abstract attitude of gratitude; on the other, it names a specific Levitical sacrifice prescribed in Leviticus 7:12–15 — an animal offering accompanied by forty loaves of bread (thirty unleavened, ten leavened) that had to be consumed entirely before dawn. That time constraint is the detail that changes everything. Forty loaves for one household in a single night: the offering </w:t>
      </w:r>
      <w:r>
        <w:rPr>
          <w:b w:val="0"/>
          <w:i/>
        </w:rPr>
        <w:t>forced</w:t>
      </w:r>
      <w:r>
        <w:rPr>
          <w:b w:val="0"/>
          <w:i w:val="0"/>
        </w:rPr>
        <w:t xml:space="preserve"> the worshipper to invite the community. The todah was a mandatory party. Rashi reads the superscription as pointing precisely to this ritual setting: לְהוֹדָיָה, לְאָמְרוֹ עַל זִבְחֵי תּוֹדָה — "For thanksgiving, to recite it over thanksgiving offerings." If Rashi is right, this psalm is not abstract devotional poetry. It is the soundtrack to a feast thrown by someone who survived something.‏</w:t>
      </w:r>
    </w:p>
    <w:p>
      <w:pPr>
        <w:pStyle w:val="BodySans"/>
        <w:bidi w:val="0"/>
      </w:pPr>
      <w:r>
        <w:rPr>
          <w:b w:val="0"/>
          <w:i w:val="0"/>
        </w:rPr>
        <w:t>The verb הָרִיעוּ ("raise a shout!") is regularly domesticated in English translations as "make a joyful noise," but the Hebrew carries a distinctly martial and political edge. In Joshua 6:10, it is the war cry at Jericho's walls. In 1 Samuel 10:24, it is the coronation acclamation for a new king. In Zechariah 9:9 — הָרִיעִי בַּת יְרוּשָׁלִָם — "Shout, O daughter of Jerusalem!" — it greets the arrival of a sovereign. By choosing this specific verb, the psalmist frames worship not as emotional expression but as political declaration: a vocal ratification of YHWH's rule. The Malbim presses this further, comparing the shout to the acclamation when a king emerges from his palace to walk among his people: when God acts through a miracle, he becomes visible in a way that demands public recognition — כְּמֶלֶךְ הַיּוֹצֵא מֵהֵיכָלוֹ, "like a king going out from his palace."</w:t>
      </w:r>
    </w:p>
    <w:p>
      <w:pPr>
        <w:pStyle w:val="BodySans"/>
        <w:bidi w:val="0"/>
      </w:pPr>
      <w:r>
        <w:rPr>
          <w:b w:val="0"/>
          <w:i w:val="0"/>
        </w:rPr>
        <w:t>The addressee — כׇּל־הָאָרֶץ, "all the earth" — sits in emphatic final position in the Hebrew line, and its scope is deliberately startling in a temple hymn. The identical phrase opens Psalm 98:4 (הָרִיעוּ לַה׳ כׇּל־הָאָרֶץ, "Raise a shout to the LORD, all the earth") and Psalm 66:1, confirming a liturgical formula — but one with a theological problem the psalm will spend its remaining verses resolving. If all the earth is summoned, but verse 3 will identify the worshippers as "his people" and "the flock of his pasture," who exactly is being addressed? The psalm holds both — universal summons and particular identity — without collapsing one into the other.‏</w:t>
      </w:r>
    </w:p>
    <w:p>
      <w:pPr>
        <w:pStyle w:val="BodySans"/>
        <w:bidi w:val="0"/>
      </w:pPr>
      <w:r>
        <w:rPr>
          <w:b w:val="0"/>
          <w:i w:val="0"/>
        </w:rPr>
        <w:t xml:space="preserve">Walt Whitman understood the instinct behind this verse. His </w:t>
      </w:r>
      <w:r>
        <w:rPr>
          <w:b w:val="0"/>
          <w:i/>
        </w:rPr>
        <w:t>Song of Myself</w:t>
      </w:r>
      <w:r>
        <w:rPr>
          <w:b w:val="0"/>
          <w:i w:val="0"/>
        </w:rPr>
        <w:t xml:space="preserve"> closes with a declaration — "I sound my barbaric yawp over the roofs of the world" — that shares the psalmist's commitment to raw, projected sound over polite decorum. But Whitman's yawp is self-assertion ("I am large, I contain multitudes"); the psalmist's shout is directed — לַה׳, "to the LORD." The psalm channels the chaotic energy of a primal yawp into a coronation ceremony.</w:t>
      </w:r>
    </w:p>
    <w:p>
      <w:pPr>
        <w:pStyle w:val="Heading3"/>
      </w:pPr>
      <w:r>
        <w:t>Verse 2</w:t>
      </w:r>
    </w:p>
    <w:p>
      <w:pPr>
        <w:pStyle w:val="BodySans"/>
        <w:bidi w:val="0"/>
      </w:pPr>
      <w:r>
        <w:rPr>
          <w:b w:val="0"/>
          <w:i w:val="0"/>
        </w:rPr>
        <w:t>‭׃הנָנָרְבִּ וינָפָלְ וּאבֹּ החָמְשִׂבְּ ה־תאֶ וּדבְעִ‬</w:t>
      </w:r>
    </w:p>
    <w:p>
      <w:pPr>
        <w:pStyle w:val="BodySans"/>
        <w:bidi w:val="0"/>
      </w:pPr>
      <w:r>
        <w:rPr>
          <w:b w:val="0"/>
          <w:i w:val="0"/>
        </w:rPr>
        <w:t xml:space="preserve">The command עִבְדוּ ("serve!") belongs to the vocabulary of slavery and vassalage. Its Arabic cognate, </w:t>
      </w:r>
      <w:r>
        <w:rPr>
          <w:b w:val="0"/>
          <w:i/>
        </w:rPr>
        <w:t>ʿabada</w:t>
      </w:r>
      <w:r>
        <w:rPr>
          <w:b w:val="0"/>
          <w:i w:val="0"/>
        </w:rPr>
        <w:t xml:space="preserve">, means "to worship" but also "to be a slave of." In the ancient Near East, to "serve" a deity meant to perform the manual labor the gods did not wish to do themselves. The Babylonian creation epic </w:t>
      </w:r>
      <w:r>
        <w:rPr>
          <w:b w:val="0"/>
          <w:i/>
        </w:rPr>
        <w:t>Enuma Elish</w:t>
      </w:r>
      <w:r>
        <w:rPr>
          <w:b w:val="0"/>
          <w:i w:val="0"/>
        </w:rPr>
        <w:t xml:space="preserve"> makes this explicit: humans are fashioned from the blood of a slain deity to bear the </w:t>
      </w:r>
      <w:r>
        <w:rPr>
          <w:b w:val="0"/>
          <w:i/>
        </w:rPr>
        <w:t>dullu</w:t>
      </w:r>
      <w:r>
        <w:rPr>
          <w:b w:val="0"/>
          <w:i w:val="0"/>
        </w:rPr>
        <w:t xml:space="preserve"> — the drudgery, the grunt work — so the gods can rest. Service is toil.</w:t>
      </w:r>
    </w:p>
    <w:p>
      <w:pPr>
        <w:pStyle w:val="BodySans"/>
        <w:bidi w:val="0"/>
      </w:pPr>
      <w:r>
        <w:rPr>
          <w:b w:val="0"/>
          <w:i w:val="0"/>
        </w:rPr>
        <w:t>The psalmist attaches a modifier that upends all of this: בְּשִׂמְחָה — "with gladness." Servitude recast as delight. Ibn Ezra notices the paradox directly: מִנְהָג כָּל עוֹבֵד לִהְיוֹתוֹ נֶעֱצָב — "It is the custom of every servant to be sad." The Radak agrees: שֶׁלֹּא תִהְיֶה עֲבוֹדָתוֹ לְמַשָּׂא אֶלָּא בְּשִׂמְחָה — "so that his service should not be a burden, but [done] in gladness." Compare Psalm 2:11, which pairs the identical verb with a very different emotion: עִבְדוּ אֶת־ה׳ בְּיִרְאָה — "Serve the LORD with fear." That psalm addresses rebellious kings who need reminding that they are vassals. This psalm addresses the worshipping flock, for whom service and joy are not in tension.‏</w:t>
      </w:r>
    </w:p>
    <w:p>
      <w:pPr>
        <w:pStyle w:val="BodySans"/>
        <w:bidi w:val="0"/>
      </w:pPr>
      <w:r>
        <w:rPr>
          <w:b w:val="0"/>
          <w:i w:val="0"/>
        </w:rPr>
        <w:t>The Malbim offers an observation that deserves to be better known. When you come before a human king, he writes, you enter weeping — bearing petitions, anxieties, requests — and leave rejoicing, if your petition is granted. But when you come before God, the sequence reverses: בֹּאוּ לְפָנָיו בִּרְנָנָה — "come before his face with singing" — because God has already anticipated your needs. You arrive rejoicing. The joy is not the result of worship; it is its mode.‏</w:t>
      </w:r>
    </w:p>
    <w:p>
      <w:pPr>
        <w:pStyle w:val="BodySans"/>
        <w:bidi w:val="0"/>
      </w:pPr>
      <w:r>
        <w:rPr>
          <w:b w:val="0"/>
          <w:i w:val="0"/>
        </w:rPr>
        <w:t xml:space="preserve">The phrase בֹּאוּ לְפָנָיו ("come before his face") draws on the language of the royal court. In 2 Kings 5:16, Elisha describes his prophetic vocation as אֲשֶׁר־עָמַדְתִּי לְפָנָיו — "whom I serve" (literally, "before whom I stand") — the posture of a courtier in the throne room. By issuing this command to "all the earth" (v. 1), the psalm extends the high-status posture of the royal courtier to every human being. The professional priesthood and the Babylonian bystander are placed on the same footing. Listen to the verse's end-sounds, which bind the two cola together: the stressed final syllables </w:t>
      </w:r>
      <w:r>
        <w:rPr>
          <w:b w:val="0"/>
          <w:i/>
        </w:rPr>
        <w:t>sim-ḤĀH</w:t>
      </w:r>
      <w:r>
        <w:rPr>
          <w:b w:val="0"/>
          <w:i w:val="0"/>
        </w:rPr>
        <w:t xml:space="preserve"> and </w:t>
      </w:r>
      <w:r>
        <w:rPr>
          <w:b w:val="0"/>
          <w:i/>
        </w:rPr>
        <w:t>rə-nā-NĀH</w:t>
      </w:r>
      <w:r>
        <w:rPr>
          <w:b w:val="0"/>
          <w:i w:val="0"/>
        </w:rPr>
        <w:t xml:space="preserve"> rhyme, chaining "gladness" and "singing" into a single sonic gesture.</w:t>
      </w:r>
    </w:p>
    <w:p>
      <w:pPr>
        <w:pStyle w:val="Heading3"/>
      </w:pPr>
      <w:r>
        <w:t>Verse 3</w:t>
      </w:r>
    </w:p>
    <w:p>
      <w:pPr>
        <w:pStyle w:val="BodySans"/>
        <w:bidi w:val="0"/>
      </w:pPr>
      <w:r>
        <w:rPr>
          <w:b w:val="0"/>
          <w:i w:val="0"/>
        </w:rPr>
        <w:t>‭׃וֹתיעִרְמַ ןאצֹוְ וֹמּעַ וּנחְנַאֲ [וֹלוְ] אלֹוְ וּנשָׂעָ־אוּה םיקִלֹאֱ אוּה ה־יכִּ וּעדְּ‬</w:t>
      </w:r>
    </w:p>
    <w:p>
      <w:pPr>
        <w:pStyle w:val="BodySans"/>
        <w:bidi w:val="0"/>
      </w:pPr>
      <w:r>
        <w:rPr>
          <w:b w:val="0"/>
          <w:i w:val="0"/>
        </w:rPr>
        <w:t>This is the densest verse in the psalm and its theological center of gravity. The command דְּעוּ ("know!") shifts abruptly from bodily action to cognition — it is the only non-performative imperative in the psalm. The verb carries weight beyond mere information. In Deuteronomy 4:39, Moses commands: וְיָדַעְתָּ הַיּוֹם וַהֲשֵׁבֹתָ אֶל־לְבָבֶךָ כִּי ה׳ הוּא הָאֱלֹקִים — "Know today and take it to heart that the LORD, he is God." And in Deuteronomy 7:9: וְיָדַעְתָּ כִּי־ה׳ אֱלֹקֶיךָ הוּא הָאֱלֹקִים הָאֵל הַנֶּאֱמָן — "Know that the LORD your God, he is God, the faithful God." In both passages, "knowing" is not acquiring data; it is covenantal acknowledgment — recognizing a relationship that already exists and committing to it.‏</w:t>
      </w:r>
    </w:p>
    <w:p>
      <w:pPr>
        <w:pStyle w:val="BodySans"/>
        <w:bidi w:val="0"/>
      </w:pPr>
      <w:r>
        <w:rPr>
          <w:b w:val="0"/>
          <w:i w:val="0"/>
        </w:rPr>
        <w:t>The declaration ה׳ הוּא אֱלֹקִים ("the LORD, he is God") echoes one of the most dramatic moments in the Hebrew Bible: the scene on Mount Carmel where, after fire consumes Elijah's offering, the people cry out: ה׳ הוּא הָאֱלֹקִים ה׳ הוּא הָאֱלֹקִים — "The LORD, he is God! The LORD, he is God!" (1 Kings 18:39). A small but telling difference: in 1 Kings, the word אֱלֹקִים carries the definite article (הָאֱלֹקִים, "</w:t>
      </w:r>
      <w:r>
        <w:rPr>
          <w:b w:val="0"/>
          <w:i/>
        </w:rPr>
        <w:t>the</w:t>
      </w:r>
      <w:r>
        <w:rPr>
          <w:b w:val="0"/>
          <w:i w:val="0"/>
        </w:rPr>
        <w:t xml:space="preserve"> God"), making the claim exclusive — "YHWH is </w:t>
      </w:r>
      <w:r>
        <w:rPr>
          <w:b w:val="0"/>
          <w:i/>
        </w:rPr>
        <w:t>the</w:t>
      </w:r>
      <w:r>
        <w:rPr>
          <w:b w:val="0"/>
          <w:i w:val="0"/>
        </w:rPr>
        <w:t xml:space="preserve"> God, the only real one." In Psalm 100:3, the article is absent. This is standard syntax for a predicate noun (a noun describing the subject's nature), and it makes the claim slightly different — not only "YHWH is the God" but "YHWH is divine," a statement about his essential nature. The congregation is not settling a contest between rival deities, as on Carmel. It is declaring the fundamental character of the one they worship.</w:t>
      </w:r>
    </w:p>
    <w:p>
      <w:pPr>
        <w:pStyle w:val="BodySans"/>
        <w:bidi w:val="0"/>
      </w:pPr>
      <w:r>
        <w:rPr>
          <w:b w:val="0"/>
          <w:i w:val="0"/>
        </w:rPr>
        <w:t xml:space="preserve">The verse's most famous puzzle is a textual variant that the Masoretes (the medieval scribes who standardized the Hebrew text) deliberately preserved. The </w:t>
      </w:r>
      <w:r>
        <w:rPr>
          <w:b w:val="0"/>
          <w:i/>
        </w:rPr>
        <w:t>ketiv</w:t>
      </w:r>
      <w:r>
        <w:rPr>
          <w:b w:val="0"/>
          <w:i w:val="0"/>
        </w:rPr>
        <w:t xml:space="preserve"> — the written consonantal text — reads וְלֹא אֲנַחְנוּ, "and not we ourselves," while the </w:t>
      </w:r>
      <w:r>
        <w:rPr>
          <w:b w:val="0"/>
          <w:i/>
        </w:rPr>
        <w:t>qere</w:t>
      </w:r>
      <w:r>
        <w:rPr>
          <w:b w:val="0"/>
          <w:i w:val="0"/>
        </w:rPr>
        <w:t xml:space="preserve"> — the marginal notation indicating how the text should be read aloud — gives וְלוֹ אֲנַחְנוּ, "and we are his." (The terms </w:t>
      </w:r>
      <w:r>
        <w:rPr>
          <w:b w:val="0"/>
          <w:i/>
        </w:rPr>
        <w:t>ketiv</w:t>
      </w:r>
      <w:r>
        <w:rPr>
          <w:b w:val="0"/>
          <w:i w:val="0"/>
        </w:rPr>
        <w:t xml:space="preserve"> and </w:t>
      </w:r>
      <w:r>
        <w:rPr>
          <w:b w:val="0"/>
          <w:i/>
        </w:rPr>
        <w:t>qere</w:t>
      </w:r>
      <w:r>
        <w:rPr>
          <w:b w:val="0"/>
          <w:i w:val="0"/>
        </w:rPr>
        <w:t xml:space="preserve"> are Aramaic for "written" and "read," respectively — the Masoretes' way of noting where oral tradition diverged from the received consonantal text.) In ancient Hebrew, both readings would have been pronounced identically: </w:t>
      </w:r>
      <w:r>
        <w:rPr>
          <w:b w:val="0"/>
          <w:i/>
        </w:rPr>
        <w:t xml:space="preserve">/wəlo/. </w:t>
      </w:r>
      <w:r>
        <w:rPr>
          <w:b w:val="0"/>
          <w:i w:val="0"/>
        </w:rPr>
        <w:t xml:space="preserve">The Septuagint (the early Greek translation of the Hebrew Bible, abbreviated LXX) follows the </w:t>
      </w:r>
      <w:r>
        <w:rPr>
          <w:b w:val="0"/>
          <w:i/>
        </w:rPr>
        <w:t>ketiv</w:t>
      </w:r>
      <w:r>
        <w:rPr>
          <w:b w:val="0"/>
          <w:i w:val="0"/>
        </w:rPr>
        <w:t xml:space="preserve">, rendering it αὐτὸς ἐποίησεν ἡμᾶς καὶ οὐχ ἡμεῖς — "He made us and not we ourselves." This is not a scribal error to be resolved. Both readings are theologically necessary. The </w:t>
      </w:r>
      <w:r>
        <w:rPr>
          <w:b w:val="0"/>
          <w:i/>
        </w:rPr>
        <w:t>ketiv</w:t>
      </w:r>
      <w:r>
        <w:rPr>
          <w:b w:val="0"/>
          <w:i w:val="0"/>
        </w:rPr>
        <w:t xml:space="preserve"> denies human self-creation — a polemic against the kind of arrogance voiced by Pharaoh in Ezekiel 29:3: לִי יְאֹרִי וַאֲנִי עֲשִׂיתִנִי — "The Nile is mine; I made myself." The </w:t>
      </w:r>
      <w:r>
        <w:rPr>
          <w:b w:val="0"/>
          <w:i/>
        </w:rPr>
        <w:t>qere</w:t>
      </w:r>
      <w:r>
        <w:rPr>
          <w:b w:val="0"/>
          <w:i w:val="0"/>
        </w:rPr>
        <w:t xml:space="preserve"> affirms divine ownership. Together they say: you did not make yourself, and you belong to someone.</w:t>
      </w:r>
    </w:p>
    <w:p>
      <w:pPr>
        <w:pStyle w:val="BodySans"/>
        <w:bidi w:val="0"/>
      </w:pPr>
      <w:r>
        <w:rPr>
          <w:b w:val="0"/>
          <w:i w:val="0"/>
        </w:rPr>
        <w:t>William Ernest Henley captured the opposite conviction in his poem "Invictus" (1875): "I am the master of my fate, / I am the captain of my soul." The psalm's double reading attacks exactly this Stoic self-sufficiency. The psalmist's epistemology ("Know that...") insists that human dignity comes from dependency — being tended — not from autonomy. Sheep do not captain themselves.</w:t>
      </w:r>
    </w:p>
    <w:p>
      <w:pPr>
        <w:pStyle w:val="BodySans"/>
        <w:bidi w:val="0"/>
      </w:pPr>
      <w:r>
        <w:rPr>
          <w:b w:val="0"/>
          <w:i w:val="0"/>
        </w:rPr>
        <w:t>The phrase צֹאן מַרְעִיתוֹ ("the flock of his pasture") deliberately reworks Psalm 95:7: עַם מַרְעִיתוֹ וְצֹאן יָדוֹ — "the people of his pasture and the sheep of his hand." The redistribution is precise — "pasture" has migrated from "people" to "sheep," and "his hand" has disappeared. What replaces it in Psalm 100 is the far more intimate possessive suffix on עַמּוֹ ("his people") — a simple, direct claim of belonging, without mediation.‏</w:t>
      </w:r>
    </w:p>
    <w:p>
      <w:pPr>
        <w:pStyle w:val="Heading3"/>
      </w:pPr>
      <w:r>
        <w:t>Verse 4</w:t>
      </w:r>
    </w:p>
    <w:p>
      <w:pPr>
        <w:pStyle w:val="BodySans"/>
        <w:bidi w:val="0"/>
      </w:pPr>
      <w:r>
        <w:rPr>
          <w:b w:val="0"/>
          <w:i w:val="0"/>
        </w:rPr>
        <w:t>‭׃וֹמשְׁ וּכרְבָּ וֹל־וּדוֹה הלָּהִתְבִּ ויתָרֹצֵחֲ הדָוֹתבְּ וירָעָשְׁ וּאבֹּ‬</w:t>
      </w:r>
    </w:p>
    <w:p>
      <w:pPr>
        <w:pStyle w:val="BodySans"/>
        <w:bidi w:val="0"/>
      </w:pPr>
      <w:r>
        <w:rPr>
          <w:b w:val="0"/>
          <w:i w:val="0"/>
        </w:rPr>
        <w:t>The processional reaches its climax. The command בֹּאוּ ("come!") repeats from verse 2, but now the destination is specific: שְׁעָרָיו ("his gates"), חֲצֵרֹתָיו ("his courts") — the actual architecture of the Jerusalem temple. The movement from "come before his face" (v. 2) to "enter his gates" (v. 4) traces a spatial journey from the open country to the temple interior. Something has happened in between: the worshippers now know who they are (v. 3), and this knowledge is what carries them across the threshold.‏</w:t>
      </w:r>
    </w:p>
    <w:p>
      <w:pPr>
        <w:pStyle w:val="BodySans"/>
        <w:bidi w:val="0"/>
      </w:pPr>
      <w:r>
        <w:rPr>
          <w:b w:val="0"/>
          <w:i w:val="0"/>
        </w:rPr>
        <w:t xml:space="preserve">A syntactic detail reveals the urgency. The word שְׁעָרָיו ("his gates") appears without a preposition — it is an accusative of direction, the Hebrew equivalent of saying "enter </w:t>
      </w:r>
      <w:r>
        <w:rPr>
          <w:b w:val="0"/>
          <w:i/>
        </w:rPr>
        <w:t>the</w:t>
      </w:r>
      <w:r>
        <w:rPr>
          <w:b w:val="0"/>
          <w:i w:val="0"/>
        </w:rPr>
        <w:t xml:space="preserve"> gates" rather than "enter </w:t>
      </w:r>
      <w:r>
        <w:rPr>
          <w:b w:val="0"/>
          <w:i/>
        </w:rPr>
        <w:t>into</w:t>
      </w:r>
      <w:r>
        <w:rPr>
          <w:b w:val="0"/>
          <w:i w:val="0"/>
        </w:rPr>
        <w:t xml:space="preserve"> the gates." The effect is more forceful and direct than expected, as if the worshippers are not merely approaching the gates but plunging through them.</w:t>
      </w:r>
    </w:p>
    <w:p>
      <w:pPr>
        <w:pStyle w:val="BodySans"/>
        <w:bidi w:val="0"/>
      </w:pPr>
      <w:r>
        <w:rPr>
          <w:b w:val="0"/>
          <w:i w:val="0"/>
        </w:rPr>
        <w:t xml:space="preserve">The root ידה (meaning "to give thanks, to confess") saturates this verse in three distinct morphological forms: the noun תּוֹדָה (בְּתוֹדָה, "with thanksgiving"), the verb הוֹדוּ ("give thanks!"), and — reaching back to the superscription — the same noun again ‭(הדָוֹתלְ)‬. The psalm literally performs its own title: it is a </w:t>
      </w:r>
      <w:r>
        <w:rPr>
          <w:b w:val="0"/>
          <w:i/>
        </w:rPr>
        <w:t>todah</w:t>
      </w:r>
      <w:r>
        <w:rPr>
          <w:b w:val="0"/>
          <w:i w:val="0"/>
        </w:rPr>
        <w:t xml:space="preserve"> that commands </w:t>
      </w:r>
      <w:r>
        <w:rPr>
          <w:b w:val="0"/>
          <w:i/>
        </w:rPr>
        <w:t>todah</w:t>
      </w:r>
      <w:r>
        <w:rPr>
          <w:b w:val="0"/>
          <w:i w:val="0"/>
        </w:rPr>
        <w:t xml:space="preserve"> while the worshippers enter carrying </w:t>
      </w:r>
      <w:r>
        <w:rPr>
          <w:b w:val="0"/>
          <w:i/>
        </w:rPr>
        <w:t>todah</w:t>
      </w:r>
      <w:r>
        <w:rPr>
          <w:b w:val="0"/>
          <w:i w:val="0"/>
        </w:rPr>
        <w:t>. Meanwhile, the parallel word תְּהִלָּה ("praise") in the second colon is the singular form of תְּהִלִּים — the Hebrew name of the entire book of Psalms. The verse names its own genre and the genre of its collection simultaneously, a moment of quiet self-awareness.‏</w:t>
      </w:r>
    </w:p>
    <w:p>
      <w:pPr>
        <w:pStyle w:val="BodySans"/>
        <w:bidi w:val="0"/>
      </w:pPr>
      <w:r>
        <w:rPr>
          <w:b w:val="0"/>
          <w:i w:val="0"/>
        </w:rPr>
        <w:t xml:space="preserve">The final two imperatives — הוֹדוּ ("give thanks!") and בָּרְכוּ ("bless!") — are the shortest cola (units of a poetic line) in the psalm. They arrive clipped and urgent, like breathless commands shouted mid-procession. Their object is not God directly but שְׁמוֹ — "his name." In Deuteronomic theology, the temple is the place where God causes his </w:t>
      </w:r>
      <w:r>
        <w:rPr>
          <w:b w:val="0"/>
          <w:i/>
        </w:rPr>
        <w:t>name</w:t>
      </w:r>
      <w:r>
        <w:rPr>
          <w:b w:val="0"/>
          <w:i w:val="0"/>
        </w:rPr>
        <w:t xml:space="preserve"> to dwell (Deuteronomy 12:11), and the temple itself is "built for the name of the LORD" (1 Chronicles 22:19: לַבַּיִת הַנִּבְנֶה לְשֵׁם־ה׳). To bless God's name is to honor the particular way God has chosen to be present and accessible. Consider the counterpoint in Genesis 11:4, where the builders of Babel declare: וְנַעֲשֶׂה־לָּנוּ שֵׁם — "let us make a </w:t>
      </w:r>
      <w:r>
        <w:rPr>
          <w:b w:val="0"/>
          <w:i/>
        </w:rPr>
        <w:t>name</w:t>
      </w:r>
      <w:r>
        <w:rPr>
          <w:b w:val="0"/>
          <w:i w:val="0"/>
        </w:rPr>
        <w:t xml:space="preserve"> for ourselves." Babel erects a tower to broadcast a human name; Psalm 100 enters a temple to bless the divine one.</w:t>
      </w:r>
    </w:p>
    <w:p>
      <w:pPr>
        <w:pStyle w:val="BodySans"/>
        <w:bidi w:val="0"/>
      </w:pPr>
      <w:r>
        <w:rPr>
          <w:b w:val="0"/>
          <w:i w:val="0"/>
        </w:rPr>
        <w:t xml:space="preserve">The ancient Egyptian </w:t>
      </w:r>
      <w:r>
        <w:rPr>
          <w:b w:val="0"/>
          <w:i/>
        </w:rPr>
        <w:t>Pyramid Texts</w:t>
      </w:r>
      <w:r>
        <w:rPr>
          <w:b w:val="0"/>
          <w:i w:val="0"/>
        </w:rPr>
        <w:t xml:space="preserve"> (c. 2300 BCE) also describe gates opening for a worshipper approaching the divine presence: </w:t>
      </w:r>
      <w:r>
        <w:rPr>
          <w:b w:val="0"/>
          <w:i/>
        </w:rPr>
        <w:t>wn n.k ꜥꜣwy pt</w:t>
      </w:r>
      <w:r>
        <w:rPr>
          <w:b w:val="0"/>
          <w:i w:val="0"/>
        </w:rPr>
        <w:t xml:space="preserve"> — "The double doors of the sky are opened for you." But in Egypt, the passage requires the deceased king to recite spells, prove his divinity, or bypass supernatural guardians. The psalmist democratizes this royal entry: no spells, no divine status, no guardians — only gratitude.</w:t>
      </w:r>
    </w:p>
    <w:p>
      <w:pPr>
        <w:pStyle w:val="Heading3"/>
      </w:pPr>
      <w:r>
        <w:t>Verse 5</w:t>
      </w:r>
    </w:p>
    <w:p>
      <w:pPr>
        <w:pStyle w:val="BodySans"/>
        <w:bidi w:val="0"/>
      </w:pPr>
      <w:r>
        <w:rPr>
          <w:b w:val="0"/>
          <w:i w:val="0"/>
        </w:rPr>
        <w:t>‭׃וֹתנָוּמאֱ רדֹוָ רדֹּ־דעַוְ וֹדּסְחַ םלָוֹעלְ ה בוֹט־יכִּ‬</w:t>
      </w:r>
    </w:p>
    <w:p>
      <w:pPr>
        <w:pStyle w:val="BodySans"/>
        <w:bidi w:val="0"/>
      </w:pPr>
      <w:r>
        <w:rPr>
          <w:b w:val="0"/>
          <w:i w:val="0"/>
        </w:rPr>
        <w:t>After seven commands directed at human worshippers, the psalm ends with zero imperatives. The final verse is pure indicative — a statement about reality, not a demand for action. The worshippers have been told to shout, serve, come, know, enter, give thanks, bless. Now they fall silent, and the psalm speaks not about what they should do but about who God is.</w:t>
      </w:r>
    </w:p>
    <w:p>
      <w:pPr>
        <w:pStyle w:val="BodySans"/>
        <w:bidi w:val="0"/>
      </w:pPr>
      <w:r>
        <w:rPr>
          <w:b w:val="0"/>
          <w:i w:val="0"/>
        </w:rPr>
        <w:t xml:space="preserve">Three attributes are laid out in a tricolon (a poetic line with three units) that progressively lengthens. First, the simplest predicate: טוֹב — "good" — a bare adjective, a one-word assessment. Then the scope expands: לְעוֹלָם חַסְדּוֹ — "his steadfast love is eternal" — the term חֶסֶד (a word for loyal love that operates within a relationship of commitment; often rendered "lovingkindness" or "covenant loyalty") stretched across all of time. Finally, the longest colon: וְעַד־דֹּר וָדֹר אֱמוּנָתוֹ — "and his faithfulness is for all generations" — where eternity is given a human face, measured in the concrete units of parents and children. The effect is a crescendo: the lines physically lengthen on the page and in the mouth, as if the psalm is stretching to accommodate the endlessness of what it describes. Listen to the verse's closing sounds: the stressed syllables </w:t>
      </w:r>
      <w:r>
        <w:rPr>
          <w:b w:val="0"/>
          <w:i/>
        </w:rPr>
        <w:t>ḥas-DŌ</w:t>
      </w:r>
      <w:r>
        <w:rPr>
          <w:b w:val="0"/>
          <w:i w:val="0"/>
        </w:rPr>
        <w:t xml:space="preserve">, </w:t>
      </w:r>
      <w:r>
        <w:rPr>
          <w:b w:val="0"/>
          <w:i/>
        </w:rPr>
        <w:t>DŌR</w:t>
      </w:r>
      <w:r>
        <w:rPr>
          <w:b w:val="0"/>
          <w:i w:val="0"/>
        </w:rPr>
        <w:t xml:space="preserve">, </w:t>
      </w:r>
      <w:r>
        <w:rPr>
          <w:b w:val="0"/>
          <w:i/>
        </w:rPr>
        <w:t>DHŌR</w:t>
      </w:r>
      <w:r>
        <w:rPr>
          <w:b w:val="0"/>
          <w:i w:val="0"/>
        </w:rPr>
        <w:t xml:space="preserve">, </w:t>
      </w:r>
      <w:r>
        <w:rPr>
          <w:b w:val="0"/>
          <w:i/>
        </w:rPr>
        <w:t>THŌ</w:t>
      </w:r>
      <w:r>
        <w:rPr>
          <w:b w:val="0"/>
          <w:i w:val="0"/>
        </w:rPr>
        <w:t xml:space="preserve"> — deep, round, sustained vowel sounds that slow the psalm to a stately close.</w:t>
      </w:r>
    </w:p>
    <w:p>
      <w:pPr>
        <w:pStyle w:val="BodySans"/>
        <w:bidi w:val="0"/>
      </w:pPr>
      <w:r>
        <w:rPr>
          <w:b w:val="0"/>
          <w:i w:val="0"/>
        </w:rPr>
        <w:t xml:space="preserve">The formula כִּי טוֹב ה׳ כִּי לְעוֹלָם חַסְדּוֹ ("for the LORD is good, for his steadfast love is eternal") echoes across the Hebrew Bible as a liturgical refrain. It appears at the dedication of Solomon's temple (2 Chronicles 5:13), at the laying of the second temple's foundation (Ezra 3:11), and — most evocatively — in Jeremiah 33:11, where the prophet envisions the restored Jerusalem as a place where voices will again cry out: הוֹדוּ אֶת־ה׳ צְבָקוֹת כִּי־טוֹב ה׳ כִּי־לְעוֹלָם חַסְדּוֹ מְבִאִים תּוֹדָה בֵּית ה׳ — "Give thanks to the LORD of Hosts, for the LORD is good, for his steadfast love is eternal — [as they] bring </w:t>
      </w:r>
      <w:r>
        <w:rPr>
          <w:b w:val="0"/>
          <w:i/>
        </w:rPr>
        <w:t>todah</w:t>
      </w:r>
      <w:r>
        <w:rPr>
          <w:b w:val="0"/>
          <w:i w:val="0"/>
        </w:rPr>
        <w:t xml:space="preserve"> into the house of the LORD." Jeremiah binds the </w:t>
      </w:r>
      <w:r>
        <w:rPr>
          <w:b w:val="0"/>
          <w:i/>
        </w:rPr>
        <w:t>todah</w:t>
      </w:r>
      <w:r>
        <w:rPr>
          <w:b w:val="0"/>
          <w:i w:val="0"/>
        </w:rPr>
        <w:t xml:space="preserve"> offering and the </w:t>
      </w:r>
      <w:r>
        <w:rPr>
          <w:b w:val="0"/>
          <w:i/>
        </w:rPr>
        <w:t>ki tov</w:t>
      </w:r>
      <w:r>
        <w:rPr>
          <w:b w:val="0"/>
          <w:i w:val="0"/>
        </w:rPr>
        <w:t xml:space="preserve"> formula together in a single sentence — exactly as Psalm 100 does. The psalm may be quoting a known liturgical formula; or the formula may be quoting the psalm. Either way, these words were spoken at the most charged moments of Israelite communal life: when the house of God was built, when it was rebuilt, and when the prophet promised it would stand again.</w:t>
      </w:r>
    </w:p>
    <w:p>
      <w:pPr>
        <w:pStyle w:val="BodySans"/>
        <w:bidi w:val="0"/>
      </w:pPr>
      <w:r>
        <w:rPr>
          <w:b w:val="0"/>
          <w:i w:val="0"/>
        </w:rPr>
        <w:t>The three attributes — טוֹב (goodness), חֶסֶד (steadfast love), אֱמוּנָה (faithfulness) — compress a longer creedal formula found in Exodus 34:6–7, where God passes before Moses and declares his own character: ה׳ ה׳ קֵל רַחוּם וְחַנּוּן אֶרֶךְ אַפַּיִם וְרַב־חֶסֶד וֶאֱמֶת — "The LORD, the LORD, a God merciful and gracious, slow to anger, abounding in steadfast love and faithfulness." Psalm 100 selects from this formula and conspicuously omits its darker elements. There is no רַחוּם ("compassionate," which implies prior suffering), no אֶרֶךְ אַפַּיִם ("slow to anger," which implies provocation), no נֹשֵׂא עָוֹן ("forgiving iniquity," which implies sin). The psalm distills the divine character to its purely positive residue, as if viewed from the far side of forgiveness. Rashi understood the final word, אֱמוּנָה, as אֲמָנַת הַבְטָחָה — "the realization of a promise, that he makes true and assures his promise." The Radak concurs: הַהַבְטָחָה שֶׁהִבְטִיחָנוּ בְּטוֹבָה לְעָתִיד — "the promise he promised us of future good will be established forever."</w:t>
      </w:r>
    </w:p>
    <w:p>
      <w:pPr>
        <w:pStyle w:val="BodySans"/>
        <w:bidi w:val="0"/>
      </w:pPr>
      <w:r>
        <w:rPr>
          <w:b w:val="0"/>
          <w:i w:val="0"/>
        </w:rPr>
        <w:t>Shakespeare captured a similar conviction about the nature of enduring love in Sonnet 116: "Love is not love / Which alters when it alteration finds... / O no! it is an ever-fixed mark / That looks on tempests and is never shaken." Both the psalmist and Shakespeare define true fidelity by its immutability — it does not waver when circumstances change. The difference is where they locate this stability: Shakespeare places it in the human heart's capacity; the psalmist places it strictly in the divine nature.</w:t>
      </w:r>
    </w:p>
    <w:p>
      <w:pPr>
        <w:pStyle w:val="BodySans"/>
        <w:bidi w:val="0"/>
      </w:pPr>
      <w:r>
        <w:rPr>
          <w:b w:val="0"/>
          <w:i w:val="0"/>
        </w:rPr>
        <w:t xml:space="preserve">The pre-Islamic Arabic </w:t>
      </w:r>
      <w:r>
        <w:rPr>
          <w:b w:val="0"/>
          <w:i/>
        </w:rPr>
        <w:t>qaṣīda</w:t>
      </w:r>
      <w:r>
        <w:rPr>
          <w:b w:val="0"/>
          <w:i w:val="0"/>
        </w:rPr>
        <w:t xml:space="preserve"> (ode) offers a structural counterpoint. The classic Arabic poem begins with the </w:t>
      </w:r>
      <w:r>
        <w:rPr>
          <w:b w:val="0"/>
          <w:i/>
        </w:rPr>
        <w:t>nasīb</w:t>
      </w:r>
      <w:r>
        <w:rPr>
          <w:b w:val="0"/>
          <w:i w:val="0"/>
        </w:rPr>
        <w:t xml:space="preserve"> — the poet weeping over the </w:t>
      </w:r>
      <w:r>
        <w:rPr>
          <w:b w:val="0"/>
          <w:i/>
        </w:rPr>
        <w:t>aṭlāl</w:t>
      </w:r>
      <w:r>
        <w:rPr>
          <w:b w:val="0"/>
          <w:i w:val="0"/>
        </w:rPr>
        <w:t xml:space="preserve">, the erased traces of a campsite where the beloved once was. The foundational emotion is loss; wind has scattered the signs of love. Imru' al-Qais opens his </w:t>
      </w:r>
      <w:r>
        <w:rPr>
          <w:b w:val="0"/>
          <w:i/>
        </w:rPr>
        <w:t>Muʿallaqa</w:t>
      </w:r>
      <w:r>
        <w:rPr>
          <w:b w:val="0"/>
          <w:i w:val="0"/>
        </w:rPr>
        <w:t xml:space="preserve">: </w:t>
      </w:r>
      <w:r>
        <w:rPr>
          <w:b w:val="0"/>
          <w:i/>
        </w:rPr>
        <w:t>qifā nabki min dhikrā ḥabībin wa-manzili</w:t>
      </w:r>
      <w:r>
        <w:rPr>
          <w:b w:val="0"/>
          <w:i w:val="0"/>
        </w:rPr>
        <w:t xml:space="preserve"> — "Halt, let us weep from the memory of a lover and a lodging." Psalm 100 is an anti-ruin. Instead of weeping over a lost past, it asserts a present and future permanence: עַד־דֹּר וָדֹר אֱמוּנָתוֹ — "his faithfulness is for all generations." The Bedouin poet sings because the place is empty. The Hebrew poet sings because the house is full.‏</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5</w:t>
      </w:r>
    </w:p>
    <w:p>
      <w:pPr>
        <w:pStyle w:val="SummaryText"/>
      </w:pPr>
      <w:r>
        <w:rPr>
          <w:b/>
        </w:rPr>
        <w:t>LXX (Septuagint) Verses Reviewed</w:t>
      </w:r>
      <w:r>
        <w:t>: 5</w:t>
      </w:r>
    </w:p>
    <w:p>
      <w:pPr>
        <w:pStyle w:val="SummaryText"/>
      </w:pPr>
      <w:r>
        <w:rPr>
          <w:b/>
        </w:rPr>
        <w:t>Phonetic Transcriptions Generated</w:t>
      </w:r>
      <w:r>
        <w:t>: 5</w:t>
      </w:r>
    </w:p>
    <w:p>
      <w:pPr>
        <w:pStyle w:val="SummaryText"/>
      </w:pPr>
      <w:r>
        <w:rPr>
          <w:b/>
        </w:rPr>
        <w:t>Ugaritic Parallels Reviewed</w:t>
      </w:r>
      <w:r>
        <w:t>: 0</w:t>
      </w:r>
    </w:p>
    <w:p>
      <w:pPr>
        <w:pStyle w:val="SummaryText"/>
      </w:pPr>
      <w:r>
        <w:rPr>
          <w:b/>
        </w:rPr>
        <w:t>Lexicon Entries (BDB/Klein) Reviewed</w:t>
      </w:r>
      <w:r>
        <w:t>: 20</w:t>
      </w:r>
    </w:p>
    <w:p>
      <w:pPr>
        <w:pStyle w:val="SummaryText"/>
      </w:pPr>
      <w:r>
        <w:rPr>
          <w:b/>
        </w:rPr>
        <w:t>Traditional Commentaries Reviewed</w:t>
      </w:r>
      <w:r>
        <w:t>: N/A</w:t>
      </w:r>
    </w:p>
    <w:p>
      <w:pPr>
        <w:pStyle w:val="SummaryText"/>
      </w:pPr>
      <w:r>
        <w:rPr>
          <w:b/>
        </w:rPr>
        <w:t>Concordance Entries Reviewed</w:t>
      </w:r>
      <w:r>
        <w:t>: 12</w:t>
      </w:r>
    </w:p>
    <w:p>
      <w:pPr>
        <w:pStyle w:val="SummaryText"/>
      </w:pPr>
      <w:r>
        <w:rPr>
          <w:b/>
        </w:rPr>
        <w:t>Figurative Concordance Matches Reviewed</w:t>
      </w:r>
      <w:r>
        <w:t>: 341 (father (30); gate (50); king (50); make (50); servant (50); sheep (50); shield (30); trumpet (1); yoke (30))</w:t>
      </w:r>
    </w:p>
    <w:p>
      <w:pPr>
        <w:pStyle w:val="SummaryText"/>
      </w:pPr>
      <w:r>
        <w:rPr>
          <w:b/>
        </w:rPr>
        <w:t>Rabbi Jonathan Sacks References Reviewed</w:t>
      </w:r>
      <w:r>
        <w:t>: N/A</w:t>
      </w:r>
    </w:p>
    <w:p>
      <w:pPr>
        <w:pStyle w:val="SummaryText"/>
      </w:pPr>
      <w:r>
        <w:rPr>
          <w:b/>
        </w:rPr>
        <w:t>Similar Psalms Analyzed</w:t>
      </w:r>
      <w:r>
        <w:t>: 2 (Psalms 95, 103)</w:t>
      </w:r>
    </w:p>
    <w:p>
      <w:pPr>
        <w:pStyle w:val="SummaryText"/>
      </w:pPr>
      <w:r>
        <w:rPr>
          <w:b/>
        </w:rPr>
        <w:t>Deep Web Research</w:t>
      </w:r>
      <w:r>
        <w:t>: Yes</w:t>
      </w:r>
    </w:p>
    <w:p>
      <w:pPr>
        <w:pStyle w:val="SummaryText"/>
      </w:pPr>
      <w:r>
        <w:rPr>
          <w:b/>
        </w:rPr>
        <w:t>Literary Echoes Research</w:t>
      </w:r>
      <w:r>
        <w:t>: Yes</w:t>
      </w:r>
    </w:p>
    <w:p>
      <w:pPr>
        <w:pStyle w:val="SummaryText"/>
      </w:pPr>
      <w:r>
        <w:rPr>
          <w:b/>
        </w:rPr>
        <w:t>Sections Trimmed for Context</w:t>
      </w:r>
      <w:r>
        <w:t>: None</w:t>
      </w:r>
    </w:p>
    <w:p>
      <w:pPr>
        <w:pStyle w:val="SummaryText"/>
      </w:pPr>
      <w:r>
        <w:rPr>
          <w:b/>
        </w:rPr>
        <w:t>Master Editor Prompt Size</w:t>
      </w:r>
      <w:r>
        <w:t>: 144,096 characters</w:t>
      </w:r>
    </w:p>
    <w:p>
      <w:pPr>
        <w:pStyle w:val="Heading3"/>
      </w:pPr>
      <w:r>
        <w:t>Models Used</w:t>
      </w:r>
    </w:p>
    <w:p>
      <w:pPr>
        <w:pStyle w:val="SummaryText"/>
      </w:pPr>
      <w:r>
        <w:rPr>
          <w:b/>
        </w:rPr>
        <w:t>Structural Analysis (Macro)</w:t>
      </w:r>
      <w:r>
        <w:t>: claude-opus-4-6</w:t>
      </w:r>
    </w:p>
    <w:p>
      <w:pPr>
        <w:pStyle w:val="SummaryText"/>
      </w:pPr>
      <w:r>
        <w:rPr>
          <w:b/>
        </w:rPr>
        <w:t>Verse Discovery (Micro)</w:t>
      </w:r>
      <w:r>
        <w:t>: claude-opus-4-6</w:t>
      </w:r>
    </w:p>
    <w:p>
      <w:pPr>
        <w:pStyle w:val="SummaryText"/>
      </w:pPr>
      <w:r>
        <w:rPr>
          <w:b/>
        </w:rPr>
        <w:t>Liturgical Librarian</w:t>
      </w:r>
      <w:r>
        <w:t>: gemini-2.5-pro</w:t>
      </w:r>
    </w:p>
    <w:p>
      <w:pPr>
        <w:pStyle w:val="SummaryText"/>
      </w:pPr>
      <w:r>
        <w:rPr>
          <w:b/>
        </w:rPr>
        <w:t>Figurative Curator</w:t>
      </w:r>
      <w:r>
        <w:t>: gemini-3-pro-preview</w:t>
      </w:r>
    </w:p>
    <w:p>
      <w:pPr>
        <w:pStyle w:val="SummaryText"/>
      </w:pPr>
      <w:r>
        <w:rPr>
          <w:b/>
        </w:rPr>
        <w:t>Question Generation</w:t>
      </w:r>
      <w:r>
        <w:t>: claude-opus-4-6</w:t>
      </w:r>
    </w:p>
    <w:p>
      <w:pPr>
        <w:pStyle w:val="SummaryText"/>
      </w:pPr>
      <w:r>
        <w:rPr>
          <w:b/>
        </w:rPr>
        <w:t>Insights Extraction</w:t>
      </w:r>
      <w:r>
        <w:t>: claude-opus-4-6</w:t>
      </w:r>
    </w:p>
    <w:p>
      <w:pPr>
        <w:pStyle w:val="SummaryText"/>
      </w:pPr>
      <w:r>
        <w:rPr>
          <w:b/>
        </w:rPr>
        <w:t>Commentary (Master Writer)</w:t>
      </w:r>
      <w:r>
        <w:t>: claude-opus-4-6</w:t>
      </w:r>
    </w:p>
    <w:p>
      <w:pPr>
        <w:pStyle w:val="Heading3"/>
      </w:pPr>
      <w:r>
        <w:t>Date Produced</w:t>
      </w:r>
    </w:p>
    <w:p>
      <w:pPr>
        <w:pStyle w:val="SummaryText"/>
      </w:pPr>
      <w:r>
        <w:t>February 19,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