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0" w:after="0"/>
      </w:pPr>
      <w:r>
        <w:rPr/>
        <w:t xml:space="preserve">Primary Care</w:t>
      </w:r>
    </w:p>
    <w:p>
      <w:pPr>
        <w:spacing w:before="0" w:after="0"/>
      </w:pPr>
      <w:r>
        <w:rPr>
          <w:sz w:val="24"/>
          <w:szCs w:val="24"/>
        </w:rPr>
        <w:t xml:space="preserve"/>
      </w:r>
    </w:p>
    <w:p>
      <w:pPr>
        <w:pStyle w:val="Heading2"/>
        <w:spacing w:before="0" w:after="0"/>
      </w:pPr>
      <w:r>
        <w:rPr/>
        <w:t xml:space="preserve">USE CASE 1: Comprehensive Preventive Care Optimization and Gap Closure</w:t>
      </w:r>
    </w:p>
    <w:p>
      <w:pPr>
        <w:spacing w:before="0" w:after="0"/>
      </w:pPr>
      <w:r>
        <w:rPr>
          <w:sz w:val="24"/>
          <w:szCs w:val="24"/>
        </w:rPr>
        <w:t xml:space="preserve"/>
      </w:r>
    </w:p>
    <w:p>
      <w:pPr>
        <w:pStyle w:val="Heading3"/>
        <w:spacing w:before="0" w:after="0"/>
      </w:pPr>
      <w:r>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52-year-old patient presents for annual physical. They are due for multiple preventive services (colorectal cancer screening, mammogram, lipid screening, immunizations) but physician is uncertain which are covered, when last done, and how to coordinate scheduling across multiple facilities while addressing cost barriers.</w:t>
      </w:r>
    </w:p>
    <w:p>
      <w:pPr>
        <w:spacing w:before="0" w:after="0"/>
      </w:pPr>
      <w:r>
        <w:rPr>
          <w:sz w:val="24"/>
          <w:szCs w:val="24"/>
        </w:rPr>
        <w:t xml:space="preserve"/>
      </w:r>
    </w:p>
    <w:p>
      <w:pPr>
        <w:pStyle w:val="Heading3"/>
        <w:spacing w:before="0" w:after="0"/>
      </w:pPr>
      <w:r>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Only 59% of eligible patients are up-to-date with colorectal cancer screening, leaving significant preventive care gaps</w:t>
      </w:r>
      <w:r>
        <w:rPr>
          <w:rFonts w:ascii="Arial" w:cs="Arial" w:eastAsia="Arial" w:hAnsi="Arial"/>
          <w:sz w:val="24"/>
          <w:szCs w:val="24"/>
          <w:vertAlign w:val="superscript"/>
        </w:rPr>
        <w:t xml:space="preserve">[1]</w:t>
      </w:r>
    </w:p>
    <w:p>
      <w:pPr>
        <w:pStyle w:val="ListParagraph"/>
        <w:numPr>
          <w:ilvl w:val="0"/>
          <w:numId w:val="1"/>
        </w:numPr>
        <w:spacing w:before="0" w:after="0"/>
      </w:pPr>
      <w:r>
        <w:rPr>
          <w:rFonts w:ascii="Arial" w:cs="Arial" w:eastAsia="Arial" w:hAnsi="Arial"/>
          <w:sz w:val="24"/>
          <w:szCs w:val="24"/>
        </w:rPr>
        <w:t xml:space="preserve">Physicians must manually review previous visit notes and outside records to determine what preventive services are due</w:t>
      </w:r>
      <w:r>
        <w:rPr>
          <w:rFonts w:ascii="Arial" w:cs="Arial" w:eastAsia="Arial" w:hAnsi="Arial"/>
          <w:sz w:val="24"/>
          <w:szCs w:val="24"/>
          <w:vertAlign w:val="superscript"/>
        </w:rPr>
        <w:t xml:space="preserve">[2]</w:t>
      </w:r>
    </w:p>
    <w:p>
      <w:pPr>
        <w:pStyle w:val="ListParagraph"/>
        <w:numPr>
          <w:ilvl w:val="0"/>
          <w:numId w:val="1"/>
        </w:numPr>
        <w:spacing w:before="0" w:after="0"/>
      </w:pPr>
      <w:r>
        <w:rPr>
          <w:rFonts w:ascii="Arial" w:cs="Arial" w:eastAsia="Arial" w:hAnsi="Arial"/>
          <w:sz w:val="24"/>
          <w:szCs w:val="24"/>
        </w:rPr>
        <w:t xml:space="preserve">Preventive care guidelines change frequently (USPSTF, CDC), making it difficult to stay current</w:t>
      </w:r>
    </w:p>
    <w:p>
      <w:pPr>
        <w:pStyle w:val="ListParagraph"/>
        <w:numPr>
          <w:ilvl w:val="0"/>
          <w:numId w:val="1"/>
        </w:numPr>
        <w:spacing w:before="0" w:after="0"/>
      </w:pPr>
      <w:r>
        <w:rPr>
          <w:rFonts w:ascii="Arial" w:cs="Arial" w:eastAsia="Arial" w:hAnsi="Arial"/>
          <w:sz w:val="24"/>
          <w:szCs w:val="24"/>
        </w:rPr>
        <w:t xml:space="preserve">Insurance coverage for preventive services varies and isn't transparent at point of care</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Patients often overdue for multiple preventive services simultaneously</w:t>
      </w:r>
    </w:p>
    <w:p>
      <w:pPr>
        <w:pStyle w:val="ListParagraph"/>
        <w:numPr>
          <w:ilvl w:val="0"/>
          <w:numId w:val="1"/>
        </w:numPr>
        <w:spacing w:before="0" w:after="0"/>
      </w:pPr>
      <w:r>
        <w:rPr>
          <w:rFonts w:ascii="Arial" w:cs="Arial" w:eastAsia="Arial" w:hAnsi="Arial"/>
          <w:sz w:val="24"/>
          <w:szCs w:val="24"/>
        </w:rPr>
        <w:t xml:space="preserve">Scheduling across multiple facilities (mammography, endoscopy, lab) is time-consuming</w:t>
      </w:r>
    </w:p>
    <w:p>
      <w:pPr>
        <w:pStyle w:val="ListParagraph"/>
        <w:numPr>
          <w:ilvl w:val="0"/>
          <w:numId w:val="1"/>
        </w:numPr>
        <w:spacing w:before="0" w:after="0"/>
      </w:pPr>
      <w:r>
        <w:rPr>
          <w:rFonts w:ascii="Arial" w:cs="Arial" w:eastAsia="Arial" w:hAnsi="Arial"/>
          <w:sz w:val="24"/>
          <w:szCs w:val="24"/>
        </w:rPr>
        <w:t xml:space="preserve">Cost barriers prevent patients from completing recommended screening</w:t>
      </w:r>
    </w:p>
    <w:p>
      <w:pPr>
        <w:pStyle w:val="ListParagraph"/>
        <w:numPr>
          <w:ilvl w:val="0"/>
          <w:numId w:val="1"/>
        </w:numPr>
        <w:spacing w:before="0" w:after="0"/>
      </w:pPr>
      <w:r>
        <w:rPr>
          <w:rFonts w:ascii="Arial" w:cs="Arial" w:eastAsia="Arial" w:hAnsi="Arial"/>
          <w:sz w:val="24"/>
          <w:szCs w:val="24"/>
        </w:rPr>
        <w:t xml:space="preserve">Lack of coordination leads to patients 'falling through the cracks' for follow-up</w:t>
      </w:r>
    </w:p>
    <w:p>
      <w:pPr>
        <w:spacing w:before="0" w:after="0"/>
      </w:pPr>
      <w:r>
        <w:rPr>
          <w:sz w:val="24"/>
          <w:szCs w:val="24"/>
        </w:rPr>
        <w:t xml:space="preserve"/>
      </w:r>
    </w:p>
    <w:p>
      <w:pPr>
        <w:pStyle w:val="Heading3"/>
        <w:spacing w:before="0" w:after="0"/>
      </w:pPr>
      <w:r>
        <w:rPr/>
        <w:t xml:space="preserve">Cordance Solution</w:t>
      </w:r>
    </w:p>
    <w:p>
      <w:pPr>
        <w:spacing w:before="0" w:after="0"/>
      </w:pPr>
      <w:r>
        <w:rPr>
          <w:sz w:val="24"/>
          <w:szCs w:val="24"/>
        </w:rPr>
        <w:t xml:space="preserve"/>
      </w:r>
    </w:p>
    <w:p>
      <w:pPr>
        <w:pStyle w:val="Heading4"/>
        <w:spacing w:before="0" w:after="0"/>
      </w:pPr>
      <w:r>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Automated preventive care gap analysis across multiple domains: cancer screening (colonoscopy, mammogram, cervical cancer, lung CT if high-risk); cardiovascular prevention (lipid screening, BP check, aspirin if appropriate); immunizations (flu, pneumococcal, shingles, COVID-19, Tdap); screening labs (diabetes screening if risk factors, CKD screening if diabetic); behavioral health (depression screening PHQ-9, alcohol use AUDIT-C); bone health (DEXA if post-menopausal woman with risk factors); abdominal aortic aneurysm (men 65-75 with smoking history)</w:t>
      </w:r>
    </w:p>
    <w:p>
      <w:pPr>
        <w:pStyle w:val="ListParagraph"/>
        <w:numPr>
          <w:ilvl w:val="0"/>
          <w:numId w:val="1"/>
        </w:numPr>
        <w:spacing w:before="0" w:after="0"/>
      </w:pPr>
      <w:r>
        <w:rPr>
          <w:rFonts w:ascii="Arial" w:cs="Arial" w:eastAsia="Arial" w:hAnsi="Arial"/>
          <w:sz w:val="24"/>
          <w:szCs w:val="24"/>
        </w:rPr>
        <w:t xml:space="preserve">Prioritizes gaps based on highest mortality/morbidity impact, most overdue services, and opportunities to complete multiple services efficiently</w:t>
      </w:r>
    </w:p>
    <w:p>
      <w:pPr>
        <w:pStyle w:val="ListParagraph"/>
        <w:numPr>
          <w:ilvl w:val="0"/>
          <w:numId w:val="1"/>
        </w:numPr>
        <w:spacing w:before="0" w:after="0"/>
      </w:pPr>
      <w:r>
        <w:rPr>
          <w:rFonts w:ascii="Arial" w:cs="Arial" w:eastAsia="Arial" w:hAnsi="Arial"/>
          <w:sz w:val="24"/>
          <w:szCs w:val="24"/>
        </w:rPr>
        <w:t xml:space="preserve">Identifies patient's insurance coverage and estimated out-of-pocket costs</w:t>
      </w:r>
    </w:p>
    <w:p>
      <w:pPr>
        <w:spacing w:before="0" w:after="0"/>
      </w:pPr>
      <w:r>
        <w:rPr>
          <w:sz w:val="24"/>
          <w:szCs w:val="24"/>
        </w:rPr>
        <w:t xml:space="preserve"/>
      </w:r>
    </w:p>
    <w:p>
      <w:pPr>
        <w:pStyle w:val="Heading4"/>
        <w:spacing w:before="0" w:after="0"/>
      </w:pPr>
      <w:r>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visual 'prevention dashboard' with traffic light system: Green (up to date); Yellow (due soon within 6 months); Red (overdue)</w:t>
      </w:r>
    </w:p>
    <w:p>
      <w:pPr>
        <w:pStyle w:val="ListParagraph"/>
        <w:numPr>
          <w:ilvl w:val="0"/>
          <w:numId w:val="1"/>
        </w:numPr>
        <w:spacing w:before="0" w:after="0"/>
      </w:pPr>
      <w:r>
        <w:rPr>
          <w:rFonts w:ascii="Arial" w:cs="Arial" w:eastAsia="Arial" w:hAnsi="Arial"/>
          <w:sz w:val="24"/>
          <w:szCs w:val="24"/>
        </w:rPr>
        <w:t xml:space="preserve">Provides one-click ordering for all due preventive services</w:t>
      </w:r>
    </w:p>
    <w:p>
      <w:pPr>
        <w:pStyle w:val="ListParagraph"/>
        <w:numPr>
          <w:ilvl w:val="0"/>
          <w:numId w:val="1"/>
        </w:numPr>
        <w:spacing w:before="0" w:after="0"/>
      </w:pPr>
      <w:r>
        <w:rPr>
          <w:rFonts w:ascii="Arial" w:cs="Arial" w:eastAsia="Arial" w:hAnsi="Arial"/>
          <w:sz w:val="24"/>
          <w:szCs w:val="24"/>
        </w:rPr>
        <w:t xml:space="preserve">For each service, shows: frequency recommendation (evidence grade); last completion date; patient's insurance coverage (preventive benefit vs cost-sharing); estimated out-of-pocket cost; nearby facilities accepting patient's insurance; next available appointments</w:t>
      </w:r>
    </w:p>
    <w:p>
      <w:pPr>
        <w:pStyle w:val="ListParagraph"/>
        <w:numPr>
          <w:ilvl w:val="0"/>
          <w:numId w:val="1"/>
        </w:numPr>
        <w:spacing w:before="0" w:after="0"/>
      </w:pPr>
      <w:r>
        <w:rPr>
          <w:rFonts w:ascii="Arial" w:cs="Arial" w:eastAsia="Arial" w:hAnsi="Arial"/>
          <w:sz w:val="24"/>
          <w:szCs w:val="24"/>
        </w:rPr>
        <w:t xml:space="preserve">Flags shared decision-making discussions needed (e.g., lung cancer screening, prostate cancer screening)</w:t>
      </w:r>
    </w:p>
    <w:p>
      <w:pPr>
        <w:pStyle w:val="ListParagraph"/>
        <w:numPr>
          <w:ilvl w:val="0"/>
          <w:numId w:val="1"/>
        </w:numPr>
        <w:spacing w:before="0" w:after="0"/>
      </w:pPr>
      <w:r>
        <w:rPr>
          <w:rFonts w:ascii="Arial" w:cs="Arial" w:eastAsia="Arial" w:hAnsi="Arial"/>
          <w:sz w:val="24"/>
          <w:szCs w:val="24"/>
        </w:rPr>
        <w:t xml:space="preserve">Generates patient-friendly explanation of benefits and importance of each service</w:t>
      </w:r>
    </w:p>
    <w:p>
      <w:pPr>
        <w:spacing w:before="0" w:after="0"/>
      </w:pPr>
      <w:r>
        <w:rPr>
          <w:sz w:val="24"/>
          <w:szCs w:val="24"/>
        </w:rPr>
        <w:t xml:space="preserve"/>
      </w:r>
    </w:p>
    <w:p>
      <w:pPr>
        <w:pStyle w:val="Heading4"/>
        <w:spacing w:before="0" w:after="0"/>
      </w:pPr>
      <w:r>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Automatically schedules appointments at patient-preferred facilities</w:t>
      </w:r>
    </w:p>
    <w:p>
      <w:pPr>
        <w:pStyle w:val="ListParagraph"/>
        <w:numPr>
          <w:ilvl w:val="0"/>
          <w:numId w:val="1"/>
        </w:numPr>
        <w:spacing w:before="0" w:after="0"/>
      </w:pPr>
      <w:r>
        <w:rPr>
          <w:rFonts w:ascii="Arial" w:cs="Arial" w:eastAsia="Arial" w:hAnsi="Arial"/>
          <w:sz w:val="24"/>
          <w:szCs w:val="24"/>
        </w:rPr>
        <w:t xml:space="preserve">Submits all necessary orders to facilities</w:t>
      </w:r>
    </w:p>
    <w:p>
      <w:pPr>
        <w:pStyle w:val="ListParagraph"/>
        <w:numPr>
          <w:ilvl w:val="0"/>
          <w:numId w:val="1"/>
        </w:numPr>
        <w:spacing w:before="0" w:after="0"/>
      </w:pPr>
      <w:r>
        <w:rPr>
          <w:rFonts w:ascii="Arial" w:cs="Arial" w:eastAsia="Arial" w:hAnsi="Arial"/>
          <w:sz w:val="24"/>
          <w:szCs w:val="24"/>
        </w:rPr>
        <w:t xml:space="preserve">Sends patient reminders (text/email/portal) before each appointment</w:t>
      </w:r>
    </w:p>
    <w:p>
      <w:pPr>
        <w:pStyle w:val="ListParagraph"/>
        <w:numPr>
          <w:ilvl w:val="0"/>
          <w:numId w:val="1"/>
        </w:numPr>
        <w:spacing w:before="0" w:after="0"/>
      </w:pPr>
      <w:r>
        <w:rPr>
          <w:rFonts w:ascii="Arial" w:cs="Arial" w:eastAsia="Arial" w:hAnsi="Arial"/>
          <w:sz w:val="24"/>
          <w:szCs w:val="24"/>
        </w:rPr>
        <w:t xml:space="preserve">Provides preparation instructions (colonoscopy bowel prep, fasting for lipids)</w:t>
      </w:r>
    </w:p>
    <w:p>
      <w:pPr>
        <w:pStyle w:val="ListParagraph"/>
        <w:numPr>
          <w:ilvl w:val="0"/>
          <w:numId w:val="1"/>
        </w:numPr>
        <w:spacing w:before="0" w:after="0"/>
      </w:pPr>
      <w:r>
        <w:rPr>
          <w:rFonts w:ascii="Arial" w:cs="Arial" w:eastAsia="Arial" w:hAnsi="Arial"/>
          <w:sz w:val="24"/>
          <w:szCs w:val="24"/>
        </w:rPr>
        <w:t xml:space="preserve">Triggers follow-up tracking system for results: normal results (patient notification, update prevention registry); abnormal results (alert PCP, schedule follow-up appointment)</w:t>
      </w:r>
    </w:p>
    <w:p>
      <w:pPr>
        <w:spacing w:before="0" w:after="0"/>
      </w:pPr>
      <w:r>
        <w:rPr>
          <w:sz w:val="24"/>
          <w:szCs w:val="24"/>
        </w:rPr>
        <w:t xml:space="preserve"/>
      </w:r>
    </w:p>
    <w:p>
      <w:pPr>
        <w:pStyle w:val="Heading3"/>
        <w:spacing w:before="0" w:after="0"/>
      </w:pPr>
      <w:r>
        <w:rPr/>
        <w:t xml:space="preserve">Impact on Three Pillars</w:t>
      </w:r>
    </w:p>
    <w:p>
      <w:pPr>
        <w:spacing w:before="0" w:after="0"/>
      </w:pPr>
      <w:r>
        <w:rPr>
          <w:sz w:val="24"/>
          <w:szCs w:val="24"/>
        </w:rPr>
        <w:t xml:space="preserve"/>
      </w:r>
    </w:p>
    <w:p>
      <w:pPr>
        <w:pStyle w:val="Heading4"/>
        <w:spacing w:before="0" w:after="0"/>
      </w:pPr>
      <w:r>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Early cancer detection dramatically reduces treatment costs (Stage I vs Stage IV colorectal cancer: $50K vs $200K+)</w:t>
      </w:r>
      <w:r>
        <w:rPr>
          <w:rFonts w:ascii="Arial" w:cs="Arial" w:eastAsia="Arial" w:hAnsi="Arial"/>
          <w:sz w:val="24"/>
          <w:szCs w:val="24"/>
          <w:vertAlign w:val="superscript"/>
        </w:rPr>
        <w:t xml:space="preserve">[3]</w:t>
      </w:r>
    </w:p>
    <w:p>
      <w:pPr>
        <w:pStyle w:val="ListParagraph"/>
        <w:numPr>
          <w:ilvl w:val="0"/>
          <w:numId w:val="1"/>
        </w:numPr>
        <w:spacing w:before="0" w:after="0"/>
      </w:pPr>
      <w:r>
        <w:rPr>
          <w:rFonts w:ascii="Arial" w:cs="Arial" w:eastAsia="Arial" w:hAnsi="Arial"/>
          <w:sz w:val="24"/>
          <w:szCs w:val="24"/>
        </w:rPr>
        <w:t xml:space="preserve">Captures maximum quality bonuses for preventive care measures (HEDIS, MIPS stars)</w:t>
      </w:r>
    </w:p>
    <w:p>
      <w:pPr>
        <w:pStyle w:val="ListParagraph"/>
        <w:numPr>
          <w:ilvl w:val="0"/>
          <w:numId w:val="1"/>
        </w:numPr>
        <w:spacing w:before="0" w:after="0"/>
      </w:pPr>
      <w:r>
        <w:rPr>
          <w:rFonts w:ascii="Arial" w:cs="Arial" w:eastAsia="Arial" w:hAnsi="Arial"/>
          <w:sz w:val="24"/>
          <w:szCs w:val="24"/>
        </w:rPr>
        <w:t xml:space="preserve">Reduces downstream costs from preventable disease (diabetes prevention, CV risk reduction)</w:t>
      </w:r>
    </w:p>
    <w:p>
      <w:pPr>
        <w:pStyle w:val="ListParagraph"/>
        <w:numPr>
          <w:ilvl w:val="0"/>
          <w:numId w:val="1"/>
        </w:numPr>
        <w:spacing w:before="0" w:after="0"/>
      </w:pPr>
      <w:r>
        <w:rPr>
          <w:rFonts w:ascii="Arial" w:cs="Arial" w:eastAsia="Arial" w:hAnsi="Arial"/>
          <w:sz w:val="24"/>
          <w:szCs w:val="24"/>
        </w:rPr>
        <w:t xml:space="preserve">Optimizes facility selection balancing quality and cost</w:t>
      </w:r>
    </w:p>
    <w:p>
      <w:pPr>
        <w:pStyle w:val="ListParagraph"/>
        <w:numPr>
          <w:ilvl w:val="0"/>
          <w:numId w:val="1"/>
        </w:numPr>
        <w:spacing w:before="0" w:after="0"/>
      </w:pPr>
      <w:r>
        <w:rPr>
          <w:rFonts w:ascii="Arial" w:cs="Arial" w:eastAsia="Arial" w:hAnsi="Arial"/>
          <w:sz w:val="24"/>
          <w:szCs w:val="24"/>
        </w:rPr>
        <w:t xml:space="preserve">Estimated financial impact: $150K-$200K annually per PCP through quality bonuses and downstream cost reduction</w:t>
      </w:r>
    </w:p>
    <w:p>
      <w:pPr>
        <w:spacing w:before="0" w:after="0"/>
      </w:pPr>
      <w:r>
        <w:rPr>
          <w:sz w:val="24"/>
          <w:szCs w:val="24"/>
        </w:rPr>
        <w:t xml:space="preserve"/>
      </w:r>
    </w:p>
    <w:p>
      <w:pPr>
        <w:pStyle w:val="Heading4"/>
        <w:spacing w:before="0" w:after="0"/>
      </w:pPr>
      <w:r>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Cancer screening reduces mortality by 33% when patients complete evidence-based screening (colorectal cancer with FIT testing)</w:t>
      </w:r>
      <w:r>
        <w:rPr>
          <w:rFonts w:ascii="Arial" w:cs="Arial" w:eastAsia="Arial" w:hAnsi="Arial"/>
          <w:sz w:val="24"/>
          <w:szCs w:val="24"/>
          <w:vertAlign w:val="superscript"/>
        </w:rPr>
        <w:t xml:space="preserve">[4]</w:t>
      </w:r>
    </w:p>
    <w:p>
      <w:pPr>
        <w:pStyle w:val="ListParagraph"/>
        <w:numPr>
          <w:ilvl w:val="0"/>
          <w:numId w:val="1"/>
        </w:numPr>
        <w:spacing w:before="0" w:after="0"/>
      </w:pPr>
      <w:r>
        <w:rPr>
          <w:rFonts w:ascii="Arial" w:cs="Arial" w:eastAsia="Arial" w:hAnsi="Arial"/>
          <w:sz w:val="24"/>
          <w:szCs w:val="24"/>
        </w:rPr>
        <w:t xml:space="preserve">Systematic depression screening identifies mental health needs in 8-12% of adult patients</w:t>
      </w:r>
      <w:r>
        <w:rPr>
          <w:rFonts w:ascii="Arial" w:cs="Arial" w:eastAsia="Arial" w:hAnsi="Arial"/>
          <w:sz w:val="24"/>
          <w:szCs w:val="24"/>
          <w:vertAlign w:val="superscript"/>
        </w:rPr>
        <w:t xml:space="preserve">[5]</w:t>
      </w:r>
    </w:p>
    <w:p>
      <w:pPr>
        <w:pStyle w:val="ListParagraph"/>
        <w:numPr>
          <w:ilvl w:val="0"/>
          <w:numId w:val="1"/>
        </w:numPr>
        <w:spacing w:before="0" w:after="0"/>
      </w:pPr>
      <w:r>
        <w:rPr>
          <w:rFonts w:ascii="Arial" w:cs="Arial" w:eastAsia="Arial" w:hAnsi="Arial"/>
          <w:sz w:val="24"/>
          <w:szCs w:val="24"/>
        </w:rPr>
        <w:t xml:space="preserve">Ensures evidence-based prevention aligned with current USPSTF guidelines</w:t>
      </w:r>
    </w:p>
    <w:p>
      <w:pPr>
        <w:pStyle w:val="ListParagraph"/>
        <w:numPr>
          <w:ilvl w:val="0"/>
          <w:numId w:val="1"/>
        </w:numPr>
        <w:spacing w:before="0" w:after="0"/>
      </w:pPr>
      <w:r>
        <w:rPr>
          <w:rFonts w:ascii="Arial" w:cs="Arial" w:eastAsia="Arial" w:hAnsi="Arial"/>
          <w:sz w:val="24"/>
          <w:szCs w:val="24"/>
        </w:rPr>
        <w:t xml:space="preserve">Improves immunization rates preventing infectious disease complications</w:t>
      </w:r>
    </w:p>
    <w:p>
      <w:pPr>
        <w:pStyle w:val="ListParagraph"/>
        <w:numPr>
          <w:ilvl w:val="0"/>
          <w:numId w:val="1"/>
        </w:numPr>
        <w:spacing w:before="0" w:after="0"/>
      </w:pPr>
      <w:r>
        <w:rPr>
          <w:rFonts w:ascii="Arial" w:cs="Arial" w:eastAsia="Arial" w:hAnsi="Arial"/>
          <w:sz w:val="24"/>
          <w:szCs w:val="24"/>
        </w:rPr>
        <w:t xml:space="preserve">Reduces disparities by proactively identifying gaps for all patients</w:t>
      </w:r>
    </w:p>
    <w:p>
      <w:pPr>
        <w:spacing w:before="0" w:after="0"/>
      </w:pPr>
      <w:r>
        <w:rPr>
          <w:sz w:val="24"/>
          <w:szCs w:val="24"/>
        </w:rPr>
        <w:t xml:space="preserve"/>
      </w:r>
    </w:p>
    <w:p>
      <w:pPr>
        <w:pStyle w:val="Heading4"/>
        <w:spacing w:before="0" w:after="0"/>
      </w:pPr>
      <w:r>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prevention for entire patient panel, not just those who seek care frequently</w:t>
      </w:r>
    </w:p>
    <w:p>
      <w:pPr>
        <w:pStyle w:val="ListParagraph"/>
        <w:numPr>
          <w:ilvl w:val="0"/>
          <w:numId w:val="1"/>
        </w:numPr>
        <w:spacing w:before="0" w:after="0"/>
      </w:pPr>
      <w:r>
        <w:rPr>
          <w:rFonts w:ascii="Arial" w:cs="Arial" w:eastAsia="Arial" w:hAnsi="Arial"/>
          <w:sz w:val="24"/>
          <w:szCs w:val="24"/>
        </w:rPr>
        <w:t xml:space="preserve">Reduces population-level cancer mortality through early detection</w:t>
      </w:r>
    </w:p>
    <w:p>
      <w:pPr>
        <w:pStyle w:val="ListParagraph"/>
        <w:numPr>
          <w:ilvl w:val="0"/>
          <w:numId w:val="1"/>
        </w:numPr>
        <w:spacing w:before="0" w:after="0"/>
      </w:pPr>
      <w:r>
        <w:rPr>
          <w:rFonts w:ascii="Arial" w:cs="Arial" w:eastAsia="Arial" w:hAnsi="Arial"/>
          <w:sz w:val="24"/>
          <w:szCs w:val="24"/>
        </w:rPr>
        <w:t xml:space="preserve">Prevents progression to chronic disease (diabetes, CV disease) through risk factor management</w:t>
      </w:r>
    </w:p>
    <w:p>
      <w:pPr>
        <w:pStyle w:val="ListParagraph"/>
        <w:numPr>
          <w:ilvl w:val="0"/>
          <w:numId w:val="1"/>
        </w:numPr>
        <w:spacing w:before="0" w:after="0"/>
      </w:pPr>
      <w:r>
        <w:rPr>
          <w:rFonts w:ascii="Arial" w:cs="Arial" w:eastAsia="Arial" w:hAnsi="Arial"/>
          <w:sz w:val="24"/>
          <w:szCs w:val="24"/>
        </w:rPr>
        <w:t xml:space="preserve">Addresses social determinants by identifying and overcoming cost barriers</w:t>
      </w:r>
    </w:p>
    <w:p>
      <w:pPr>
        <w:pStyle w:val="ListParagraph"/>
        <w:numPr>
          <w:ilvl w:val="0"/>
          <w:numId w:val="1"/>
        </w:numPr>
        <w:spacing w:before="0" w:after="0"/>
      </w:pPr>
      <w:r>
        <w:rPr>
          <w:rFonts w:ascii="Arial" w:cs="Arial" w:eastAsia="Arial" w:hAnsi="Arial"/>
          <w:sz w:val="24"/>
          <w:szCs w:val="24"/>
        </w:rPr>
        <w:t xml:space="preserve">Estimated impact: 25-35% improvement in overall preventive service completion rates</w:t>
      </w:r>
    </w:p>
    <w:p>
      <w:pPr>
        <w:spacing w:before="0" w:after="0"/>
      </w:pPr>
      <w:r>
        <w:rPr>
          <w:sz w:val="24"/>
          <w:szCs w:val="24"/>
        </w:rPr>
        <w:t xml:space="preserve"/>
      </w:r>
    </w:p>
    <w:p>
      <w:pPr>
        <w:pStyle w:val="Heading3"/>
        <w:spacing w:before="0" w:after="0"/>
      </w:pPr>
      <w:r>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time-consuming manual review of what's due</w:t>
      </w:r>
    </w:p>
    <w:p>
      <w:pPr>
        <w:pStyle w:val="ListParagraph"/>
        <w:numPr>
          <w:ilvl w:val="0"/>
          <w:numId w:val="1"/>
        </w:numPr>
        <w:spacing w:before="0" w:after="0"/>
      </w:pPr>
      <w:r>
        <w:rPr>
          <w:rFonts w:ascii="Arial" w:cs="Arial" w:eastAsia="Arial" w:hAnsi="Arial"/>
          <w:sz w:val="24"/>
          <w:szCs w:val="24"/>
        </w:rPr>
        <w:t xml:space="preserve">'One-click' ordering of comprehensive prevention panel</w:t>
      </w:r>
    </w:p>
    <w:p>
      <w:pPr>
        <w:pStyle w:val="ListParagraph"/>
        <w:numPr>
          <w:ilvl w:val="0"/>
          <w:numId w:val="1"/>
        </w:numPr>
        <w:spacing w:before="0" w:after="0"/>
      </w:pPr>
      <w:r>
        <w:rPr>
          <w:rFonts w:ascii="Arial" w:cs="Arial" w:eastAsia="Arial" w:hAnsi="Arial"/>
          <w:sz w:val="24"/>
          <w:szCs w:val="24"/>
        </w:rPr>
        <w:t xml:space="preserve">Automated scheduling across multiple facilities saves significant time</w:t>
      </w:r>
    </w:p>
    <w:p>
      <w:pPr>
        <w:pStyle w:val="ListParagraph"/>
        <w:numPr>
          <w:ilvl w:val="0"/>
          <w:numId w:val="1"/>
        </w:numPr>
        <w:spacing w:before="0" w:after="0"/>
      </w:pPr>
      <w:r>
        <w:rPr>
          <w:rFonts w:ascii="Arial" w:cs="Arial" w:eastAsia="Arial" w:hAnsi="Arial"/>
          <w:sz w:val="24"/>
          <w:szCs w:val="24"/>
        </w:rPr>
        <w:t xml:space="preserve">Real-time cost information enables productive patient conversations</w:t>
      </w:r>
    </w:p>
    <w:p>
      <w:pPr>
        <w:pStyle w:val="ListParagraph"/>
        <w:numPr>
          <w:ilvl w:val="0"/>
          <w:numId w:val="1"/>
        </w:numPr>
        <w:spacing w:before="0" w:after="0"/>
      </w:pPr>
      <w:r>
        <w:rPr>
          <w:rFonts w:ascii="Arial" w:cs="Arial" w:eastAsia="Arial" w:hAnsi="Arial"/>
          <w:sz w:val="24"/>
          <w:szCs w:val="24"/>
        </w:rPr>
        <w:t xml:space="preserve">Automatic result tracking prevents patients from 'falling through cracks'</w:t>
      </w:r>
    </w:p>
    <w:p>
      <w:pPr>
        <w:pStyle w:val="ListParagraph"/>
        <w:numPr>
          <w:ilvl w:val="0"/>
          <w:numId w:val="1"/>
        </w:numPr>
        <w:spacing w:before="0" w:after="0"/>
      </w:pPr>
      <w:r>
        <w:rPr>
          <w:rFonts w:ascii="Arial" w:cs="Arial" w:eastAsia="Arial" w:hAnsi="Arial"/>
          <w:sz w:val="24"/>
          <w:szCs w:val="24"/>
        </w:rPr>
        <w:t xml:space="preserve">Meets quality measures effortlessly without additional documentation</w:t>
      </w:r>
    </w:p>
    <w:p>
      <w:pPr>
        <w:spacing w:before="0" w:after="0"/>
      </w:pPr>
      <w:r>
        <w:rPr>
          <w:sz w:val="24"/>
          <w:szCs w:val="24"/>
        </w:rPr>
        <w:t xml:space="preserve"/>
      </w:r>
    </w:p>
    <w:p>
      <w:pPr>
        <w:pStyle w:val="Heading3"/>
        <w:spacing w:before="0" w:after="0"/>
      </w:pPr>
      <w:r>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USPSTF and CDC guideline databases with regular updates</w:t>
      </w:r>
    </w:p>
    <w:p>
      <w:pPr>
        <w:pStyle w:val="ListParagraph"/>
        <w:numPr>
          <w:ilvl w:val="0"/>
          <w:numId w:val="1"/>
        </w:numPr>
        <w:spacing w:before="0" w:after="0"/>
      </w:pPr>
      <w:r>
        <w:rPr>
          <w:rFonts w:ascii="Arial" w:cs="Arial" w:eastAsia="Arial" w:hAnsi="Arial"/>
          <w:sz w:val="24"/>
          <w:szCs w:val="24"/>
        </w:rPr>
        <w:t xml:space="preserve">Insurance benefit verification for preventive service coverage</w:t>
      </w:r>
    </w:p>
    <w:p>
      <w:pPr>
        <w:pStyle w:val="ListParagraph"/>
        <w:numPr>
          <w:ilvl w:val="0"/>
          <w:numId w:val="1"/>
        </w:numPr>
        <w:spacing w:before="0" w:after="0"/>
      </w:pPr>
      <w:r>
        <w:rPr>
          <w:rFonts w:ascii="Arial" w:cs="Arial" w:eastAsia="Arial" w:hAnsi="Arial"/>
          <w:sz w:val="24"/>
          <w:szCs w:val="24"/>
        </w:rPr>
        <w:t xml:space="preserve">Facility network database with appointment availability and pricing</w:t>
      </w:r>
    </w:p>
    <w:p>
      <w:pPr>
        <w:pStyle w:val="ListParagraph"/>
        <w:numPr>
          <w:ilvl w:val="0"/>
          <w:numId w:val="1"/>
        </w:numPr>
        <w:spacing w:before="0" w:after="0"/>
      </w:pPr>
      <w:r>
        <w:rPr>
          <w:rFonts w:ascii="Arial" w:cs="Arial" w:eastAsia="Arial" w:hAnsi="Arial"/>
          <w:sz w:val="24"/>
          <w:szCs w:val="24"/>
        </w:rPr>
        <w:t xml:space="preserve">Results interface with multiple imaging and lab facilities</w:t>
      </w:r>
    </w:p>
    <w:p>
      <w:pPr>
        <w:pStyle w:val="ListParagraph"/>
        <w:numPr>
          <w:ilvl w:val="0"/>
          <w:numId w:val="1"/>
        </w:numPr>
        <w:spacing w:before="0" w:after="0"/>
      </w:pPr>
      <w:r>
        <w:rPr>
          <w:rFonts w:ascii="Arial" w:cs="Arial" w:eastAsia="Arial" w:hAnsi="Arial"/>
          <w:sz w:val="24"/>
          <w:szCs w:val="24"/>
        </w:rPr>
        <w:t xml:space="preserve">Abnormal result alert system with PCP notification</w:t>
      </w:r>
    </w:p>
    <w:p>
      <w:pPr>
        <w:spacing w:before="0" w:after="0"/>
      </w:pPr>
      <w:r>
        <w:rPr>
          <w:sz w:val="24"/>
          <w:szCs w:val="24"/>
        </w:rPr>
        <w:t xml:space="preserve"/>
      </w:r>
    </w:p>
    <w:p>
      <w:pPr>
        <w:pStyle w:val="Heading2"/>
        <w:spacing w:before="0" w:after="0"/>
      </w:pPr>
      <w:r>
        <w:rPr/>
        <w:t xml:space="preserve">USE CASE 2: Diabetes Comprehensive Management and Complication Prevention</w:t>
      </w:r>
    </w:p>
    <w:p>
      <w:pPr>
        <w:spacing w:before="0" w:after="0"/>
      </w:pPr>
      <w:r>
        <w:rPr>
          <w:sz w:val="24"/>
          <w:szCs w:val="24"/>
        </w:rPr>
        <w:t xml:space="preserve"/>
      </w:r>
    </w:p>
    <w:p>
      <w:pPr>
        <w:pStyle w:val="Heading3"/>
        <w:spacing w:before="0" w:after="0"/>
      </w:pPr>
      <w:r>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58-year-old patient with type 2 diabetes presents for follow-up with HbA1c of 8.9% on metformin and glipizide. They have hypertension and early-stage CKD (eGFR 55 mL/min/1.73m²) but have never been on a GLP-1 receptor agonist or SGLT2 inhibitor. The physician knows these medications offer cardiovascular and renal benefits but faces workflow barriers in selecting appropriate therapy, managing prior authorizations, and coordinating complication screening.</w:t>
      </w:r>
    </w:p>
    <w:p>
      <w:pPr>
        <w:spacing w:before="0" w:after="0"/>
      </w:pPr>
      <w:r>
        <w:rPr>
          <w:sz w:val="24"/>
          <w:szCs w:val="24"/>
        </w:rPr>
        <w:t xml:space="preserve"/>
      </w:r>
    </w:p>
    <w:p>
      <w:pPr>
        <w:pStyle w:val="Heading3"/>
        <w:spacing w:before="0" w:after="0"/>
      </w:pPr>
      <w:r>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Only 70% of diabetic patients achieve HbA1c &lt;8%, with many remaining on older, less effective medications</w:t>
      </w:r>
      <w:r>
        <w:rPr>
          <w:rFonts w:ascii="Arial" w:cs="Arial" w:eastAsia="Arial" w:hAnsi="Arial"/>
          <w:sz w:val="24"/>
          <w:szCs w:val="24"/>
          <w:vertAlign w:val="superscript"/>
        </w:rPr>
        <w:t xml:space="preserve">[6]</w:t>
      </w:r>
    </w:p>
    <w:p>
      <w:pPr>
        <w:pStyle w:val="ListParagraph"/>
        <w:numPr>
          <w:ilvl w:val="0"/>
          <w:numId w:val="1"/>
        </w:numPr>
        <w:spacing w:before="0" w:after="0"/>
      </w:pPr>
      <w:r>
        <w:rPr>
          <w:rFonts w:ascii="Arial" w:cs="Arial" w:eastAsia="Arial" w:hAnsi="Arial"/>
          <w:sz w:val="24"/>
          <w:szCs w:val="24"/>
        </w:rPr>
        <w:t xml:space="preserve">Retinal exam completion rates average only 60-65% despite annual screening guidelines</w:t>
      </w:r>
    </w:p>
    <w:p>
      <w:pPr>
        <w:pStyle w:val="ListParagraph"/>
        <w:numPr>
          <w:ilvl w:val="0"/>
          <w:numId w:val="1"/>
        </w:numPr>
        <w:spacing w:before="0" w:after="0"/>
      </w:pPr>
      <w:r>
        <w:rPr>
          <w:rFonts w:ascii="Arial" w:cs="Arial" w:eastAsia="Arial" w:hAnsi="Arial"/>
          <w:sz w:val="24"/>
          <w:szCs w:val="24"/>
        </w:rPr>
        <w:t xml:space="preserve">Complex medication selection requires understanding of cardiovascular and renal benefits beyond glycemic control</w:t>
      </w:r>
    </w:p>
    <w:p>
      <w:pPr>
        <w:pStyle w:val="ListParagraph"/>
        <w:numPr>
          <w:ilvl w:val="0"/>
          <w:numId w:val="1"/>
        </w:numPr>
        <w:spacing w:before="0" w:after="0"/>
      </w:pPr>
      <w:r>
        <w:rPr>
          <w:rFonts w:ascii="Arial" w:cs="Arial" w:eastAsia="Arial" w:hAnsi="Arial"/>
          <w:sz w:val="24"/>
          <w:szCs w:val="24"/>
        </w:rPr>
        <w:t xml:space="preserve">Prior authorization for GLP-1 RA and SGLT2i creates 30-60 minute workflow delays per patient</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Patients face fragmented care across PCP, endocrinology, ophthalmology, nephrology, and podiatry</w:t>
      </w:r>
    </w:p>
    <w:p>
      <w:pPr>
        <w:pStyle w:val="ListParagraph"/>
        <w:numPr>
          <w:ilvl w:val="0"/>
          <w:numId w:val="1"/>
        </w:numPr>
        <w:spacing w:before="0" w:after="0"/>
      </w:pPr>
      <w:r>
        <w:rPr>
          <w:rFonts w:ascii="Arial" w:cs="Arial" w:eastAsia="Arial" w:hAnsi="Arial"/>
          <w:sz w:val="24"/>
          <w:szCs w:val="24"/>
        </w:rPr>
        <w:t xml:space="preserve">Medication costs create adherence barriers (GLP-1 RA $800-$1,200/month without manufacturer assistance)</w:t>
      </w:r>
    </w:p>
    <w:p>
      <w:pPr>
        <w:pStyle w:val="ListParagraph"/>
        <w:numPr>
          <w:ilvl w:val="0"/>
          <w:numId w:val="1"/>
        </w:numPr>
        <w:spacing w:before="0" w:after="0"/>
      </w:pPr>
      <w:r>
        <w:rPr>
          <w:rFonts w:ascii="Arial" w:cs="Arial" w:eastAsia="Arial" w:hAnsi="Arial"/>
          <w:sz w:val="24"/>
          <w:szCs w:val="24"/>
        </w:rPr>
        <w:t xml:space="preserve">Complications often detected late when prevention/treatment options are limited</w:t>
      </w:r>
    </w:p>
    <w:p>
      <w:pPr>
        <w:pStyle w:val="ListParagraph"/>
        <w:numPr>
          <w:ilvl w:val="0"/>
          <w:numId w:val="1"/>
        </w:numPr>
        <w:spacing w:before="0" w:after="0"/>
      </w:pPr>
      <w:r>
        <w:rPr>
          <w:rFonts w:ascii="Arial" w:cs="Arial" w:eastAsia="Arial" w:hAnsi="Arial"/>
          <w:sz w:val="24"/>
          <w:szCs w:val="24"/>
        </w:rPr>
        <w:t xml:space="preserve">Physicians struggle to remember which patients need medication intensification vs which need specialist referral</w:t>
      </w:r>
    </w:p>
    <w:p>
      <w:pPr>
        <w:spacing w:before="0" w:after="0"/>
      </w:pPr>
      <w:r>
        <w:rPr>
          <w:sz w:val="24"/>
          <w:szCs w:val="24"/>
        </w:rPr>
        <w:t xml:space="preserve"/>
      </w:r>
    </w:p>
    <w:p>
      <w:pPr>
        <w:pStyle w:val="Heading3"/>
        <w:spacing w:before="0" w:after="0"/>
      </w:pPr>
      <w:r>
        <w:rPr/>
        <w:t xml:space="preserve">Cordance Solution</w:t>
      </w:r>
    </w:p>
    <w:p>
      <w:pPr>
        <w:spacing w:before="0" w:after="0"/>
      </w:pPr>
      <w:r>
        <w:rPr>
          <w:sz w:val="24"/>
          <w:szCs w:val="24"/>
        </w:rPr>
        <w:t xml:space="preserve"/>
      </w:r>
    </w:p>
    <w:p>
      <w:pPr>
        <w:pStyle w:val="Heading4"/>
        <w:spacing w:before="0" w:after="0"/>
      </w:pPr>
      <w:r>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diabetic patients with HbA1c &gt;8% or suboptimal medication regimens</w:t>
      </w:r>
    </w:p>
    <w:p>
      <w:pPr>
        <w:pStyle w:val="ListParagraph"/>
        <w:numPr>
          <w:ilvl w:val="0"/>
          <w:numId w:val="1"/>
        </w:numPr>
        <w:spacing w:before="0" w:after="0"/>
      </w:pPr>
      <w:r>
        <w:rPr>
          <w:rFonts w:ascii="Arial" w:cs="Arial" w:eastAsia="Arial" w:hAnsi="Arial"/>
          <w:sz w:val="24"/>
          <w:szCs w:val="24"/>
        </w:rPr>
        <w:t xml:space="preserve">Creates prioritized list based on cardiovascular risk, renal function, and time since last medication adjustment</w:t>
      </w:r>
    </w:p>
    <w:p>
      <w:pPr>
        <w:pStyle w:val="ListParagraph"/>
        <w:numPr>
          <w:ilvl w:val="0"/>
          <w:numId w:val="1"/>
        </w:numPr>
        <w:spacing w:before="0" w:after="0"/>
      </w:pPr>
      <w:r>
        <w:rPr>
          <w:rFonts w:ascii="Arial" w:cs="Arial" w:eastAsia="Arial" w:hAnsi="Arial"/>
          <w:sz w:val="24"/>
          <w:szCs w:val="24"/>
        </w:rPr>
        <w:t xml:space="preserve">Pre-loads all relevant data: latest HbA1c, lipid panel, urine albumin/creatinine ratio, eGFR trends, blood pressure, retinal exam history, foot exam history</w:t>
      </w:r>
    </w:p>
    <w:p>
      <w:pPr>
        <w:pStyle w:val="ListParagraph"/>
        <w:numPr>
          <w:ilvl w:val="0"/>
          <w:numId w:val="1"/>
        </w:numPr>
        <w:spacing w:before="0" w:after="0"/>
      </w:pPr>
      <w:r>
        <w:rPr>
          <w:rFonts w:ascii="Arial" w:cs="Arial" w:eastAsia="Arial" w:hAnsi="Arial"/>
          <w:sz w:val="24"/>
          <w:szCs w:val="24"/>
        </w:rPr>
        <w:t xml:space="preserve">Checks insurance formulary for GLP-1 RA and SGLT2i coverage with manufacturer copay assistance programs</w:t>
      </w:r>
    </w:p>
    <w:p>
      <w:pPr>
        <w:spacing w:before="0" w:after="0"/>
      </w:pPr>
      <w:r>
        <w:rPr>
          <w:sz w:val="24"/>
          <w:szCs w:val="24"/>
        </w:rPr>
        <w:t xml:space="preserve"/>
      </w:r>
    </w:p>
    <w:p>
      <w:pPr>
        <w:pStyle w:val="Heading4"/>
        <w:spacing w:before="0" w:after="0"/>
      </w:pPr>
      <w:r>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diabetes dashboard with current status: HbA1c trend over time; medication regimen completeness; complication screening status (retinal exam, foot exam, nephropathy screening); cardiovascular risk score; target goals (HbA1c &lt;7% or individualized, BP &lt;130/80, LDL &lt;70 if ASCVD)</w:t>
      </w:r>
    </w:p>
    <w:p>
      <w:pPr>
        <w:pStyle w:val="ListParagraph"/>
        <w:numPr>
          <w:ilvl w:val="0"/>
          <w:numId w:val="1"/>
        </w:numPr>
        <w:spacing w:before="0" w:after="0"/>
      </w:pPr>
      <w:r>
        <w:rPr>
          <w:rFonts w:ascii="Arial" w:cs="Arial" w:eastAsia="Arial" w:hAnsi="Arial"/>
          <w:sz w:val="24"/>
          <w:szCs w:val="24"/>
        </w:rPr>
        <w:t xml:space="preserve">Medication recommendations based on comorbidities: GLP-1 RA if ASCVD or high CV risk (20% reduction in MACE, 0.9% HbA1c reduction); SGLT2i if CKD or heart failure (37% reduction in CKD progression)</w:t>
      </w:r>
      <w:r>
        <w:rPr>
          <w:rFonts w:ascii="Arial" w:cs="Arial" w:eastAsia="Arial" w:hAnsi="Arial"/>
          <w:sz w:val="24"/>
          <w:szCs w:val="24"/>
          <w:vertAlign w:val="superscript"/>
        </w:rPr>
        <w:t xml:space="preserve">[7]</w:t>
      </w:r>
    </w:p>
    <w:p>
      <w:pPr>
        <w:pStyle w:val="ListParagraph"/>
        <w:numPr>
          <w:ilvl w:val="0"/>
          <w:numId w:val="1"/>
        </w:numPr>
        <w:spacing w:before="0" w:after="0"/>
      </w:pPr>
      <w:r>
        <w:rPr>
          <w:rFonts w:ascii="Arial" w:cs="Arial" w:eastAsia="Arial" w:hAnsi="Arial"/>
          <w:sz w:val="24"/>
          <w:szCs w:val="24"/>
        </w:rPr>
        <w:t xml:space="preserve">Flags overdue complication screening with one-click ordering: annual retinal exam; annual foot exam with monofilament testing; annual urine albumin/creatinine ratio; lipid panel</w:t>
      </w:r>
    </w:p>
    <w:p>
      <w:pPr>
        <w:pStyle w:val="ListParagraph"/>
        <w:numPr>
          <w:ilvl w:val="0"/>
          <w:numId w:val="1"/>
        </w:numPr>
        <w:spacing w:before="0" w:after="0"/>
      </w:pPr>
      <w:r>
        <w:rPr>
          <w:rFonts w:ascii="Arial" w:cs="Arial" w:eastAsia="Arial" w:hAnsi="Arial"/>
          <w:sz w:val="24"/>
          <w:szCs w:val="24"/>
        </w:rPr>
        <w:t xml:space="preserve">Real-time prior authorization preparation with pre-populated clinical justification</w:t>
      </w:r>
    </w:p>
    <w:p>
      <w:pPr>
        <w:pStyle w:val="ListParagraph"/>
        <w:numPr>
          <w:ilvl w:val="0"/>
          <w:numId w:val="1"/>
        </w:numPr>
        <w:spacing w:before="0" w:after="0"/>
      </w:pPr>
      <w:r>
        <w:rPr>
          <w:rFonts w:ascii="Arial" w:cs="Arial" w:eastAsia="Arial" w:hAnsi="Arial"/>
          <w:sz w:val="24"/>
          <w:szCs w:val="24"/>
        </w:rPr>
        <w:t xml:space="preserve">Shows patient-specific medication costs with manufacturer assistance programs reducing GLP-1 RA copay to $25-$50/month</w:t>
      </w:r>
    </w:p>
    <w:p>
      <w:pPr>
        <w:pStyle w:val="ListParagraph"/>
        <w:numPr>
          <w:ilvl w:val="0"/>
          <w:numId w:val="1"/>
        </w:numPr>
        <w:spacing w:before="0" w:after="0"/>
      </w:pPr>
      <w:r>
        <w:rPr>
          <w:rFonts w:ascii="Arial" w:cs="Arial" w:eastAsia="Arial" w:hAnsi="Arial"/>
          <w:sz w:val="24"/>
          <w:szCs w:val="24"/>
        </w:rPr>
        <w:t xml:space="preserve">Specialist referral triggers: HbA1c &gt;9% despite 3 medications → endocrinology; eGFR &lt;30 → nephrology; abnormal retinal exam → ophthalmology; foot ulcer → podiatry/wound care</w:t>
      </w:r>
    </w:p>
    <w:p>
      <w:pPr>
        <w:spacing w:before="0" w:after="0"/>
      </w:pPr>
      <w:r>
        <w:rPr>
          <w:sz w:val="24"/>
          <w:szCs w:val="24"/>
        </w:rPr>
        <w:t xml:space="preserve"/>
      </w:r>
    </w:p>
    <w:p>
      <w:pPr>
        <w:pStyle w:val="Heading4"/>
        <w:spacing w:before="0" w:after="0"/>
      </w:pPr>
      <w:r>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Automatically submits prior authorization for GLP-1 RA or SGLT2i with structured clinical documentation</w:t>
      </w:r>
    </w:p>
    <w:p>
      <w:pPr>
        <w:pStyle w:val="ListParagraph"/>
        <w:numPr>
          <w:ilvl w:val="0"/>
          <w:numId w:val="1"/>
        </w:numPr>
        <w:spacing w:before="0" w:after="0"/>
      </w:pPr>
      <w:r>
        <w:rPr>
          <w:rFonts w:ascii="Arial" w:cs="Arial" w:eastAsia="Arial" w:hAnsi="Arial"/>
          <w:sz w:val="24"/>
          <w:szCs w:val="24"/>
        </w:rPr>
        <w:t xml:space="preserve">Schedules follow-up appointments: 3 months for HbA1c recheck after medication change; annual retinal exam; annual foot exam</w:t>
      </w:r>
    </w:p>
    <w:p>
      <w:pPr>
        <w:pStyle w:val="ListParagraph"/>
        <w:numPr>
          <w:ilvl w:val="0"/>
          <w:numId w:val="1"/>
        </w:numPr>
        <w:spacing w:before="0" w:after="0"/>
      </w:pPr>
      <w:r>
        <w:rPr>
          <w:rFonts w:ascii="Arial" w:cs="Arial" w:eastAsia="Arial" w:hAnsi="Arial"/>
          <w:sz w:val="24"/>
          <w:szCs w:val="24"/>
        </w:rPr>
        <w:t xml:space="preserve">Enrolls patient in diabetes self-management education (DSME) program shown to improve glycemic control</w:t>
      </w:r>
      <w:r>
        <w:rPr>
          <w:rFonts w:ascii="Arial" w:cs="Arial" w:eastAsia="Arial" w:hAnsi="Arial"/>
          <w:sz w:val="24"/>
          <w:szCs w:val="24"/>
          <w:vertAlign w:val="superscript"/>
        </w:rPr>
        <w:t xml:space="preserve">[8]</w:t>
      </w:r>
    </w:p>
    <w:p>
      <w:pPr>
        <w:pStyle w:val="ListParagraph"/>
        <w:numPr>
          <w:ilvl w:val="0"/>
          <w:numId w:val="1"/>
        </w:numPr>
        <w:spacing w:before="0" w:after="0"/>
      </w:pPr>
      <w:r>
        <w:rPr>
          <w:rFonts w:ascii="Arial" w:cs="Arial" w:eastAsia="Arial" w:hAnsi="Arial"/>
          <w:sz w:val="24"/>
          <w:szCs w:val="24"/>
        </w:rPr>
        <w:t xml:space="preserve">Sends patient education materials on new medications, hypoglycemia recognition, and lifestyle modifications</w:t>
      </w:r>
    </w:p>
    <w:p>
      <w:pPr>
        <w:pStyle w:val="ListParagraph"/>
        <w:numPr>
          <w:ilvl w:val="0"/>
          <w:numId w:val="1"/>
        </w:numPr>
        <w:spacing w:before="0" w:after="0"/>
      </w:pPr>
      <w:r>
        <w:rPr>
          <w:rFonts w:ascii="Arial" w:cs="Arial" w:eastAsia="Arial" w:hAnsi="Arial"/>
          <w:sz w:val="24"/>
          <w:szCs w:val="24"/>
        </w:rPr>
        <w:t xml:space="preserve">Triggers pharmacy outreach for medication adherence counseling and manufacturer copay card enrollment</w:t>
      </w:r>
    </w:p>
    <w:p>
      <w:pPr>
        <w:spacing w:before="0" w:after="0"/>
      </w:pPr>
      <w:r>
        <w:rPr>
          <w:sz w:val="24"/>
          <w:szCs w:val="24"/>
        </w:rPr>
        <w:t xml:space="preserve"/>
      </w:r>
    </w:p>
    <w:p>
      <w:pPr>
        <w:pStyle w:val="Heading3"/>
        <w:spacing w:before="0" w:after="0"/>
      </w:pPr>
      <w:r>
        <w:rPr/>
        <w:t xml:space="preserve">Impact on Three Pillars</w:t>
      </w:r>
    </w:p>
    <w:p>
      <w:pPr>
        <w:spacing w:before="0" w:after="0"/>
      </w:pPr>
      <w:r>
        <w:rPr>
          <w:sz w:val="24"/>
          <w:szCs w:val="24"/>
        </w:rPr>
        <w:t xml:space="preserve"/>
      </w:r>
    </w:p>
    <w:p>
      <w:pPr>
        <w:pStyle w:val="Heading4"/>
        <w:spacing w:before="0" w:after="0"/>
      </w:pPr>
      <w:r>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GLP-1 RA reduces cardiovascular events by 20%, preventing $150K+ per MI/stroke avoided</w:t>
      </w:r>
      <w:r>
        <w:rPr>
          <w:rFonts w:ascii="Arial" w:cs="Arial" w:eastAsia="Arial" w:hAnsi="Arial"/>
          <w:sz w:val="24"/>
          <w:szCs w:val="24"/>
          <w:vertAlign w:val="superscript"/>
        </w:rPr>
        <w:t xml:space="preserve">[9]</w:t>
      </w:r>
    </w:p>
    <w:p>
      <w:pPr>
        <w:pStyle w:val="ListParagraph"/>
        <w:numPr>
          <w:ilvl w:val="0"/>
          <w:numId w:val="1"/>
        </w:numPr>
        <w:spacing w:before="0" w:after="0"/>
      </w:pPr>
      <w:r>
        <w:rPr>
          <w:rFonts w:ascii="Arial" w:cs="Arial" w:eastAsia="Arial" w:hAnsi="Arial"/>
          <w:sz w:val="24"/>
          <w:szCs w:val="24"/>
        </w:rPr>
        <w:t xml:space="preserve">SGLT2i slows CKD progression, delaying ESRD costs of $76,969 annually per patient vs $7,537 for patients without CKD</w:t>
      </w:r>
      <w:r>
        <w:rPr>
          <w:rFonts w:ascii="Arial" w:cs="Arial" w:eastAsia="Arial" w:hAnsi="Arial"/>
          <w:sz w:val="24"/>
          <w:szCs w:val="24"/>
          <w:vertAlign w:val="superscript"/>
        </w:rPr>
        <w:t xml:space="preserve">[10]</w:t>
      </w:r>
    </w:p>
    <w:p>
      <w:pPr>
        <w:pStyle w:val="ListParagraph"/>
        <w:numPr>
          <w:ilvl w:val="0"/>
          <w:numId w:val="1"/>
        </w:numPr>
        <w:spacing w:before="0" w:after="0"/>
      </w:pPr>
      <w:r>
        <w:rPr>
          <w:rFonts w:ascii="Arial" w:cs="Arial" w:eastAsia="Arial" w:hAnsi="Arial"/>
          <w:sz w:val="24"/>
          <w:szCs w:val="24"/>
        </w:rPr>
        <w:t xml:space="preserve">Diabetic retinopathy screening prevents vision loss, avoiding $30K-$60K per severe vision complication</w:t>
      </w:r>
    </w:p>
    <w:p>
      <w:pPr>
        <w:pStyle w:val="ListParagraph"/>
        <w:numPr>
          <w:ilvl w:val="0"/>
          <w:numId w:val="1"/>
        </w:numPr>
        <w:spacing w:before="0" w:after="0"/>
      </w:pPr>
      <w:r>
        <w:rPr>
          <w:rFonts w:ascii="Arial" w:cs="Arial" w:eastAsia="Arial" w:hAnsi="Arial"/>
          <w:sz w:val="24"/>
          <w:szCs w:val="24"/>
        </w:rPr>
        <w:t xml:space="preserve">Captures quality bonuses for diabetes composite measures (HbA1c control, statin use, retinal exams, nephropathy screening)</w:t>
      </w:r>
    </w:p>
    <w:p>
      <w:pPr>
        <w:pStyle w:val="ListParagraph"/>
        <w:numPr>
          <w:ilvl w:val="0"/>
          <w:numId w:val="1"/>
        </w:numPr>
        <w:spacing w:before="0" w:after="0"/>
      </w:pPr>
      <w:r>
        <w:rPr>
          <w:rFonts w:ascii="Arial" w:cs="Arial" w:eastAsia="Arial" w:hAnsi="Arial"/>
          <w:sz w:val="24"/>
          <w:szCs w:val="24"/>
        </w:rPr>
        <w:t xml:space="preserve">Estimated financial impact: $200K-$300K annually per PCP through complication prevention and quality bonuses</w:t>
      </w:r>
    </w:p>
    <w:p>
      <w:pPr>
        <w:spacing w:before="0" w:after="0"/>
      </w:pPr>
      <w:r>
        <w:rPr>
          <w:sz w:val="24"/>
          <w:szCs w:val="24"/>
        </w:rPr>
        <w:t xml:space="preserve"/>
      </w:r>
    </w:p>
    <w:p>
      <w:pPr>
        <w:pStyle w:val="Heading4"/>
        <w:spacing w:before="0" w:after="0"/>
      </w:pPr>
      <w:r>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GLP-1 RA achieves sustained HbA1c reduction of 0.9% with weight loss up to 6.6 kg, reducing long-term complications</w:t>
      </w:r>
      <w:r>
        <w:rPr>
          <w:rFonts w:ascii="Arial" w:cs="Arial" w:eastAsia="Arial" w:hAnsi="Arial"/>
          <w:sz w:val="24"/>
          <w:szCs w:val="24"/>
          <w:vertAlign w:val="superscript"/>
        </w:rPr>
        <w:t xml:space="preserve">[11]</w:t>
      </w:r>
    </w:p>
    <w:p>
      <w:pPr>
        <w:pStyle w:val="ListParagraph"/>
        <w:numPr>
          <w:ilvl w:val="0"/>
          <w:numId w:val="1"/>
        </w:numPr>
        <w:spacing w:before="0" w:after="0"/>
      </w:pPr>
      <w:r>
        <w:rPr>
          <w:rFonts w:ascii="Arial" w:cs="Arial" w:eastAsia="Arial" w:hAnsi="Arial"/>
          <w:sz w:val="24"/>
          <w:szCs w:val="24"/>
        </w:rPr>
        <w:t xml:space="preserve">SGLT2i reduces heart failure hospitalization by 26% in diabetic patients</w:t>
      </w:r>
      <w:r>
        <w:rPr>
          <w:rFonts w:ascii="Arial" w:cs="Arial" w:eastAsia="Arial" w:hAnsi="Arial"/>
          <w:sz w:val="24"/>
          <w:szCs w:val="24"/>
          <w:vertAlign w:val="superscript"/>
        </w:rPr>
        <w:t xml:space="preserve">[12]</w:t>
      </w:r>
    </w:p>
    <w:p>
      <w:pPr>
        <w:pStyle w:val="ListParagraph"/>
        <w:numPr>
          <w:ilvl w:val="0"/>
          <w:numId w:val="1"/>
        </w:numPr>
        <w:spacing w:before="0" w:after="0"/>
      </w:pPr>
      <w:r>
        <w:rPr>
          <w:rFonts w:ascii="Arial" w:cs="Arial" w:eastAsia="Arial" w:hAnsi="Arial"/>
          <w:sz w:val="24"/>
          <w:szCs w:val="24"/>
        </w:rPr>
        <w:t xml:space="preserve">Annual diabetic retinopathy screening substantially reduces vision loss in working-age adults</w:t>
      </w:r>
      <w:r>
        <w:rPr>
          <w:rFonts w:ascii="Arial" w:cs="Arial" w:eastAsia="Arial" w:hAnsi="Arial"/>
          <w:sz w:val="24"/>
          <w:szCs w:val="24"/>
          <w:vertAlign w:val="superscript"/>
        </w:rPr>
        <w:t xml:space="preserve">[13]</w:t>
      </w:r>
    </w:p>
    <w:p>
      <w:pPr>
        <w:pStyle w:val="ListParagraph"/>
        <w:numPr>
          <w:ilvl w:val="0"/>
          <w:numId w:val="1"/>
        </w:numPr>
        <w:spacing w:before="0" w:after="0"/>
      </w:pPr>
      <w:r>
        <w:rPr>
          <w:rFonts w:ascii="Arial" w:cs="Arial" w:eastAsia="Arial" w:hAnsi="Arial"/>
          <w:sz w:val="24"/>
          <w:szCs w:val="24"/>
        </w:rPr>
        <w:t xml:space="preserve">Systematic complication screening enables early intervention when treatment most effective</w:t>
      </w:r>
    </w:p>
    <w:p>
      <w:pPr>
        <w:pStyle w:val="ListParagraph"/>
        <w:numPr>
          <w:ilvl w:val="0"/>
          <w:numId w:val="1"/>
        </w:numPr>
        <w:spacing w:before="0" w:after="0"/>
      </w:pPr>
      <w:r>
        <w:rPr>
          <w:rFonts w:ascii="Arial" w:cs="Arial" w:eastAsia="Arial" w:hAnsi="Arial"/>
          <w:sz w:val="24"/>
          <w:szCs w:val="24"/>
        </w:rPr>
        <w:t xml:space="preserve">Medication optimization reduces hypoglycemia risk by eliminating older sulfonylureas</w:t>
      </w:r>
    </w:p>
    <w:p>
      <w:pPr>
        <w:spacing w:before="0" w:after="0"/>
      </w:pPr>
      <w:r>
        <w:rPr>
          <w:sz w:val="24"/>
          <w:szCs w:val="24"/>
        </w:rPr>
        <w:t xml:space="preserve"/>
      </w:r>
    </w:p>
    <w:p>
      <w:pPr>
        <w:pStyle w:val="Heading4"/>
        <w:spacing w:before="0" w:after="0"/>
      </w:pPr>
      <w:r>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identification of all diabetic patients with treatment gaps across entire practice</w:t>
      </w:r>
    </w:p>
    <w:p>
      <w:pPr>
        <w:pStyle w:val="ListParagraph"/>
        <w:numPr>
          <w:ilvl w:val="0"/>
          <w:numId w:val="1"/>
        </w:numPr>
        <w:spacing w:before="0" w:after="0"/>
      </w:pPr>
      <w:r>
        <w:rPr>
          <w:rFonts w:ascii="Arial" w:cs="Arial" w:eastAsia="Arial" w:hAnsi="Arial"/>
          <w:sz w:val="24"/>
          <w:szCs w:val="24"/>
        </w:rPr>
        <w:t xml:space="preserve">Reduces disparities by ensuring all patients offered evidence-based medications regardless of insurance</w:t>
      </w:r>
    </w:p>
    <w:p>
      <w:pPr>
        <w:pStyle w:val="ListParagraph"/>
        <w:numPr>
          <w:ilvl w:val="0"/>
          <w:numId w:val="1"/>
        </w:numPr>
        <w:spacing w:before="0" w:after="0"/>
      </w:pPr>
      <w:r>
        <w:rPr>
          <w:rFonts w:ascii="Arial" w:cs="Arial" w:eastAsia="Arial" w:hAnsi="Arial"/>
          <w:sz w:val="24"/>
          <w:szCs w:val="24"/>
        </w:rPr>
        <w:t xml:space="preserve">Improves medication adherence through cost transparency and manufacturer assistance programs</w:t>
      </w:r>
    </w:p>
    <w:p>
      <w:pPr>
        <w:pStyle w:val="ListParagraph"/>
        <w:numPr>
          <w:ilvl w:val="0"/>
          <w:numId w:val="1"/>
        </w:numPr>
        <w:spacing w:before="0" w:after="0"/>
      </w:pPr>
      <w:r>
        <w:rPr>
          <w:rFonts w:ascii="Arial" w:cs="Arial" w:eastAsia="Arial" w:hAnsi="Arial"/>
          <w:sz w:val="24"/>
          <w:szCs w:val="24"/>
        </w:rPr>
        <w:t xml:space="preserve">Enables proactive population management with panel-level diabetes registry</w:t>
      </w:r>
    </w:p>
    <w:p>
      <w:pPr>
        <w:pStyle w:val="ListParagraph"/>
        <w:numPr>
          <w:ilvl w:val="0"/>
          <w:numId w:val="1"/>
        </w:numPr>
        <w:spacing w:before="0" w:after="0"/>
      </w:pPr>
      <w:r>
        <w:rPr>
          <w:rFonts w:ascii="Arial" w:cs="Arial" w:eastAsia="Arial" w:hAnsi="Arial"/>
          <w:sz w:val="24"/>
          <w:szCs w:val="24"/>
        </w:rPr>
        <w:t xml:space="preserve">Estimated impact: 70-80% of diabetic patients achieving HbA1c &lt;8%, &gt;85% on appropriate statin, &gt;80% annual retinal exam completion</w:t>
      </w:r>
    </w:p>
    <w:p>
      <w:pPr>
        <w:spacing w:before="0" w:after="0"/>
      </w:pPr>
      <w:r>
        <w:rPr>
          <w:sz w:val="24"/>
          <w:szCs w:val="24"/>
        </w:rPr>
        <w:t xml:space="preserve"/>
      </w:r>
    </w:p>
    <w:p>
      <w:pPr>
        <w:pStyle w:val="Heading3"/>
        <w:spacing w:before="0" w:after="0"/>
      </w:pPr>
      <w:r>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cognitive burden of remembering complex medication selection algorithms</w:t>
      </w:r>
    </w:p>
    <w:p>
      <w:pPr>
        <w:pStyle w:val="ListParagraph"/>
        <w:numPr>
          <w:ilvl w:val="0"/>
          <w:numId w:val="1"/>
        </w:numPr>
        <w:spacing w:before="0" w:after="0"/>
      </w:pPr>
      <w:r>
        <w:rPr>
          <w:rFonts w:ascii="Arial" w:cs="Arial" w:eastAsia="Arial" w:hAnsi="Arial"/>
          <w:sz w:val="24"/>
          <w:szCs w:val="24"/>
        </w:rPr>
        <w:t xml:space="preserve">Removes prior authorization frustration with automated submissions</w:t>
      </w:r>
    </w:p>
    <w:p>
      <w:pPr>
        <w:pStyle w:val="ListParagraph"/>
        <w:numPr>
          <w:ilvl w:val="0"/>
          <w:numId w:val="1"/>
        </w:numPr>
        <w:spacing w:before="0" w:after="0"/>
      </w:pPr>
      <w:r>
        <w:rPr>
          <w:rFonts w:ascii="Arial" w:cs="Arial" w:eastAsia="Arial" w:hAnsi="Arial"/>
          <w:sz w:val="24"/>
          <w:szCs w:val="24"/>
        </w:rPr>
        <w:t xml:space="preserve">Systematic complication screening ensures no patient falls through the cracks</w:t>
      </w:r>
    </w:p>
    <w:p>
      <w:pPr>
        <w:pStyle w:val="ListParagraph"/>
        <w:numPr>
          <w:ilvl w:val="0"/>
          <w:numId w:val="1"/>
        </w:numPr>
        <w:spacing w:before="0" w:after="0"/>
      </w:pPr>
      <w:r>
        <w:rPr>
          <w:rFonts w:ascii="Arial" w:cs="Arial" w:eastAsia="Arial" w:hAnsi="Arial"/>
          <w:sz w:val="24"/>
          <w:szCs w:val="24"/>
        </w:rPr>
        <w:t xml:space="preserve">Real-time formulary and cost information enables shared decision-making conversations</w:t>
      </w:r>
    </w:p>
    <w:p>
      <w:pPr>
        <w:pStyle w:val="ListParagraph"/>
        <w:numPr>
          <w:ilvl w:val="0"/>
          <w:numId w:val="1"/>
        </w:numPr>
        <w:spacing w:before="0" w:after="0"/>
      </w:pPr>
      <w:r>
        <w:rPr>
          <w:rFonts w:ascii="Arial" w:cs="Arial" w:eastAsia="Arial" w:hAnsi="Arial"/>
          <w:sz w:val="24"/>
          <w:szCs w:val="24"/>
        </w:rPr>
        <w:t xml:space="preserve">Protects against malpractice by documenting guideline-concordant care</w:t>
      </w:r>
    </w:p>
    <w:p>
      <w:pPr>
        <w:pStyle w:val="ListParagraph"/>
        <w:numPr>
          <w:ilvl w:val="0"/>
          <w:numId w:val="1"/>
        </w:numPr>
        <w:spacing w:before="0" w:after="0"/>
      </w:pPr>
      <w:r>
        <w:rPr>
          <w:rFonts w:ascii="Arial" w:cs="Arial" w:eastAsia="Arial" w:hAnsi="Arial"/>
          <w:sz w:val="24"/>
          <w:szCs w:val="24"/>
        </w:rPr>
        <w:t xml:space="preserve">Meets diabetes quality metrics effortlessly without additional documentation</w:t>
      </w:r>
    </w:p>
    <w:p>
      <w:pPr>
        <w:spacing w:before="0" w:after="0"/>
      </w:pPr>
      <w:r>
        <w:rPr>
          <w:sz w:val="24"/>
          <w:szCs w:val="24"/>
        </w:rPr>
        <w:t xml:space="preserve"/>
      </w:r>
    </w:p>
    <w:p>
      <w:pPr>
        <w:pStyle w:val="Heading3"/>
        <w:spacing w:before="0" w:after="0"/>
      </w:pPr>
      <w:r>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formulary databases for real-time GLP-1 RA and SGLT2i coverage</w:t>
      </w:r>
    </w:p>
    <w:p>
      <w:pPr>
        <w:pStyle w:val="ListParagraph"/>
        <w:numPr>
          <w:ilvl w:val="0"/>
          <w:numId w:val="1"/>
        </w:numPr>
        <w:spacing w:before="0" w:after="0"/>
      </w:pPr>
      <w:r>
        <w:rPr>
          <w:rFonts w:ascii="Arial" w:cs="Arial" w:eastAsia="Arial" w:hAnsi="Arial"/>
          <w:sz w:val="24"/>
          <w:szCs w:val="24"/>
        </w:rPr>
        <w:t xml:space="preserve">API connections to major PBMs for prior authorization automation</w:t>
      </w:r>
    </w:p>
    <w:p>
      <w:pPr>
        <w:pStyle w:val="ListParagraph"/>
        <w:numPr>
          <w:ilvl w:val="0"/>
          <w:numId w:val="1"/>
        </w:numPr>
        <w:spacing w:before="0" w:after="0"/>
      </w:pPr>
      <w:r>
        <w:rPr>
          <w:rFonts w:ascii="Arial" w:cs="Arial" w:eastAsia="Arial" w:hAnsi="Arial"/>
          <w:sz w:val="24"/>
          <w:szCs w:val="24"/>
        </w:rPr>
        <w:t xml:space="preserve">EHR integration for seamless ordering and lab result tracking</w:t>
      </w:r>
    </w:p>
    <w:p>
      <w:pPr>
        <w:pStyle w:val="ListParagraph"/>
        <w:numPr>
          <w:ilvl w:val="0"/>
          <w:numId w:val="1"/>
        </w:numPr>
        <w:spacing w:before="0" w:after="0"/>
      </w:pPr>
      <w:r>
        <w:rPr>
          <w:rFonts w:ascii="Arial" w:cs="Arial" w:eastAsia="Arial" w:hAnsi="Arial"/>
          <w:sz w:val="24"/>
          <w:szCs w:val="24"/>
        </w:rPr>
        <w:t xml:space="preserve">Ophthalmology and podiatry network partnerships for complication screening coordination</w:t>
      </w:r>
    </w:p>
    <w:p>
      <w:pPr>
        <w:pStyle w:val="ListParagraph"/>
        <w:numPr>
          <w:ilvl w:val="0"/>
          <w:numId w:val="1"/>
        </w:numPr>
        <w:spacing w:before="0" w:after="0"/>
      </w:pPr>
      <w:r>
        <w:rPr>
          <w:rFonts w:ascii="Arial" w:cs="Arial" w:eastAsia="Arial" w:hAnsi="Arial"/>
          <w:sz w:val="24"/>
          <w:szCs w:val="24"/>
        </w:rPr>
        <w:t xml:space="preserve">Patient education materials and diabetes self-management program enrollment</w:t>
      </w:r>
    </w:p>
    <w:p>
      <w:pPr>
        <w:spacing w:before="0" w:after="0"/>
      </w:pPr>
      <w:r>
        <w:rPr>
          <w:sz w:val="24"/>
          <w:szCs w:val="24"/>
        </w:rPr>
        <w:t xml:space="preserve"/>
      </w:r>
    </w:p>
    <w:p>
      <w:pPr>
        <w:pStyle w:val="Heading2"/>
        <w:spacing w:before="0" w:after="0"/>
      </w:pPr>
      <w:r>
        <w:rPr/>
        <w:t xml:space="preserve">USE CASE 3: Chronic Kidney Disease Early Detection and Progression Prevention</w:t>
      </w:r>
    </w:p>
    <w:p>
      <w:pPr>
        <w:spacing w:before="0" w:after="0"/>
      </w:pPr>
      <w:r>
        <w:rPr>
          <w:sz w:val="24"/>
          <w:szCs w:val="24"/>
        </w:rPr>
        <w:t xml:space="preserve"/>
      </w:r>
    </w:p>
    <w:p>
      <w:pPr>
        <w:pStyle w:val="Heading3"/>
        <w:spacing w:before="0" w:after="0"/>
      </w:pPr>
      <w:r>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62-year-old patient with diabetes and hypertension presents for routine follow-up. Their eGFR has declined from 68 to 54 mL/min/1.73m² over 18 months, and urine albumin/creatinine ratio is 185 mg/g, indicating stage 3 CKD with albuminuria. The physician recognizes CKD but is uncertain about optimal medication management, when to refer to nephrology, and how to prevent progression to dialysis.</w:t>
      </w:r>
    </w:p>
    <w:p>
      <w:pPr>
        <w:spacing w:before="0" w:after="0"/>
      </w:pPr>
      <w:r>
        <w:rPr>
          <w:sz w:val="24"/>
          <w:szCs w:val="24"/>
        </w:rPr>
        <w:t xml:space="preserve"/>
      </w:r>
    </w:p>
    <w:p>
      <w:pPr>
        <w:pStyle w:val="Heading3"/>
        <w:spacing w:before="0" w:after="0"/>
      </w:pPr>
      <w:r>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90% of patients with early CKD are unaware of their condition; diagnosis often delayed until stage 4-5 when options are limited</w:t>
      </w:r>
      <w:r>
        <w:rPr>
          <w:rFonts w:ascii="Arial" w:cs="Arial" w:eastAsia="Arial" w:hAnsi="Arial"/>
          <w:sz w:val="24"/>
          <w:szCs w:val="24"/>
          <w:vertAlign w:val="superscript"/>
        </w:rPr>
        <w:t xml:space="preserve">[14]</w:t>
      </w:r>
    </w:p>
    <w:p>
      <w:pPr>
        <w:pStyle w:val="ListParagraph"/>
        <w:numPr>
          <w:ilvl w:val="0"/>
          <w:numId w:val="1"/>
        </w:numPr>
        <w:spacing w:before="0" w:after="0"/>
      </w:pPr>
      <w:r>
        <w:rPr>
          <w:rFonts w:ascii="Arial" w:cs="Arial" w:eastAsia="Arial" w:hAnsi="Arial"/>
          <w:sz w:val="24"/>
          <w:szCs w:val="24"/>
        </w:rPr>
        <w:t xml:space="preserve">Cost progression is dramatic: $7,537 annually for no CKD to $76,969 for stages 4-5 (commercial insurance)</w:t>
      </w:r>
      <w:r>
        <w:rPr>
          <w:rFonts w:ascii="Arial" w:cs="Arial" w:eastAsia="Arial" w:hAnsi="Arial"/>
          <w:sz w:val="24"/>
          <w:szCs w:val="24"/>
          <w:vertAlign w:val="superscript"/>
        </w:rPr>
        <w:t xml:space="preserve">[15]</w:t>
      </w:r>
    </w:p>
    <w:p>
      <w:pPr>
        <w:pStyle w:val="ListParagraph"/>
        <w:numPr>
          <w:ilvl w:val="0"/>
          <w:numId w:val="1"/>
        </w:numPr>
        <w:spacing w:before="0" w:after="0"/>
      </w:pPr>
      <w:r>
        <w:rPr>
          <w:rFonts w:ascii="Arial" w:cs="Arial" w:eastAsia="Arial" w:hAnsi="Arial"/>
          <w:sz w:val="24"/>
          <w:szCs w:val="24"/>
        </w:rPr>
        <w:t xml:space="preserve">Complex medication dosing adjustments based on eGFR are time-consuming and error-prone</w:t>
      </w:r>
    </w:p>
    <w:p>
      <w:pPr>
        <w:pStyle w:val="ListParagraph"/>
        <w:numPr>
          <w:ilvl w:val="0"/>
          <w:numId w:val="1"/>
        </w:numPr>
        <w:spacing w:before="0" w:after="0"/>
      </w:pPr>
      <w:r>
        <w:rPr>
          <w:rFonts w:ascii="Arial" w:cs="Arial" w:eastAsia="Arial" w:hAnsi="Arial"/>
          <w:sz w:val="24"/>
          <w:szCs w:val="24"/>
        </w:rPr>
        <w:t xml:space="preserve">Nephrology referral criteria vary, leading to inconsistent timing and missed intervention opportunities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Patients with CKD stages 1-3 are asymptomatic, leading to delayed diagnosis</w:t>
      </w:r>
    </w:p>
    <w:p>
      <w:pPr>
        <w:pStyle w:val="ListParagraph"/>
        <w:numPr>
          <w:ilvl w:val="0"/>
          <w:numId w:val="1"/>
        </w:numPr>
        <w:spacing w:before="0" w:after="0"/>
      </w:pPr>
      <w:r>
        <w:rPr>
          <w:rFonts w:ascii="Arial" w:cs="Arial" w:eastAsia="Arial" w:hAnsi="Arial"/>
          <w:sz w:val="24"/>
          <w:szCs w:val="24"/>
        </w:rPr>
        <w:t xml:space="preserve">SGLT2 inhibitors proven to slow CKD progression by 37-39% but underutilized in primary care</w:t>
      </w:r>
      <w:r>
        <w:rPr>
          <w:rFonts w:ascii="Arial" w:cs="Arial" w:eastAsia="Arial" w:hAnsi="Arial"/>
          <w:sz w:val="24"/>
          <w:szCs w:val="24"/>
          <w:vertAlign w:val="superscript"/>
        </w:rPr>
        <w:t xml:space="preserve">[16]</w:t>
      </w:r>
    </w:p>
    <w:p>
      <w:pPr>
        <w:pStyle w:val="ListParagraph"/>
        <w:numPr>
          <w:ilvl w:val="0"/>
          <w:numId w:val="1"/>
        </w:numPr>
        <w:spacing w:before="0" w:after="0"/>
      </w:pPr>
      <w:r>
        <w:rPr>
          <w:rFonts w:ascii="Arial" w:cs="Arial" w:eastAsia="Arial" w:hAnsi="Arial"/>
          <w:sz w:val="24"/>
          <w:szCs w:val="24"/>
        </w:rPr>
        <w:t xml:space="preserve">Medication errors common with renal dosing (metformin contraindicated if eGFR &lt;30, NSAIDs accelerate decline)</w:t>
      </w:r>
    </w:p>
    <w:p>
      <w:pPr>
        <w:pStyle w:val="ListParagraph"/>
        <w:numPr>
          <w:ilvl w:val="0"/>
          <w:numId w:val="1"/>
        </w:numPr>
        <w:spacing w:before="0" w:after="0"/>
      </w:pPr>
      <w:r>
        <w:rPr>
          <w:rFonts w:ascii="Arial" w:cs="Arial" w:eastAsia="Arial" w:hAnsi="Arial"/>
          <w:sz w:val="24"/>
          <w:szCs w:val="24"/>
        </w:rPr>
        <w:t xml:space="preserve">Patients unaware of dietary modifications (low-sodium, potassium management) that slow progression</w:t>
      </w:r>
    </w:p>
    <w:p>
      <w:pPr>
        <w:spacing w:before="0" w:after="0"/>
      </w:pPr>
      <w:r>
        <w:rPr>
          <w:sz w:val="24"/>
          <w:szCs w:val="24"/>
        </w:rPr>
        <w:t xml:space="preserve"/>
      </w:r>
    </w:p>
    <w:p>
      <w:pPr>
        <w:pStyle w:val="Heading3"/>
        <w:spacing w:before="0" w:after="0"/>
      </w:pPr>
      <w:r>
        <w:rPr/>
        <w:t xml:space="preserve">Cordance Solution</w:t>
      </w:r>
    </w:p>
    <w:p>
      <w:pPr>
        <w:spacing w:before="0" w:after="0"/>
      </w:pPr>
      <w:r>
        <w:rPr>
          <w:sz w:val="24"/>
          <w:szCs w:val="24"/>
        </w:rPr>
        <w:t xml:space="preserve"/>
      </w:r>
    </w:p>
    <w:p>
      <w:pPr>
        <w:pStyle w:val="Heading4"/>
        <w:spacing w:before="0" w:after="0"/>
      </w:pPr>
      <w:r>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Automatically identifies all patients with declining eGFR or new albuminuria</w:t>
      </w:r>
    </w:p>
    <w:p>
      <w:pPr>
        <w:pStyle w:val="ListParagraph"/>
        <w:numPr>
          <w:ilvl w:val="0"/>
          <w:numId w:val="1"/>
        </w:numPr>
        <w:spacing w:before="0" w:after="0"/>
      </w:pPr>
      <w:r>
        <w:rPr>
          <w:rFonts w:ascii="Arial" w:cs="Arial" w:eastAsia="Arial" w:hAnsi="Arial"/>
          <w:sz w:val="24"/>
          <w:szCs w:val="24"/>
        </w:rPr>
        <w:t xml:space="preserve">Creates prioritized list based on CKD stage, rate of progression, and diabetes/cardiovascular comorbidities</w:t>
      </w:r>
    </w:p>
    <w:p>
      <w:pPr>
        <w:pStyle w:val="ListParagraph"/>
        <w:numPr>
          <w:ilvl w:val="0"/>
          <w:numId w:val="1"/>
        </w:numPr>
        <w:spacing w:before="0" w:after="0"/>
      </w:pPr>
      <w:r>
        <w:rPr>
          <w:rFonts w:ascii="Arial" w:cs="Arial" w:eastAsia="Arial" w:hAnsi="Arial"/>
          <w:sz w:val="24"/>
          <w:szCs w:val="24"/>
        </w:rPr>
        <w:t xml:space="preserve">Pre-loads all relevant data: eGFR trend over 6-12 months; urine albumin/creatinine ratio; electrolytes (K+, phosphorus); blood pressure trends; current medications with renal contraindications</w:t>
      </w:r>
    </w:p>
    <w:p>
      <w:pPr>
        <w:pStyle w:val="ListParagraph"/>
        <w:numPr>
          <w:ilvl w:val="0"/>
          <w:numId w:val="1"/>
        </w:numPr>
        <w:spacing w:before="0" w:after="0"/>
      </w:pPr>
      <w:r>
        <w:rPr>
          <w:rFonts w:ascii="Arial" w:cs="Arial" w:eastAsia="Arial" w:hAnsi="Arial"/>
          <w:sz w:val="24"/>
          <w:szCs w:val="24"/>
        </w:rPr>
        <w:t xml:space="preserve">Flags medications requiring dose adjustment or discontinuation based on current eGFR</w:t>
      </w:r>
    </w:p>
    <w:p>
      <w:pPr>
        <w:spacing w:before="0" w:after="0"/>
      </w:pPr>
      <w:r>
        <w:rPr>
          <w:sz w:val="24"/>
          <w:szCs w:val="24"/>
        </w:rPr>
        <w:t xml:space="preserve"/>
      </w:r>
    </w:p>
    <w:p>
      <w:pPr>
        <w:pStyle w:val="Heading4"/>
        <w:spacing w:before="0" w:after="0"/>
      </w:pPr>
      <w:r>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CKD dashboard with current status: CKD stage (G1-G5 based on eGFR) and albuminuria category (A1-A3); eGFR trajectory (stable vs declining); risk category (low, moderate, high, very high risk of progression)</w:t>
      </w:r>
    </w:p>
    <w:p>
      <w:pPr>
        <w:pStyle w:val="ListParagraph"/>
        <w:numPr>
          <w:ilvl w:val="0"/>
          <w:numId w:val="1"/>
        </w:numPr>
        <w:spacing w:before="0" w:after="0"/>
      </w:pPr>
      <w:r>
        <w:rPr>
          <w:rFonts w:ascii="Arial" w:cs="Arial" w:eastAsia="Arial" w:hAnsi="Arial"/>
          <w:sz w:val="24"/>
          <w:szCs w:val="24"/>
        </w:rPr>
        <w:t xml:space="preserve">SGLT2 inhibitor recommendation for all CKD patients (diabetic and non-diabetic): dapagliflozin or empagliflozin reduce eGFR decline from -4.7 to -3.5 mL/min/1.73m²/year</w:t>
      </w:r>
      <w:r>
        <w:rPr>
          <w:rFonts w:ascii="Arial" w:cs="Arial" w:eastAsia="Arial" w:hAnsi="Arial"/>
          <w:sz w:val="24"/>
          <w:szCs w:val="24"/>
          <w:vertAlign w:val="superscript"/>
        </w:rPr>
        <w:t xml:space="preserve">[17]</w:t>
      </w:r>
    </w:p>
    <w:p>
      <w:pPr>
        <w:pStyle w:val="ListParagraph"/>
        <w:numPr>
          <w:ilvl w:val="0"/>
          <w:numId w:val="1"/>
        </w:numPr>
        <w:spacing w:before="0" w:after="0"/>
      </w:pPr>
      <w:r>
        <w:rPr>
          <w:rFonts w:ascii="Arial" w:cs="Arial" w:eastAsia="Arial" w:hAnsi="Arial"/>
          <w:sz w:val="24"/>
          <w:szCs w:val="24"/>
        </w:rPr>
        <w:t xml:space="preserve">Blood pressure target: &lt;130/80 with ACE-I or ARB as first-line (unless contraindicated)</w:t>
      </w:r>
    </w:p>
    <w:p>
      <w:pPr>
        <w:pStyle w:val="ListParagraph"/>
        <w:numPr>
          <w:ilvl w:val="0"/>
          <w:numId w:val="1"/>
        </w:numPr>
        <w:spacing w:before="0" w:after="0"/>
      </w:pPr>
      <w:r>
        <w:rPr>
          <w:rFonts w:ascii="Arial" w:cs="Arial" w:eastAsia="Arial" w:hAnsi="Arial"/>
          <w:sz w:val="24"/>
          <w:szCs w:val="24"/>
        </w:rPr>
        <w:t xml:space="preserve">Medication safety alerts: flags metformin if eGFR &lt;30; NSAIDs if any CKD; inappropriate doses of renally-cleared medications</w:t>
      </w:r>
    </w:p>
    <w:p>
      <w:pPr>
        <w:pStyle w:val="ListParagraph"/>
        <w:numPr>
          <w:ilvl w:val="0"/>
          <w:numId w:val="1"/>
        </w:numPr>
        <w:spacing w:before="0" w:after="0"/>
      </w:pPr>
      <w:r>
        <w:rPr>
          <w:rFonts w:ascii="Arial" w:cs="Arial" w:eastAsia="Arial" w:hAnsi="Arial"/>
          <w:sz w:val="24"/>
          <w:szCs w:val="24"/>
        </w:rPr>
        <w:t xml:space="preserve">Nephrology referral triggers: eGFR &lt;30 (stage 4); rapid decline (&gt;5 mL/min/year); resistant hypertension; unexplained hematuria; refractory hyperkalemia</w:t>
      </w:r>
    </w:p>
    <w:p>
      <w:pPr>
        <w:pStyle w:val="ListParagraph"/>
        <w:numPr>
          <w:ilvl w:val="0"/>
          <w:numId w:val="1"/>
        </w:numPr>
        <w:spacing w:before="0" w:after="0"/>
      </w:pPr>
      <w:r>
        <w:rPr>
          <w:rFonts w:ascii="Arial" w:cs="Arial" w:eastAsia="Arial" w:hAnsi="Arial"/>
          <w:sz w:val="24"/>
          <w:szCs w:val="24"/>
        </w:rPr>
        <w:t xml:space="preserve">Generates one-click orders: SGLT2i prescription with prior authorization; dietary referral (renal diet); urine albumin/creatinine follow-up in 3-6 months</w:t>
      </w:r>
    </w:p>
    <w:p>
      <w:pPr>
        <w:spacing w:before="0" w:after="0"/>
      </w:pPr>
      <w:r>
        <w:rPr>
          <w:sz w:val="24"/>
          <w:szCs w:val="24"/>
        </w:rPr>
        <w:t xml:space="preserve"/>
      </w:r>
    </w:p>
    <w:p>
      <w:pPr>
        <w:pStyle w:val="Heading4"/>
        <w:spacing w:before="0" w:after="0"/>
      </w:pPr>
      <w:r>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Automatically submits prior authorization for SGLT2i with structured clinical justification including CKD stage and albuminuria</w:t>
      </w:r>
    </w:p>
    <w:p>
      <w:pPr>
        <w:pStyle w:val="ListParagraph"/>
        <w:numPr>
          <w:ilvl w:val="0"/>
          <w:numId w:val="1"/>
        </w:numPr>
        <w:spacing w:before="0" w:after="0"/>
      </w:pPr>
      <w:r>
        <w:rPr>
          <w:rFonts w:ascii="Arial" w:cs="Arial" w:eastAsia="Arial" w:hAnsi="Arial"/>
          <w:sz w:val="24"/>
          <w:szCs w:val="24"/>
        </w:rPr>
        <w:t xml:space="preserve">Schedules nephrology referral if indicated with pre-populated consultation note</w:t>
      </w:r>
    </w:p>
    <w:p>
      <w:pPr>
        <w:pStyle w:val="ListParagraph"/>
        <w:numPr>
          <w:ilvl w:val="0"/>
          <w:numId w:val="1"/>
        </w:numPr>
        <w:spacing w:before="0" w:after="0"/>
      </w:pPr>
      <w:r>
        <w:rPr>
          <w:rFonts w:ascii="Arial" w:cs="Arial" w:eastAsia="Arial" w:hAnsi="Arial"/>
          <w:sz w:val="24"/>
          <w:szCs w:val="24"/>
        </w:rPr>
        <w:t xml:space="preserve">Sends patient education on CKD: what it means, how to slow progression, dietary modifications, medication adherence</w:t>
      </w:r>
    </w:p>
    <w:p>
      <w:pPr>
        <w:pStyle w:val="ListParagraph"/>
        <w:numPr>
          <w:ilvl w:val="0"/>
          <w:numId w:val="1"/>
        </w:numPr>
        <w:spacing w:before="0" w:after="0"/>
      </w:pPr>
      <w:r>
        <w:rPr>
          <w:rFonts w:ascii="Arial" w:cs="Arial" w:eastAsia="Arial" w:hAnsi="Arial"/>
          <w:sz w:val="24"/>
          <w:szCs w:val="24"/>
        </w:rPr>
        <w:t xml:space="preserve">Triggers pharmacy alert to discontinue or adjust renally-cleared medications</w:t>
      </w:r>
    </w:p>
    <w:p>
      <w:pPr>
        <w:pStyle w:val="ListParagraph"/>
        <w:numPr>
          <w:ilvl w:val="0"/>
          <w:numId w:val="1"/>
        </w:numPr>
        <w:spacing w:before="0" w:after="0"/>
      </w:pPr>
      <w:r>
        <w:rPr>
          <w:rFonts w:ascii="Arial" w:cs="Arial" w:eastAsia="Arial" w:hAnsi="Arial"/>
          <w:sz w:val="24"/>
          <w:szCs w:val="24"/>
        </w:rPr>
        <w:t xml:space="preserve">Creates follow-up reminder: 3-6 months for eGFR and electrolyte recheck after SGLT2i initiation</w:t>
      </w:r>
    </w:p>
    <w:p>
      <w:pPr>
        <w:spacing w:before="0" w:after="0"/>
      </w:pPr>
      <w:r>
        <w:rPr>
          <w:sz w:val="24"/>
          <w:szCs w:val="24"/>
        </w:rPr>
        <w:t xml:space="preserve"/>
      </w:r>
    </w:p>
    <w:p>
      <w:pPr>
        <w:pStyle w:val="Heading3"/>
        <w:spacing w:before="0" w:after="0"/>
      </w:pPr>
      <w:r>
        <w:rPr/>
        <w:t xml:space="preserve">Impact on Three Pillars</w:t>
      </w:r>
    </w:p>
    <w:p>
      <w:pPr>
        <w:spacing w:before="0" w:after="0"/>
      </w:pPr>
      <w:r>
        <w:rPr>
          <w:sz w:val="24"/>
          <w:szCs w:val="24"/>
        </w:rPr>
        <w:t xml:space="preserve"/>
      </w:r>
    </w:p>
    <w:p>
      <w:pPr>
        <w:pStyle w:val="Heading4"/>
        <w:spacing w:before="0" w:after="0"/>
      </w:pPr>
      <w:r>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SGLT2i reduces CKD progression by 39%, delaying or preventing ESRD requiring dialysis at $76,969 annually</w:t>
      </w:r>
      <w:r>
        <w:rPr>
          <w:rFonts w:ascii="Arial" w:cs="Arial" w:eastAsia="Arial" w:hAnsi="Arial"/>
          <w:sz w:val="24"/>
          <w:szCs w:val="24"/>
          <w:vertAlign w:val="superscript"/>
        </w:rPr>
        <w:t xml:space="preserve">[18]</w:t>
      </w:r>
    </w:p>
    <w:p>
      <w:pPr>
        <w:pStyle w:val="ListParagraph"/>
        <w:numPr>
          <w:ilvl w:val="0"/>
          <w:numId w:val="1"/>
        </w:numPr>
        <w:spacing w:before="0" w:after="0"/>
      </w:pPr>
      <w:r>
        <w:rPr>
          <w:rFonts w:ascii="Arial" w:cs="Arial" w:eastAsia="Arial" w:hAnsi="Arial"/>
          <w:sz w:val="24"/>
          <w:szCs w:val="24"/>
        </w:rPr>
        <w:t xml:space="preserve">Prevention of 10-15 ESRD cases per 100 CKD patients saves $2M-$5M for the health system</w:t>
      </w:r>
      <w:r>
        <w:rPr>
          <w:rFonts w:ascii="Arial" w:cs="Arial" w:eastAsia="Arial" w:hAnsi="Arial"/>
          <w:sz w:val="24"/>
          <w:szCs w:val="24"/>
          <w:vertAlign w:val="superscript"/>
        </w:rPr>
        <w:t xml:space="preserve">[19]</w:t>
      </w:r>
    </w:p>
    <w:p>
      <w:pPr>
        <w:pStyle w:val="ListParagraph"/>
        <w:numPr>
          <w:ilvl w:val="0"/>
          <w:numId w:val="1"/>
        </w:numPr>
        <w:spacing w:before="0" w:after="0"/>
      </w:pPr>
      <w:r>
        <w:rPr>
          <w:rFonts w:ascii="Arial" w:cs="Arial" w:eastAsia="Arial" w:hAnsi="Arial"/>
          <w:sz w:val="24"/>
          <w:szCs w:val="24"/>
        </w:rPr>
        <w:t xml:space="preserve">Early nephrology referral enables timely vascular access planning, reducing urgent dialysis catheter costs</w:t>
      </w:r>
    </w:p>
    <w:p>
      <w:pPr>
        <w:pStyle w:val="ListParagraph"/>
        <w:numPr>
          <w:ilvl w:val="0"/>
          <w:numId w:val="1"/>
        </w:numPr>
        <w:spacing w:before="0" w:after="0"/>
      </w:pPr>
      <w:r>
        <w:rPr>
          <w:rFonts w:ascii="Arial" w:cs="Arial" w:eastAsia="Arial" w:hAnsi="Arial"/>
          <w:sz w:val="24"/>
          <w:szCs w:val="24"/>
        </w:rPr>
        <w:t xml:space="preserve">Captures CMS quality bonuses for CKD screening and blood pressure control</w:t>
      </w:r>
    </w:p>
    <w:p>
      <w:pPr>
        <w:pStyle w:val="ListParagraph"/>
        <w:numPr>
          <w:ilvl w:val="0"/>
          <w:numId w:val="1"/>
        </w:numPr>
        <w:spacing w:before="0" w:after="0"/>
      </w:pPr>
      <w:r>
        <w:rPr>
          <w:rFonts w:ascii="Arial" w:cs="Arial" w:eastAsia="Arial" w:hAnsi="Arial"/>
          <w:sz w:val="24"/>
          <w:szCs w:val="24"/>
        </w:rPr>
        <w:t xml:space="preserve">Estimated financial impact: $150K-$250K annually per PCP through ESRD prevention and complication avoidance</w:t>
      </w:r>
    </w:p>
    <w:p>
      <w:pPr>
        <w:spacing w:before="0" w:after="0"/>
      </w:pPr>
      <w:r>
        <w:rPr>
          <w:sz w:val="24"/>
          <w:szCs w:val="24"/>
        </w:rPr>
        <w:t xml:space="preserve"/>
      </w:r>
    </w:p>
    <w:p>
      <w:pPr>
        <w:pStyle w:val="Heading4"/>
        <w:spacing w:before="0" w:after="0"/>
      </w:pPr>
      <w:r>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SGLT2i reduces composite outcome of sustained eGFR decline ≥50%, ESKD, or renal/CV death by 39% (HR 0.61)</w:t>
      </w:r>
      <w:r>
        <w:rPr>
          <w:rFonts w:ascii="Arial" w:cs="Arial" w:eastAsia="Arial" w:hAnsi="Arial"/>
          <w:sz w:val="24"/>
          <w:szCs w:val="24"/>
          <w:vertAlign w:val="superscript"/>
        </w:rPr>
        <w:t xml:space="preserve">[20]</w:t>
      </w:r>
    </w:p>
    <w:p>
      <w:pPr>
        <w:pStyle w:val="ListParagraph"/>
        <w:numPr>
          <w:ilvl w:val="0"/>
          <w:numId w:val="1"/>
        </w:numPr>
        <w:spacing w:before="0" w:after="0"/>
      </w:pPr>
      <w:r>
        <w:rPr>
          <w:rFonts w:ascii="Arial" w:cs="Arial" w:eastAsia="Arial" w:hAnsi="Arial"/>
          <w:sz w:val="24"/>
          <w:szCs w:val="24"/>
        </w:rPr>
        <w:t xml:space="preserve">Automated renal dosing prevents adverse drug events from medication accumulation</w:t>
      </w:r>
    </w:p>
    <w:p>
      <w:pPr>
        <w:pStyle w:val="ListParagraph"/>
        <w:numPr>
          <w:ilvl w:val="0"/>
          <w:numId w:val="1"/>
        </w:numPr>
        <w:spacing w:before="0" w:after="0"/>
      </w:pPr>
      <w:r>
        <w:rPr>
          <w:rFonts w:ascii="Arial" w:cs="Arial" w:eastAsia="Arial" w:hAnsi="Arial"/>
          <w:sz w:val="24"/>
          <w:szCs w:val="24"/>
        </w:rPr>
        <w:t xml:space="preserve">Early detection enables dietary and lifestyle interventions when most effective</w:t>
      </w:r>
    </w:p>
    <w:p>
      <w:pPr>
        <w:pStyle w:val="ListParagraph"/>
        <w:numPr>
          <w:ilvl w:val="0"/>
          <w:numId w:val="1"/>
        </w:numPr>
        <w:spacing w:before="0" w:after="0"/>
      </w:pPr>
      <w:r>
        <w:rPr>
          <w:rFonts w:ascii="Arial" w:cs="Arial" w:eastAsia="Arial" w:hAnsi="Arial"/>
          <w:sz w:val="24"/>
          <w:szCs w:val="24"/>
        </w:rPr>
        <w:t xml:space="preserve">Systematic screening identifies asymptomatic CKD before irreversible damage</w:t>
      </w:r>
    </w:p>
    <w:p>
      <w:pPr>
        <w:spacing w:before="0" w:after="0"/>
      </w:pPr>
      <w:r>
        <w:rPr>
          <w:sz w:val="24"/>
          <w:szCs w:val="24"/>
        </w:rPr>
        <w:t xml:space="preserve"/>
      </w:r>
    </w:p>
    <w:p>
      <w:pPr>
        <w:pStyle w:val="Heading4"/>
        <w:spacing w:before="0" w:after="0"/>
      </w:pPr>
      <w:r>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identification of all CKD patients across entire practice through automated eGFR monitoring</w:t>
      </w:r>
    </w:p>
    <w:p>
      <w:pPr>
        <w:pStyle w:val="ListParagraph"/>
        <w:numPr>
          <w:ilvl w:val="0"/>
          <w:numId w:val="1"/>
        </w:numPr>
        <w:spacing w:before="0" w:after="0"/>
      </w:pPr>
      <w:r>
        <w:rPr>
          <w:rFonts w:ascii="Arial" w:cs="Arial" w:eastAsia="Arial" w:hAnsi="Arial"/>
          <w:sz w:val="24"/>
          <w:szCs w:val="24"/>
        </w:rPr>
        <w:t xml:space="preserve">Reduces disparities by ensuring all patients offered evidence-based SGLT2i therapy</w:t>
      </w:r>
    </w:p>
    <w:p>
      <w:pPr>
        <w:pStyle w:val="ListParagraph"/>
        <w:numPr>
          <w:ilvl w:val="0"/>
          <w:numId w:val="1"/>
        </w:numPr>
        <w:spacing w:before="0" w:after="0"/>
      </w:pPr>
      <w:r>
        <w:rPr>
          <w:rFonts w:ascii="Arial" w:cs="Arial" w:eastAsia="Arial" w:hAnsi="Arial"/>
          <w:sz w:val="24"/>
          <w:szCs w:val="24"/>
        </w:rPr>
        <w:t xml:space="preserve">Enables proactive population management with panel-level CKD registry</w:t>
      </w:r>
    </w:p>
    <w:p>
      <w:pPr>
        <w:pStyle w:val="ListParagraph"/>
        <w:numPr>
          <w:ilvl w:val="0"/>
          <w:numId w:val="1"/>
        </w:numPr>
        <w:spacing w:before="0" w:after="0"/>
      </w:pPr>
      <w:r>
        <w:rPr>
          <w:rFonts w:ascii="Arial" w:cs="Arial" w:eastAsia="Arial" w:hAnsi="Arial"/>
          <w:sz w:val="24"/>
          <w:szCs w:val="24"/>
        </w:rPr>
        <w:t xml:space="preserve">Timely nephrology referral improves access to transplant evaluation and pre-emptive transplant</w:t>
      </w:r>
    </w:p>
    <w:p>
      <w:pPr>
        <w:pStyle w:val="ListParagraph"/>
        <w:numPr>
          <w:ilvl w:val="0"/>
          <w:numId w:val="1"/>
        </w:numPr>
        <w:spacing w:before="0" w:after="0"/>
      </w:pPr>
      <w:r>
        <w:rPr>
          <w:rFonts w:ascii="Arial" w:cs="Arial" w:eastAsia="Arial" w:hAnsi="Arial"/>
          <w:sz w:val="24"/>
          <w:szCs w:val="24"/>
        </w:rPr>
        <w:t xml:space="preserve">Estimated impact: 60-70% of CKD patients on SGLT2i, 30-40% reduction in CKD progression rate</w:t>
      </w:r>
    </w:p>
    <w:p>
      <w:pPr>
        <w:spacing w:before="0" w:after="0"/>
      </w:pPr>
      <w:r>
        <w:rPr>
          <w:sz w:val="24"/>
          <w:szCs w:val="24"/>
        </w:rPr>
        <w:t xml:space="preserve"/>
      </w:r>
    </w:p>
    <w:p>
      <w:pPr>
        <w:pStyle w:val="Heading3"/>
        <w:spacing w:before="0" w:after="0"/>
      </w:pPr>
      <w:r>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cognitive burden of tracking eGFR trends across large patient panels</w:t>
      </w:r>
    </w:p>
    <w:p>
      <w:pPr>
        <w:pStyle w:val="ListParagraph"/>
        <w:numPr>
          <w:ilvl w:val="0"/>
          <w:numId w:val="1"/>
        </w:numPr>
        <w:spacing w:before="0" w:after="0"/>
      </w:pPr>
      <w:r>
        <w:rPr>
          <w:rFonts w:ascii="Arial" w:cs="Arial" w:eastAsia="Arial" w:hAnsi="Arial"/>
          <w:sz w:val="24"/>
          <w:szCs w:val="24"/>
        </w:rPr>
        <w:t xml:space="preserve">Automated medication safety checks prevent renal dosing errors</w:t>
      </w:r>
    </w:p>
    <w:p>
      <w:pPr>
        <w:pStyle w:val="ListParagraph"/>
        <w:numPr>
          <w:ilvl w:val="0"/>
          <w:numId w:val="1"/>
        </w:numPr>
        <w:spacing w:before="0" w:after="0"/>
      </w:pPr>
      <w:r>
        <w:rPr>
          <w:rFonts w:ascii="Arial" w:cs="Arial" w:eastAsia="Arial" w:hAnsi="Arial"/>
          <w:sz w:val="24"/>
          <w:szCs w:val="24"/>
        </w:rPr>
        <w:t xml:space="preserve">Clear nephrology referral criteria remove uncertainty about timing</w:t>
      </w:r>
    </w:p>
    <w:p>
      <w:pPr>
        <w:pStyle w:val="ListParagraph"/>
        <w:numPr>
          <w:ilvl w:val="0"/>
          <w:numId w:val="1"/>
        </w:numPr>
        <w:spacing w:before="0" w:after="0"/>
      </w:pPr>
      <w:r>
        <w:rPr>
          <w:rFonts w:ascii="Arial" w:cs="Arial" w:eastAsia="Arial" w:hAnsi="Arial"/>
          <w:sz w:val="24"/>
          <w:szCs w:val="24"/>
        </w:rPr>
        <w:t xml:space="preserve">SGLT2i prior authorization automation saves 30-45 minutes per patient</w:t>
      </w:r>
    </w:p>
    <w:p>
      <w:pPr>
        <w:pStyle w:val="ListParagraph"/>
        <w:numPr>
          <w:ilvl w:val="0"/>
          <w:numId w:val="1"/>
        </w:numPr>
        <w:spacing w:before="0" w:after="0"/>
      </w:pPr>
      <w:r>
        <w:rPr>
          <w:rFonts w:ascii="Arial" w:cs="Arial" w:eastAsia="Arial" w:hAnsi="Arial"/>
          <w:sz w:val="24"/>
          <w:szCs w:val="24"/>
        </w:rPr>
        <w:t xml:space="preserve">Protects against malpractice by documenting evidence-based CKD management</w:t>
      </w:r>
    </w:p>
    <w:p>
      <w:pPr>
        <w:spacing w:before="0" w:after="0"/>
      </w:pPr>
      <w:r>
        <w:rPr>
          <w:sz w:val="24"/>
          <w:szCs w:val="24"/>
        </w:rPr>
        <w:t xml:space="preserve"/>
      </w:r>
    </w:p>
    <w:p>
      <w:pPr>
        <w:pStyle w:val="Heading3"/>
        <w:spacing w:before="0" w:after="0"/>
      </w:pPr>
      <w:r>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EHR integration to pull eGFR and albuminuria data with automated trend analysis</w:t>
      </w:r>
    </w:p>
    <w:p>
      <w:pPr>
        <w:pStyle w:val="ListParagraph"/>
        <w:numPr>
          <w:ilvl w:val="0"/>
          <w:numId w:val="1"/>
        </w:numPr>
        <w:spacing w:before="0" w:after="0"/>
      </w:pPr>
      <w:r>
        <w:rPr>
          <w:rFonts w:ascii="Arial" w:cs="Arial" w:eastAsia="Arial" w:hAnsi="Arial"/>
          <w:sz w:val="24"/>
          <w:szCs w:val="24"/>
        </w:rPr>
        <w:t xml:space="preserve">Medication database with renal dosing adjustments for all commonly prescribed drugs</w:t>
      </w:r>
    </w:p>
    <w:p>
      <w:pPr>
        <w:pStyle w:val="ListParagraph"/>
        <w:numPr>
          <w:ilvl w:val="0"/>
          <w:numId w:val="1"/>
        </w:numPr>
        <w:spacing w:before="0" w:after="0"/>
      </w:pPr>
      <w:r>
        <w:rPr>
          <w:rFonts w:ascii="Arial" w:cs="Arial" w:eastAsia="Arial" w:hAnsi="Arial"/>
          <w:sz w:val="24"/>
          <w:szCs w:val="24"/>
        </w:rPr>
        <w:t xml:space="preserve">Nephrology referral workflow with templated consultation requests</w:t>
      </w:r>
    </w:p>
    <w:p>
      <w:pPr>
        <w:pStyle w:val="ListParagraph"/>
        <w:numPr>
          <w:ilvl w:val="0"/>
          <w:numId w:val="1"/>
        </w:numPr>
        <w:spacing w:before="0" w:after="0"/>
      </w:pPr>
      <w:r>
        <w:rPr>
          <w:rFonts w:ascii="Arial" w:cs="Arial" w:eastAsia="Arial" w:hAnsi="Arial"/>
          <w:sz w:val="24"/>
          <w:szCs w:val="24"/>
        </w:rPr>
        <w:t xml:space="preserve">Patient portal integration for CKD education and dietary resources</w:t>
      </w:r>
    </w:p>
    <w:p>
      <w:pPr>
        <w:spacing w:before="0" w:after="0"/>
      </w:pPr>
      <w:r>
        <w:rPr>
          <w:sz w:val="24"/>
          <w:szCs w:val="24"/>
        </w:rPr>
        <w:t xml:space="preserve"/>
      </w:r>
    </w:p>
    <w:p>
      <w:pPr>
        <w:pStyle w:val="Heading2"/>
        <w:spacing w:before="0" w:after="0"/>
      </w:pPr>
      <w:r>
        <w:rPr/>
        <w:t xml:space="preserve">USE CASE 4: Polypharmacy Optimization and Deprescribing in Older Adults</w:t>
      </w:r>
    </w:p>
    <w:p>
      <w:pPr>
        <w:spacing w:before="0" w:after="0"/>
      </w:pPr>
      <w:r>
        <w:rPr>
          <w:sz w:val="24"/>
          <w:szCs w:val="24"/>
        </w:rPr>
        <w:t xml:space="preserve"/>
      </w:r>
    </w:p>
    <w:p>
      <w:pPr>
        <w:pStyle w:val="Heading3"/>
        <w:spacing w:before="0" w:after="0"/>
      </w:pPr>
      <w:r>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78-year-old patient presents for follow-up on 14 medications. They've had two falls in the past 6 months, complain of dizziness and dry mouth, and report difficulty affording medications. Their medication list includes three anticholinergic drugs (diphenhydramine for sleep, oxybutynin for overactive bladder, amitriptyline for neuropathy), a benzodiazepine (lorazepam), and duplicate antihypertensives causing hypotension.</w:t>
      </w:r>
    </w:p>
    <w:p>
      <w:pPr>
        <w:spacing w:before="0" w:after="0"/>
      </w:pPr>
      <w:r>
        <w:rPr>
          <w:sz w:val="24"/>
          <w:szCs w:val="24"/>
        </w:rPr>
        <w:t xml:space="preserve"/>
      </w:r>
    </w:p>
    <w:p>
      <w:pPr>
        <w:pStyle w:val="Heading3"/>
        <w:spacing w:before="0" w:after="0"/>
      </w:pPr>
      <w:r>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Polypharmacy (≥5 medications) affects &gt;40% of older adults and is a leading cause of adverse drug reactions</w:t>
      </w:r>
      <w:r>
        <w:rPr>
          <w:rFonts w:ascii="Arial" w:cs="Arial" w:eastAsia="Arial" w:hAnsi="Arial"/>
          <w:sz w:val="24"/>
          <w:szCs w:val="24"/>
          <w:vertAlign w:val="superscript"/>
        </w:rPr>
        <w:t xml:space="preserve">[21]</w:t>
      </w:r>
    </w:p>
    <w:p>
      <w:pPr>
        <w:pStyle w:val="ListParagraph"/>
        <w:numPr>
          <w:ilvl w:val="0"/>
          <w:numId w:val="1"/>
        </w:numPr>
        <w:spacing w:before="0" w:after="0"/>
      </w:pPr>
      <w:r>
        <w:rPr>
          <w:rFonts w:ascii="Arial" w:cs="Arial" w:eastAsia="Arial" w:hAnsi="Arial"/>
          <w:sz w:val="24"/>
          <w:szCs w:val="24"/>
        </w:rPr>
        <w:t xml:space="preserve">Beers Criteria lists potentially inappropriate medications (PIMs) in older adults, but manual review is time-consuming</w:t>
      </w:r>
      <w:r>
        <w:rPr>
          <w:rFonts w:ascii="Arial" w:cs="Arial" w:eastAsia="Arial" w:hAnsi="Arial"/>
          <w:sz w:val="24"/>
          <w:szCs w:val="24"/>
          <w:vertAlign w:val="superscript"/>
        </w:rPr>
        <w:t xml:space="preserve">[22]</w:t>
      </w:r>
    </w:p>
    <w:p>
      <w:pPr>
        <w:pStyle w:val="ListParagraph"/>
        <w:numPr>
          <w:ilvl w:val="0"/>
          <w:numId w:val="1"/>
        </w:numPr>
        <w:spacing w:before="0" w:after="0"/>
      </w:pPr>
      <w:r>
        <w:rPr>
          <w:rFonts w:ascii="Arial" w:cs="Arial" w:eastAsia="Arial" w:hAnsi="Arial"/>
          <w:sz w:val="24"/>
          <w:szCs w:val="24"/>
        </w:rPr>
        <w:t xml:space="preserve">Anticholinergic burden and fall risk difficult to calculate without automated tools</w:t>
      </w:r>
    </w:p>
    <w:p>
      <w:pPr>
        <w:pStyle w:val="ListParagraph"/>
        <w:numPr>
          <w:ilvl w:val="0"/>
          <w:numId w:val="1"/>
        </w:numPr>
        <w:spacing w:before="0" w:after="0"/>
      </w:pPr>
      <w:r>
        <w:rPr>
          <w:rFonts w:ascii="Arial" w:cs="Arial" w:eastAsia="Arial" w:hAnsi="Arial"/>
          <w:sz w:val="24"/>
          <w:szCs w:val="24"/>
        </w:rPr>
        <w:t xml:space="preserve">Deprescribing requires complex risk-benefit analysis that's challenging in busy primary care</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Anticholinergic drugs increase fall risk: each Level 2 drug increases fall/injury hazard by 56% (HR 1.56)</w:t>
      </w:r>
      <w:r>
        <w:rPr>
          <w:rFonts w:ascii="Arial" w:cs="Arial" w:eastAsia="Arial" w:hAnsi="Arial"/>
          <w:sz w:val="24"/>
          <w:szCs w:val="24"/>
          <w:vertAlign w:val="superscript"/>
        </w:rPr>
        <w:t xml:space="preserve">[23]</w:t>
      </w:r>
    </w:p>
    <w:p>
      <w:pPr>
        <w:pStyle w:val="ListParagraph"/>
        <w:numPr>
          <w:ilvl w:val="0"/>
          <w:numId w:val="1"/>
        </w:numPr>
        <w:spacing w:before="0" w:after="0"/>
      </w:pPr>
      <w:r>
        <w:rPr>
          <w:rFonts w:ascii="Arial" w:cs="Arial" w:eastAsia="Arial" w:hAnsi="Arial"/>
          <w:sz w:val="24"/>
          <w:szCs w:val="24"/>
        </w:rPr>
        <w:t xml:space="preserve">Hip fracture costs $30,000-$60,000 per event with significant mortality and morbidity</w:t>
      </w:r>
      <w:r>
        <w:rPr>
          <w:rFonts w:ascii="Arial" w:cs="Arial" w:eastAsia="Arial" w:hAnsi="Arial"/>
          <w:sz w:val="24"/>
          <w:szCs w:val="24"/>
          <w:vertAlign w:val="superscript"/>
        </w:rPr>
        <w:t xml:space="preserve">[24]</w:t>
      </w:r>
    </w:p>
    <w:p>
      <w:pPr>
        <w:pStyle w:val="ListParagraph"/>
        <w:numPr>
          <w:ilvl w:val="0"/>
          <w:numId w:val="1"/>
        </w:numPr>
        <w:spacing w:before="0" w:after="0"/>
      </w:pPr>
      <w:r>
        <w:rPr>
          <w:rFonts w:ascii="Arial" w:cs="Arial" w:eastAsia="Arial" w:hAnsi="Arial"/>
          <w:sz w:val="24"/>
          <w:szCs w:val="24"/>
        </w:rPr>
        <w:t xml:space="preserve">Medication costs create financial strain, leading to non-adherence to essential medications</w:t>
      </w:r>
    </w:p>
    <w:p>
      <w:pPr>
        <w:pStyle w:val="ListParagraph"/>
        <w:numPr>
          <w:ilvl w:val="0"/>
          <w:numId w:val="1"/>
        </w:numPr>
        <w:spacing w:before="0" w:after="0"/>
      </w:pPr>
      <w:r>
        <w:rPr>
          <w:rFonts w:ascii="Arial" w:cs="Arial" w:eastAsia="Arial" w:hAnsi="Arial"/>
          <w:sz w:val="24"/>
          <w:szCs w:val="24"/>
        </w:rPr>
        <w:t xml:space="preserve">Polypharmacy causes cognitive impairment, functional decline, and reduced quality of life</w:t>
      </w:r>
    </w:p>
    <w:p>
      <w:pPr>
        <w:spacing w:before="0" w:after="0"/>
      </w:pPr>
      <w:r>
        <w:rPr>
          <w:sz w:val="24"/>
          <w:szCs w:val="24"/>
        </w:rPr>
        <w:t xml:space="preserve"/>
      </w:r>
    </w:p>
    <w:p>
      <w:pPr>
        <w:pStyle w:val="Heading3"/>
        <w:spacing w:before="0" w:after="0"/>
      </w:pPr>
      <w:r>
        <w:rPr/>
        <w:t xml:space="preserve">Cordance Solution</w:t>
      </w:r>
    </w:p>
    <w:p>
      <w:pPr>
        <w:spacing w:before="0" w:after="0"/>
      </w:pPr>
      <w:r>
        <w:rPr>
          <w:sz w:val="24"/>
          <w:szCs w:val="24"/>
        </w:rPr>
        <w:t xml:space="preserve"/>
      </w:r>
    </w:p>
    <w:p>
      <w:pPr>
        <w:pStyle w:val="Heading4"/>
        <w:spacing w:before="0" w:after="0"/>
      </w:pPr>
      <w:r>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patients age ≥65 on ≥5 medications or with fall history</w:t>
      </w:r>
    </w:p>
    <w:p>
      <w:pPr>
        <w:pStyle w:val="ListParagraph"/>
        <w:numPr>
          <w:ilvl w:val="0"/>
          <w:numId w:val="1"/>
        </w:numPr>
        <w:spacing w:before="0" w:after="0"/>
      </w:pPr>
      <w:r>
        <w:rPr>
          <w:rFonts w:ascii="Arial" w:cs="Arial" w:eastAsia="Arial" w:hAnsi="Arial"/>
          <w:sz w:val="24"/>
          <w:szCs w:val="24"/>
        </w:rPr>
        <w:t xml:space="preserve">Creates prioritized list based on number of PIMs, anticholinergic burden score, recent falls, and medication cost burden</w:t>
      </w:r>
    </w:p>
    <w:p>
      <w:pPr>
        <w:pStyle w:val="ListParagraph"/>
        <w:numPr>
          <w:ilvl w:val="0"/>
          <w:numId w:val="1"/>
        </w:numPr>
        <w:spacing w:before="0" w:after="0"/>
      </w:pPr>
      <w:r>
        <w:rPr>
          <w:rFonts w:ascii="Arial" w:cs="Arial" w:eastAsia="Arial" w:hAnsi="Arial"/>
          <w:sz w:val="24"/>
          <w:szCs w:val="24"/>
        </w:rPr>
        <w:t xml:space="preserve">Pre-loads complete medication history including over-the-counter and supplements</w:t>
      </w:r>
    </w:p>
    <w:p>
      <w:pPr>
        <w:pStyle w:val="ListParagraph"/>
        <w:numPr>
          <w:ilvl w:val="0"/>
          <w:numId w:val="1"/>
        </w:numPr>
        <w:spacing w:before="0" w:after="0"/>
      </w:pPr>
      <w:r>
        <w:rPr>
          <w:rFonts w:ascii="Arial" w:cs="Arial" w:eastAsia="Arial" w:hAnsi="Arial"/>
          <w:sz w:val="24"/>
          <w:szCs w:val="24"/>
        </w:rPr>
        <w:t xml:space="preserve">Calculates anticholinergic cognitive burden (ACB) score automatically</w:t>
      </w:r>
    </w:p>
    <w:p>
      <w:pPr>
        <w:spacing w:before="0" w:after="0"/>
      </w:pPr>
      <w:r>
        <w:rPr>
          <w:sz w:val="24"/>
          <w:szCs w:val="24"/>
        </w:rPr>
        <w:t xml:space="preserve"/>
      </w:r>
    </w:p>
    <w:p>
      <w:pPr>
        <w:pStyle w:val="Heading4"/>
        <w:spacing w:before="0" w:after="0"/>
      </w:pPr>
      <w:r>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medication safety dashboard: total medication count; Beers Criteria PIMs identified; anticholinergic burden score (ACB 0 = none, 1 = mild, 2-3 = moderate, &gt;3 = severe); fall risk score; estimated monthly medication costs</w:t>
      </w:r>
      <w:r>
        <w:rPr>
          <w:rFonts w:ascii="Arial" w:cs="Arial" w:eastAsia="Arial" w:hAnsi="Arial"/>
          <w:sz w:val="24"/>
          <w:szCs w:val="24"/>
          <w:vertAlign w:val="superscript"/>
        </w:rPr>
        <w:t xml:space="preserve">[25]</w:t>
      </w:r>
    </w:p>
    <w:p>
      <w:pPr>
        <w:pStyle w:val="ListParagraph"/>
        <w:numPr>
          <w:ilvl w:val="0"/>
          <w:numId w:val="1"/>
        </w:numPr>
        <w:spacing w:before="0" w:after="0"/>
      </w:pPr>
      <w:r>
        <w:rPr>
          <w:rFonts w:ascii="Arial" w:cs="Arial" w:eastAsia="Arial" w:hAnsi="Arial"/>
          <w:sz w:val="24"/>
          <w:szCs w:val="24"/>
        </w:rPr>
        <w:t xml:space="preserve">Highlights specific PIMs with safer alternatives: diphenhydramine → melatonin or trazodone for sleep; oxybutynin → mirabegron (non-anticholinergic); amitriptyline → gabapentin or duloxetine; benzodiazepines → taper protocol with CBT referral; PPIs long-term → consider discontinuation trial</w:t>
      </w:r>
    </w:p>
    <w:p>
      <w:pPr>
        <w:pStyle w:val="ListParagraph"/>
        <w:numPr>
          <w:ilvl w:val="0"/>
          <w:numId w:val="1"/>
        </w:numPr>
        <w:spacing w:before="0" w:after="0"/>
      </w:pPr>
      <w:r>
        <w:rPr>
          <w:rFonts w:ascii="Arial" w:cs="Arial" w:eastAsia="Arial" w:hAnsi="Arial"/>
          <w:sz w:val="24"/>
          <w:szCs w:val="24"/>
        </w:rPr>
        <w:t xml:space="preserve">Deprescribing recommendations with evidence: medications to discontinue entirely; medications to dose-reduce; safer alternatives; estimated fall risk reduction</w:t>
      </w:r>
    </w:p>
    <w:p>
      <w:pPr>
        <w:pStyle w:val="ListParagraph"/>
        <w:numPr>
          <w:ilvl w:val="0"/>
          <w:numId w:val="1"/>
        </w:numPr>
        <w:spacing w:before="0" w:after="0"/>
      </w:pPr>
      <w:r>
        <w:rPr>
          <w:rFonts w:ascii="Arial" w:cs="Arial" w:eastAsia="Arial" w:hAnsi="Arial"/>
          <w:sz w:val="24"/>
          <w:szCs w:val="24"/>
        </w:rPr>
        <w:t xml:space="preserve">Cost savings calculation showing monthly savings from deprescribing or switching to generics</w:t>
      </w:r>
    </w:p>
    <w:p>
      <w:pPr>
        <w:pStyle w:val="ListParagraph"/>
        <w:numPr>
          <w:ilvl w:val="0"/>
          <w:numId w:val="1"/>
        </w:numPr>
        <w:spacing w:before="0" w:after="0"/>
      </w:pPr>
      <w:r>
        <w:rPr>
          <w:rFonts w:ascii="Arial" w:cs="Arial" w:eastAsia="Arial" w:hAnsi="Arial"/>
          <w:sz w:val="24"/>
          <w:szCs w:val="24"/>
        </w:rPr>
        <w:t xml:space="preserve">One-click deprescribing orders with patient-friendly taper schedules</w:t>
      </w:r>
    </w:p>
    <w:p>
      <w:pPr>
        <w:spacing w:before="0" w:after="0"/>
      </w:pPr>
      <w:r>
        <w:rPr>
          <w:sz w:val="24"/>
          <w:szCs w:val="24"/>
        </w:rPr>
        <w:t xml:space="preserve"/>
      </w:r>
    </w:p>
    <w:p>
      <w:pPr>
        <w:pStyle w:val="Heading4"/>
        <w:spacing w:before="0" w:after="0"/>
      </w:pPr>
      <w:r>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Generates patient-friendly deprescribing plan with rationale for each change</w:t>
      </w:r>
    </w:p>
    <w:p>
      <w:pPr>
        <w:pStyle w:val="ListParagraph"/>
        <w:numPr>
          <w:ilvl w:val="0"/>
          <w:numId w:val="1"/>
        </w:numPr>
        <w:spacing w:before="0" w:after="0"/>
      </w:pPr>
      <w:r>
        <w:rPr>
          <w:rFonts w:ascii="Arial" w:cs="Arial" w:eastAsia="Arial" w:hAnsi="Arial"/>
          <w:sz w:val="24"/>
          <w:szCs w:val="24"/>
        </w:rPr>
        <w:t xml:space="preserve">Sends pharmacy alert to discontinue medications and counsel patient on changes</w:t>
      </w:r>
    </w:p>
    <w:p>
      <w:pPr>
        <w:pStyle w:val="ListParagraph"/>
        <w:numPr>
          <w:ilvl w:val="0"/>
          <w:numId w:val="1"/>
        </w:numPr>
        <w:spacing w:before="0" w:after="0"/>
      </w:pPr>
      <w:r>
        <w:rPr>
          <w:rFonts w:ascii="Arial" w:cs="Arial" w:eastAsia="Arial" w:hAnsi="Arial"/>
          <w:sz w:val="24"/>
          <w:szCs w:val="24"/>
        </w:rPr>
        <w:t xml:space="preserve">Schedules follow-up in 2-4 weeks to assess tolerance and monitor for withdrawal symptoms</w:t>
      </w:r>
    </w:p>
    <w:p>
      <w:pPr>
        <w:pStyle w:val="ListParagraph"/>
        <w:numPr>
          <w:ilvl w:val="0"/>
          <w:numId w:val="1"/>
        </w:numPr>
        <w:spacing w:before="0" w:after="0"/>
      </w:pPr>
      <w:r>
        <w:rPr>
          <w:rFonts w:ascii="Arial" w:cs="Arial" w:eastAsia="Arial" w:hAnsi="Arial"/>
          <w:sz w:val="24"/>
          <w:szCs w:val="24"/>
        </w:rPr>
        <w:t xml:space="preserve">Triggers fall prevention program referral (physical therapy, home safety evaluation)</w:t>
      </w:r>
    </w:p>
    <w:p>
      <w:pPr>
        <w:pStyle w:val="ListParagraph"/>
        <w:numPr>
          <w:ilvl w:val="0"/>
          <w:numId w:val="1"/>
        </w:numPr>
        <w:spacing w:before="0" w:after="0"/>
      </w:pPr>
      <w:r>
        <w:rPr>
          <w:rFonts w:ascii="Arial" w:cs="Arial" w:eastAsia="Arial" w:hAnsi="Arial"/>
          <w:sz w:val="24"/>
          <w:szCs w:val="24"/>
        </w:rPr>
        <w:t xml:space="preserve">Creates medication reconciliation alert for next visit to reassess regimen</w:t>
      </w:r>
    </w:p>
    <w:p>
      <w:pPr>
        <w:spacing w:before="0" w:after="0"/>
      </w:pPr>
      <w:r>
        <w:rPr>
          <w:sz w:val="24"/>
          <w:szCs w:val="24"/>
        </w:rPr>
        <w:t xml:space="preserve"/>
      </w:r>
    </w:p>
    <w:p>
      <w:pPr>
        <w:pStyle w:val="Heading3"/>
        <w:spacing w:before="0" w:after="0"/>
      </w:pPr>
      <w:r>
        <w:rPr/>
        <w:t xml:space="preserve">Impact on Three Pillars</w:t>
      </w:r>
    </w:p>
    <w:p>
      <w:pPr>
        <w:spacing w:before="0" w:after="0"/>
      </w:pPr>
      <w:r>
        <w:rPr>
          <w:sz w:val="24"/>
          <w:szCs w:val="24"/>
        </w:rPr>
        <w:t xml:space="preserve"/>
      </w:r>
    </w:p>
    <w:p>
      <w:pPr>
        <w:pStyle w:val="Heading4"/>
        <w:spacing w:before="0" w:after="0"/>
      </w:pPr>
      <w:r>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Prevention of falls/fractures: reducing PIMs by 50% can prevent hip fractures costing $30K-$60K per event</w:t>
      </w:r>
      <w:r>
        <w:rPr>
          <w:rFonts w:ascii="Arial" w:cs="Arial" w:eastAsia="Arial" w:hAnsi="Arial"/>
          <w:sz w:val="24"/>
          <w:szCs w:val="24"/>
          <w:vertAlign w:val="superscript"/>
        </w:rPr>
        <w:t xml:space="preserve">[26]</w:t>
      </w:r>
    </w:p>
    <w:p>
      <w:pPr>
        <w:pStyle w:val="ListParagraph"/>
        <w:numPr>
          <w:ilvl w:val="0"/>
          <w:numId w:val="1"/>
        </w:numPr>
        <w:spacing w:before="0" w:after="0"/>
      </w:pPr>
      <w:r>
        <w:rPr>
          <w:rFonts w:ascii="Arial" w:cs="Arial" w:eastAsia="Arial" w:hAnsi="Arial"/>
          <w:sz w:val="24"/>
          <w:szCs w:val="24"/>
        </w:rPr>
        <w:t xml:space="preserve">Adverse drug events cost $7,000-$15,000 per event; deprescribing reduces ADE rate by 30-40%</w:t>
      </w:r>
      <w:r>
        <w:rPr>
          <w:rFonts w:ascii="Arial" w:cs="Arial" w:eastAsia="Arial" w:hAnsi="Arial"/>
          <w:sz w:val="24"/>
          <w:szCs w:val="24"/>
          <w:vertAlign w:val="superscript"/>
        </w:rPr>
        <w:t xml:space="preserve">[27]</w:t>
      </w:r>
    </w:p>
    <w:p>
      <w:pPr>
        <w:pStyle w:val="ListParagraph"/>
        <w:numPr>
          <w:ilvl w:val="0"/>
          <w:numId w:val="1"/>
        </w:numPr>
        <w:spacing w:before="0" w:after="0"/>
      </w:pPr>
      <w:r>
        <w:rPr>
          <w:rFonts w:ascii="Arial" w:cs="Arial" w:eastAsia="Arial" w:hAnsi="Arial"/>
          <w:sz w:val="24"/>
          <w:szCs w:val="24"/>
        </w:rPr>
        <w:t xml:space="preserve">Medication cost savings: $200-$400 per patient annually from discontinuing unnecessary medications</w:t>
      </w:r>
    </w:p>
    <w:p>
      <w:pPr>
        <w:pStyle w:val="ListParagraph"/>
        <w:numPr>
          <w:ilvl w:val="0"/>
          <w:numId w:val="1"/>
        </w:numPr>
        <w:spacing w:before="0" w:after="0"/>
      </w:pPr>
      <w:r>
        <w:rPr>
          <w:rFonts w:ascii="Arial" w:cs="Arial" w:eastAsia="Arial" w:hAnsi="Arial"/>
          <w:sz w:val="24"/>
          <w:szCs w:val="24"/>
        </w:rPr>
        <w:t xml:space="preserve">Reduces hospitalizations from drug-related adverse events by 20-30%</w:t>
      </w:r>
    </w:p>
    <w:p>
      <w:pPr>
        <w:pStyle w:val="ListParagraph"/>
        <w:numPr>
          <w:ilvl w:val="0"/>
          <w:numId w:val="1"/>
        </w:numPr>
        <w:spacing w:before="0" w:after="0"/>
      </w:pPr>
      <w:r>
        <w:rPr>
          <w:rFonts w:ascii="Arial" w:cs="Arial" w:eastAsia="Arial" w:hAnsi="Arial"/>
          <w:sz w:val="24"/>
          <w:szCs w:val="24"/>
        </w:rPr>
        <w:t xml:space="preserve">Estimated financial impact: $80K-$120K saved per 100 older adults through fall/fracture prevention and ADE reduction</w:t>
      </w:r>
    </w:p>
    <w:p>
      <w:pPr>
        <w:spacing w:before="0" w:after="0"/>
      </w:pPr>
      <w:r>
        <w:rPr>
          <w:sz w:val="24"/>
          <w:szCs w:val="24"/>
        </w:rPr>
        <w:t xml:space="preserve"/>
      </w:r>
    </w:p>
    <w:p>
      <w:pPr>
        <w:pStyle w:val="Heading4"/>
        <w:spacing w:before="0" w:after="0"/>
      </w:pPr>
      <w:r>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Reducing anticholinergic burden improves cognitive function and reduces delirium risk</w:t>
      </w:r>
      <w:r>
        <w:rPr>
          <w:rFonts w:ascii="Arial" w:cs="Arial" w:eastAsia="Arial" w:hAnsi="Arial"/>
          <w:sz w:val="24"/>
          <w:szCs w:val="24"/>
          <w:vertAlign w:val="superscript"/>
        </w:rPr>
        <w:t xml:space="preserve">[28]</w:t>
      </w:r>
    </w:p>
    <w:p>
      <w:pPr>
        <w:pStyle w:val="ListParagraph"/>
        <w:numPr>
          <w:ilvl w:val="0"/>
          <w:numId w:val="1"/>
        </w:numPr>
        <w:spacing w:before="0" w:after="0"/>
      </w:pPr>
      <w:r>
        <w:rPr>
          <w:rFonts w:ascii="Arial" w:cs="Arial" w:eastAsia="Arial" w:hAnsi="Arial"/>
          <w:sz w:val="24"/>
          <w:szCs w:val="24"/>
        </w:rPr>
        <w:t xml:space="preserve">Deprescribing PIMs reduces fall risk by 30-50% in high-risk older adults</w:t>
      </w:r>
      <w:r>
        <w:rPr>
          <w:rFonts w:ascii="Arial" w:cs="Arial" w:eastAsia="Arial" w:hAnsi="Arial"/>
          <w:sz w:val="24"/>
          <w:szCs w:val="24"/>
          <w:vertAlign w:val="superscript"/>
        </w:rPr>
        <w:t xml:space="preserve">[29]</w:t>
      </w:r>
    </w:p>
    <w:p>
      <w:pPr>
        <w:pStyle w:val="ListParagraph"/>
        <w:numPr>
          <w:ilvl w:val="0"/>
          <w:numId w:val="1"/>
        </w:numPr>
        <w:spacing w:before="0" w:after="0"/>
      </w:pPr>
      <w:r>
        <w:rPr>
          <w:rFonts w:ascii="Arial" w:cs="Arial" w:eastAsia="Arial" w:hAnsi="Arial"/>
          <w:sz w:val="24"/>
          <w:szCs w:val="24"/>
        </w:rPr>
        <w:t xml:space="preserve">Systematic medication review prevents drug-drug interactions and duplicate therapy</w:t>
      </w:r>
    </w:p>
    <w:p>
      <w:pPr>
        <w:pStyle w:val="ListParagraph"/>
        <w:numPr>
          <w:ilvl w:val="0"/>
          <w:numId w:val="1"/>
        </w:numPr>
        <w:spacing w:before="0" w:after="0"/>
      </w:pPr>
      <w:r>
        <w:rPr>
          <w:rFonts w:ascii="Arial" w:cs="Arial" w:eastAsia="Arial" w:hAnsi="Arial"/>
          <w:sz w:val="24"/>
          <w:szCs w:val="24"/>
        </w:rPr>
        <w:t xml:space="preserve">Improved medication affordability increases adherence to essential medications (statins, antihypertensives)</w:t>
      </w:r>
    </w:p>
    <w:p>
      <w:pPr>
        <w:spacing w:before="0" w:after="0"/>
      </w:pPr>
      <w:r>
        <w:rPr>
          <w:sz w:val="24"/>
          <w:szCs w:val="24"/>
        </w:rPr>
        <w:t xml:space="preserve"/>
      </w:r>
    </w:p>
    <w:p>
      <w:pPr>
        <w:pStyle w:val="Heading4"/>
        <w:spacing w:before="0" w:after="0"/>
      </w:pPr>
      <w:r>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identification of all older adults with polypharmacy across entire practice</w:t>
      </w:r>
    </w:p>
    <w:p>
      <w:pPr>
        <w:pStyle w:val="ListParagraph"/>
        <w:numPr>
          <w:ilvl w:val="0"/>
          <w:numId w:val="1"/>
        </w:numPr>
        <w:spacing w:before="0" w:after="0"/>
      </w:pPr>
      <w:r>
        <w:rPr>
          <w:rFonts w:ascii="Arial" w:cs="Arial" w:eastAsia="Arial" w:hAnsi="Arial"/>
          <w:sz w:val="24"/>
          <w:szCs w:val="24"/>
        </w:rPr>
        <w:t xml:space="preserve">Reduces health disparities by addressing medication cost barriers</w:t>
      </w:r>
    </w:p>
    <w:p>
      <w:pPr>
        <w:pStyle w:val="ListParagraph"/>
        <w:numPr>
          <w:ilvl w:val="0"/>
          <w:numId w:val="1"/>
        </w:numPr>
        <w:spacing w:before="0" w:after="0"/>
      </w:pPr>
      <w:r>
        <w:rPr>
          <w:rFonts w:ascii="Arial" w:cs="Arial" w:eastAsia="Arial" w:hAnsi="Arial"/>
          <w:sz w:val="24"/>
          <w:szCs w:val="24"/>
        </w:rPr>
        <w:t xml:space="preserve">Enables proactive panel management with automated PIM screening</w:t>
      </w:r>
    </w:p>
    <w:p>
      <w:pPr>
        <w:pStyle w:val="ListParagraph"/>
        <w:numPr>
          <w:ilvl w:val="0"/>
          <w:numId w:val="1"/>
        </w:numPr>
        <w:spacing w:before="0" w:after="0"/>
      </w:pPr>
      <w:r>
        <w:rPr>
          <w:rFonts w:ascii="Arial" w:cs="Arial" w:eastAsia="Arial" w:hAnsi="Arial"/>
          <w:sz w:val="24"/>
          <w:szCs w:val="24"/>
        </w:rPr>
        <w:t xml:space="preserve">Improves functional status and quality of life through fall prevention and reduced side effects</w:t>
      </w:r>
    </w:p>
    <w:p>
      <w:pPr>
        <w:pStyle w:val="ListParagraph"/>
        <w:numPr>
          <w:ilvl w:val="0"/>
          <w:numId w:val="1"/>
        </w:numPr>
        <w:spacing w:before="0" w:after="0"/>
      </w:pPr>
      <w:r>
        <w:rPr>
          <w:rFonts w:ascii="Arial" w:cs="Arial" w:eastAsia="Arial" w:hAnsi="Arial"/>
          <w:sz w:val="24"/>
          <w:szCs w:val="24"/>
        </w:rPr>
        <w:t xml:space="preserve">Estimated impact: 30-50% reduction in PIMs, 25-40% reduction in fall-related injuries</w:t>
      </w:r>
    </w:p>
    <w:p>
      <w:pPr>
        <w:spacing w:before="0" w:after="0"/>
      </w:pPr>
      <w:r>
        <w:rPr>
          <w:sz w:val="24"/>
          <w:szCs w:val="24"/>
        </w:rPr>
        <w:t xml:space="preserve"/>
      </w:r>
    </w:p>
    <w:p>
      <w:pPr>
        <w:pStyle w:val="Heading3"/>
        <w:spacing w:before="0" w:after="0"/>
      </w:pPr>
      <w:r>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time-consuming manual Beers Criteria review with automated PIM identification</w:t>
      </w:r>
    </w:p>
    <w:p>
      <w:pPr>
        <w:pStyle w:val="ListParagraph"/>
        <w:numPr>
          <w:ilvl w:val="0"/>
          <w:numId w:val="1"/>
        </w:numPr>
        <w:spacing w:before="0" w:after="0"/>
      </w:pPr>
      <w:r>
        <w:rPr>
          <w:rFonts w:ascii="Arial" w:cs="Arial" w:eastAsia="Arial" w:hAnsi="Arial"/>
          <w:sz w:val="24"/>
          <w:szCs w:val="24"/>
        </w:rPr>
        <w:t xml:space="preserve">Provides evidence-based deprescribing recommendations removing guesswork</w:t>
      </w:r>
    </w:p>
    <w:p>
      <w:pPr>
        <w:pStyle w:val="ListParagraph"/>
        <w:numPr>
          <w:ilvl w:val="0"/>
          <w:numId w:val="1"/>
        </w:numPr>
        <w:spacing w:before="0" w:after="0"/>
      </w:pPr>
      <w:r>
        <w:rPr>
          <w:rFonts w:ascii="Arial" w:cs="Arial" w:eastAsia="Arial" w:hAnsi="Arial"/>
          <w:sz w:val="24"/>
          <w:szCs w:val="24"/>
        </w:rPr>
        <w:t xml:space="preserve">Reduces medico-legal risk by documenting systematic medication safety review</w:t>
      </w:r>
    </w:p>
    <w:p>
      <w:pPr>
        <w:pStyle w:val="ListParagraph"/>
        <w:numPr>
          <w:ilvl w:val="0"/>
          <w:numId w:val="1"/>
        </w:numPr>
        <w:spacing w:before="0" w:after="0"/>
      </w:pPr>
      <w:r>
        <w:rPr>
          <w:rFonts w:ascii="Arial" w:cs="Arial" w:eastAsia="Arial" w:hAnsi="Arial"/>
          <w:sz w:val="24"/>
          <w:szCs w:val="24"/>
        </w:rPr>
        <w:t xml:space="preserve">Improves patient satisfaction through reduced medication burden and costs</w:t>
      </w:r>
    </w:p>
    <w:p>
      <w:pPr>
        <w:pStyle w:val="ListParagraph"/>
        <w:numPr>
          <w:ilvl w:val="0"/>
          <w:numId w:val="1"/>
        </w:numPr>
        <w:spacing w:before="0" w:after="0"/>
      </w:pPr>
      <w:r>
        <w:rPr>
          <w:rFonts w:ascii="Arial" w:cs="Arial" w:eastAsia="Arial" w:hAnsi="Arial"/>
          <w:sz w:val="24"/>
          <w:szCs w:val="24"/>
        </w:rPr>
        <w:t xml:space="preserve">Simplifies complex polypharmacy management with actionable recommendations</w:t>
      </w:r>
    </w:p>
    <w:p>
      <w:pPr>
        <w:spacing w:before="0" w:after="0"/>
      </w:pPr>
      <w:r>
        <w:rPr>
          <w:sz w:val="24"/>
          <w:szCs w:val="24"/>
        </w:rPr>
        <w:t xml:space="preserve"/>
      </w:r>
    </w:p>
    <w:p>
      <w:pPr>
        <w:pStyle w:val="Heading3"/>
        <w:spacing w:before="0" w:after="0"/>
      </w:pPr>
      <w:r>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Beers Criteria database with annual updates</w:t>
      </w:r>
    </w:p>
    <w:p>
      <w:pPr>
        <w:pStyle w:val="ListParagraph"/>
        <w:numPr>
          <w:ilvl w:val="0"/>
          <w:numId w:val="1"/>
        </w:numPr>
        <w:spacing w:before="0" w:after="0"/>
      </w:pPr>
      <w:r>
        <w:rPr>
          <w:rFonts w:ascii="Arial" w:cs="Arial" w:eastAsia="Arial" w:hAnsi="Arial"/>
          <w:sz w:val="24"/>
          <w:szCs w:val="24"/>
        </w:rPr>
        <w:t xml:space="preserve">Anticholinergic burden calculator with validated scoring system</w:t>
      </w:r>
    </w:p>
    <w:p>
      <w:pPr>
        <w:pStyle w:val="ListParagraph"/>
        <w:numPr>
          <w:ilvl w:val="0"/>
          <w:numId w:val="1"/>
        </w:numPr>
        <w:spacing w:before="0" w:after="0"/>
      </w:pPr>
      <w:r>
        <w:rPr>
          <w:rFonts w:ascii="Arial" w:cs="Arial" w:eastAsia="Arial" w:hAnsi="Arial"/>
          <w:sz w:val="24"/>
          <w:szCs w:val="24"/>
        </w:rPr>
        <w:t xml:space="preserve">Pharmacy integration for medication discontinuation and patient counseling</w:t>
      </w:r>
    </w:p>
    <w:p>
      <w:pPr>
        <w:pStyle w:val="ListParagraph"/>
        <w:numPr>
          <w:ilvl w:val="0"/>
          <w:numId w:val="1"/>
        </w:numPr>
        <w:spacing w:before="0" w:after="0"/>
      </w:pPr>
      <w:r>
        <w:rPr>
          <w:rFonts w:ascii="Arial" w:cs="Arial" w:eastAsia="Arial" w:hAnsi="Arial"/>
          <w:sz w:val="24"/>
          <w:szCs w:val="24"/>
        </w:rPr>
        <w:t xml:space="preserve">Fall risk assessment tools and physical therapy referral protocols</w:t>
      </w:r>
    </w:p>
    <w:p>
      <w:pPr>
        <w:spacing w:before="0" w:after="0"/>
      </w:pPr>
      <w:r>
        <w:rPr>
          <w:sz w:val="24"/>
          <w:szCs w:val="24"/>
        </w:rPr>
        <w:t xml:space="preserve"/>
      </w:r>
    </w:p>
    <w:p>
      <w:pPr>
        <w:pStyle w:val="Heading2"/>
        <w:spacing w:before="0" w:after="0"/>
      </w:pPr>
      <w:r>
        <w:rPr/>
        <w:t xml:space="preserve">USE CASE 5: Social Determinants of Health Identification and Community Resource Linkage</w:t>
      </w:r>
    </w:p>
    <w:p>
      <w:pPr>
        <w:spacing w:before="0" w:after="0"/>
      </w:pPr>
      <w:r>
        <w:rPr>
          <w:sz w:val="24"/>
          <w:szCs w:val="24"/>
        </w:rPr>
        <w:t xml:space="preserve"/>
      </w:r>
    </w:p>
    <w:p>
      <w:pPr>
        <w:pStyle w:val="Heading3"/>
        <w:spacing w:before="0" w:after="0"/>
      </w:pPr>
      <w:r>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45-year-old patient with diabetes and hypertension has missed three appointments in the past 6 months and HbA1c has risen from 7.2% to 9.8%. They report inconsistent medication adherence due to cost but seem hesitant to discuss other challenges. The physician suspects social factors are impacting health but lacks time for comprehensive screening and knowledge of available community resources.</w:t>
      </w:r>
    </w:p>
    <w:p>
      <w:pPr>
        <w:spacing w:before="0" w:after="0"/>
      </w:pPr>
      <w:r>
        <w:rPr>
          <w:sz w:val="24"/>
          <w:szCs w:val="24"/>
        </w:rPr>
        <w:t xml:space="preserve"/>
      </w:r>
    </w:p>
    <w:p>
      <w:pPr>
        <w:pStyle w:val="Heading3"/>
        <w:spacing w:before="0" w:after="0"/>
      </w:pPr>
      <w:r>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Social determinants of health (SDOH) account for 50% of health outcomes vs only 20% for clinical care, yet screening remains inconsistent</w:t>
      </w:r>
      <w:r>
        <w:rPr>
          <w:rFonts w:ascii="Arial" w:cs="Arial" w:eastAsia="Arial" w:hAnsi="Arial"/>
          <w:sz w:val="24"/>
          <w:szCs w:val="24"/>
          <w:vertAlign w:val="superscript"/>
        </w:rPr>
        <w:t xml:space="preserve">[30]</w:t>
      </w:r>
    </w:p>
    <w:p>
      <w:pPr>
        <w:pStyle w:val="ListParagraph"/>
        <w:numPr>
          <w:ilvl w:val="0"/>
          <w:numId w:val="1"/>
        </w:numPr>
        <w:spacing w:before="0" w:after="0"/>
      </w:pPr>
      <w:r>
        <w:rPr>
          <w:rFonts w:ascii="Arial" w:cs="Arial" w:eastAsia="Arial" w:hAnsi="Arial"/>
          <w:sz w:val="24"/>
          <w:szCs w:val="24"/>
        </w:rPr>
        <w:t xml:space="preserve">Physicians lack structured tools to identify food insecurity, housing instability, transportation barriers, and financial strain</w:t>
      </w:r>
    </w:p>
    <w:p>
      <w:pPr>
        <w:pStyle w:val="ListParagraph"/>
        <w:numPr>
          <w:ilvl w:val="0"/>
          <w:numId w:val="1"/>
        </w:numPr>
        <w:spacing w:before="0" w:after="0"/>
      </w:pPr>
      <w:r>
        <w:rPr>
          <w:rFonts w:ascii="Arial" w:cs="Arial" w:eastAsia="Arial" w:hAnsi="Arial"/>
          <w:sz w:val="24"/>
          <w:szCs w:val="24"/>
        </w:rPr>
        <w:t xml:space="preserve">Even when SDOH needs identified, connecting patients to resources is fragmented and time-consuming</w:t>
      </w:r>
    </w:p>
    <w:p>
      <w:pPr>
        <w:pStyle w:val="ListParagraph"/>
        <w:numPr>
          <w:ilvl w:val="0"/>
          <w:numId w:val="1"/>
        </w:numPr>
        <w:spacing w:before="0" w:after="0"/>
      </w:pPr>
      <w:r>
        <w:rPr>
          <w:rFonts w:ascii="Arial" w:cs="Arial" w:eastAsia="Arial" w:hAnsi="Arial"/>
          <w:sz w:val="24"/>
          <w:szCs w:val="24"/>
        </w:rPr>
        <w:t xml:space="preserve">No closed-loop tracking to confirm patients received services or if needs were met</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Children at risk for food insecurity are 56% more likely to be in fair/poor health and 60% more likely to have developmental delays</w:t>
      </w:r>
      <w:r>
        <w:rPr>
          <w:rFonts w:ascii="Arial" w:cs="Arial" w:eastAsia="Arial" w:hAnsi="Arial"/>
          <w:sz w:val="24"/>
          <w:szCs w:val="24"/>
          <w:vertAlign w:val="superscript"/>
        </w:rPr>
        <w:t xml:space="preserve">[31]</w:t>
      </w:r>
    </w:p>
    <w:p>
      <w:pPr>
        <w:pStyle w:val="ListParagraph"/>
        <w:numPr>
          <w:ilvl w:val="0"/>
          <w:numId w:val="1"/>
        </w:numPr>
        <w:spacing w:before="0" w:after="0"/>
      </w:pPr>
      <w:r>
        <w:rPr>
          <w:rFonts w:ascii="Arial" w:cs="Arial" w:eastAsia="Arial" w:hAnsi="Arial"/>
          <w:sz w:val="24"/>
          <w:szCs w:val="24"/>
        </w:rPr>
        <w:t xml:space="preserve">Transportation barriers lead to missed appointments and medication non-adherence</w:t>
      </w:r>
    </w:p>
    <w:p>
      <w:pPr>
        <w:pStyle w:val="ListParagraph"/>
        <w:numPr>
          <w:ilvl w:val="0"/>
          <w:numId w:val="1"/>
        </w:numPr>
        <w:spacing w:before="0" w:after="0"/>
      </w:pPr>
      <w:r>
        <w:rPr>
          <w:rFonts w:ascii="Arial" w:cs="Arial" w:eastAsia="Arial" w:hAnsi="Arial"/>
          <w:sz w:val="24"/>
          <w:szCs w:val="24"/>
        </w:rPr>
        <w:t xml:space="preserve">Patients reluctant to disclose social needs due to stigma or belief that physician can't help</w:t>
      </w:r>
    </w:p>
    <w:p>
      <w:pPr>
        <w:pStyle w:val="ListParagraph"/>
        <w:numPr>
          <w:ilvl w:val="0"/>
          <w:numId w:val="1"/>
        </w:numPr>
        <w:spacing w:before="0" w:after="0"/>
      </w:pPr>
      <w:r>
        <w:rPr>
          <w:rFonts w:ascii="Arial" w:cs="Arial" w:eastAsia="Arial" w:hAnsi="Arial"/>
          <w:sz w:val="24"/>
          <w:szCs w:val="24"/>
        </w:rPr>
        <w:t xml:space="preserve">Complex process of finding and accessing community resources creates insurmountable barriers</w:t>
      </w:r>
    </w:p>
    <w:p>
      <w:pPr>
        <w:spacing w:before="0" w:after="0"/>
      </w:pPr>
      <w:r>
        <w:rPr>
          <w:sz w:val="24"/>
          <w:szCs w:val="24"/>
        </w:rPr>
        <w:t xml:space="preserve"/>
      </w:r>
    </w:p>
    <w:p>
      <w:pPr>
        <w:pStyle w:val="Heading3"/>
        <w:spacing w:before="0" w:after="0"/>
      </w:pPr>
      <w:r>
        <w:rPr/>
        <w:t xml:space="preserve">Cordance Solution</w:t>
      </w:r>
    </w:p>
    <w:p>
      <w:pPr>
        <w:spacing w:before="0" w:after="0"/>
      </w:pPr>
      <w:r>
        <w:rPr>
          <w:sz w:val="24"/>
          <w:szCs w:val="24"/>
        </w:rPr>
        <w:t xml:space="preserve"/>
      </w:r>
    </w:p>
    <w:p>
      <w:pPr>
        <w:pStyle w:val="Heading4"/>
        <w:spacing w:before="0" w:after="0"/>
      </w:pPr>
      <w:r>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patients with red flags for SDOH needs: frequent missed appointments; medication non-adherence patterns; uncontrolled chronic diseases despite appropriate therapy; geographic residence in high-need areas</w:t>
      </w:r>
    </w:p>
    <w:p>
      <w:pPr>
        <w:pStyle w:val="ListParagraph"/>
        <w:numPr>
          <w:ilvl w:val="0"/>
          <w:numId w:val="1"/>
        </w:numPr>
        <w:spacing w:before="0" w:after="0"/>
      </w:pPr>
      <w:r>
        <w:rPr>
          <w:rFonts w:ascii="Arial" w:cs="Arial" w:eastAsia="Arial" w:hAnsi="Arial"/>
          <w:sz w:val="24"/>
          <w:szCs w:val="24"/>
        </w:rPr>
        <w:t xml:space="preserve">Pre-loads previous SDOH screening results if available</w:t>
      </w:r>
    </w:p>
    <w:p>
      <w:pPr>
        <w:pStyle w:val="ListParagraph"/>
        <w:numPr>
          <w:ilvl w:val="0"/>
          <w:numId w:val="1"/>
        </w:numPr>
        <w:spacing w:before="0" w:after="0"/>
      </w:pPr>
      <w:r>
        <w:rPr>
          <w:rFonts w:ascii="Arial" w:cs="Arial" w:eastAsia="Arial" w:hAnsi="Arial"/>
          <w:sz w:val="24"/>
          <w:szCs w:val="24"/>
        </w:rPr>
        <w:t xml:space="preserve">Prepares standardized screening tool (PRAPARE, AHC, or Hunger Vital Sign)</w:t>
      </w:r>
    </w:p>
    <w:p>
      <w:pPr>
        <w:spacing w:before="0" w:after="0"/>
      </w:pPr>
      <w:r>
        <w:rPr>
          <w:sz w:val="24"/>
          <w:szCs w:val="24"/>
        </w:rPr>
        <w:t xml:space="preserve"/>
      </w:r>
    </w:p>
    <w:p>
      <w:pPr>
        <w:pStyle w:val="Heading4"/>
        <w:spacing w:before="0" w:after="0"/>
      </w:pPr>
      <w:r>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integrated SDOH screening questionnaire: food insecurity (Hunger Vital Sign: 2-item validated screen); housing instability; transportation barriers; utility shut-off risk; financial resource strain; safety concerns; social isolation</w:t>
      </w:r>
      <w:r>
        <w:rPr>
          <w:rFonts w:ascii="Arial" w:cs="Arial" w:eastAsia="Arial" w:hAnsi="Arial"/>
          <w:sz w:val="24"/>
          <w:szCs w:val="24"/>
          <w:vertAlign w:val="superscript"/>
        </w:rPr>
        <w:t xml:space="preserve">[32]</w:t>
      </w:r>
    </w:p>
    <w:p>
      <w:pPr>
        <w:pStyle w:val="ListParagraph"/>
        <w:numPr>
          <w:ilvl w:val="0"/>
          <w:numId w:val="1"/>
        </w:numPr>
        <w:spacing w:before="0" w:after="0"/>
      </w:pPr>
      <w:r>
        <w:rPr>
          <w:rFonts w:ascii="Arial" w:cs="Arial" w:eastAsia="Arial" w:hAnsi="Arial"/>
          <w:sz w:val="24"/>
          <w:szCs w:val="24"/>
        </w:rPr>
        <w:t xml:space="preserve">Real-time identification of local community resources based on ZIP code: food banks and SNAP enrollment assistance; housing assistance programs; free/low-cost transportation (Lyft/Uber Health integration); utility assistance programs; prescription assistance programs</w:t>
      </w:r>
    </w:p>
    <w:p>
      <w:pPr>
        <w:pStyle w:val="ListParagraph"/>
        <w:numPr>
          <w:ilvl w:val="0"/>
          <w:numId w:val="1"/>
        </w:numPr>
        <w:spacing w:before="0" w:after="0"/>
      </w:pPr>
      <w:r>
        <w:rPr>
          <w:rFonts w:ascii="Arial" w:cs="Arial" w:eastAsia="Arial" w:hAnsi="Arial"/>
          <w:sz w:val="24"/>
          <w:szCs w:val="24"/>
        </w:rPr>
        <w:t xml:space="preserve">One-click referrals to community health workers or social work for complex needs</w:t>
      </w:r>
    </w:p>
    <w:p>
      <w:pPr>
        <w:pStyle w:val="ListParagraph"/>
        <w:numPr>
          <w:ilvl w:val="0"/>
          <w:numId w:val="1"/>
        </w:numPr>
        <w:spacing w:before="0" w:after="0"/>
      </w:pPr>
      <w:r>
        <w:rPr>
          <w:rFonts w:ascii="Arial" w:cs="Arial" w:eastAsia="Arial" w:hAnsi="Arial"/>
          <w:sz w:val="24"/>
          <w:szCs w:val="24"/>
        </w:rPr>
        <w:t xml:space="preserve">Generates patient-friendly resource list with contact information, hours, eligibility criteria</w:t>
      </w:r>
    </w:p>
    <w:p>
      <w:pPr>
        <w:pStyle w:val="ListParagraph"/>
        <w:numPr>
          <w:ilvl w:val="0"/>
          <w:numId w:val="1"/>
        </w:numPr>
        <w:spacing w:before="0" w:after="0"/>
      </w:pPr>
      <w:r>
        <w:rPr>
          <w:rFonts w:ascii="Arial" w:cs="Arial" w:eastAsia="Arial" w:hAnsi="Arial"/>
          <w:sz w:val="24"/>
          <w:szCs w:val="24"/>
        </w:rPr>
        <w:t xml:space="preserve">Flags patients eligible for enhanced care management programs or Medicaid SDOH benefits</w:t>
      </w:r>
    </w:p>
    <w:p>
      <w:pPr>
        <w:spacing w:before="0" w:after="0"/>
      </w:pPr>
      <w:r>
        <w:rPr>
          <w:sz w:val="24"/>
          <w:szCs w:val="24"/>
        </w:rPr>
        <w:t xml:space="preserve"/>
      </w:r>
    </w:p>
    <w:p>
      <w:pPr>
        <w:pStyle w:val="Heading4"/>
        <w:spacing w:before="0" w:after="0"/>
      </w:pPr>
      <w:r>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Automatically sends resource information to patient via text/email/portal in preferred language</w:t>
      </w:r>
    </w:p>
    <w:p>
      <w:pPr>
        <w:pStyle w:val="ListParagraph"/>
        <w:numPr>
          <w:ilvl w:val="0"/>
          <w:numId w:val="1"/>
        </w:numPr>
        <w:spacing w:before="0" w:after="0"/>
      </w:pPr>
      <w:r>
        <w:rPr>
          <w:rFonts w:ascii="Arial" w:cs="Arial" w:eastAsia="Arial" w:hAnsi="Arial"/>
          <w:sz w:val="24"/>
          <w:szCs w:val="24"/>
        </w:rPr>
        <w:t xml:space="preserve">Creates referrals to community-based organizations with integrated platforms (UniteUs, NowPow, Aunt Bertha)</w:t>
      </w:r>
    </w:p>
    <w:p>
      <w:pPr>
        <w:pStyle w:val="ListParagraph"/>
        <w:numPr>
          <w:ilvl w:val="0"/>
          <w:numId w:val="1"/>
        </w:numPr>
        <w:spacing w:before="0" w:after="0"/>
      </w:pPr>
      <w:r>
        <w:rPr>
          <w:rFonts w:ascii="Arial" w:cs="Arial" w:eastAsia="Arial" w:hAnsi="Arial"/>
          <w:sz w:val="24"/>
          <w:szCs w:val="24"/>
        </w:rPr>
        <w:t xml:space="preserve">Triggers community health worker outreach for high-need patients</w:t>
      </w:r>
    </w:p>
    <w:p>
      <w:pPr>
        <w:pStyle w:val="ListParagraph"/>
        <w:numPr>
          <w:ilvl w:val="0"/>
          <w:numId w:val="1"/>
        </w:numPr>
        <w:spacing w:before="0" w:after="0"/>
      </w:pPr>
      <w:r>
        <w:rPr>
          <w:rFonts w:ascii="Arial" w:cs="Arial" w:eastAsia="Arial" w:hAnsi="Arial"/>
          <w:sz w:val="24"/>
          <w:szCs w:val="24"/>
        </w:rPr>
        <w:t xml:space="preserve">Schedules follow-up in 1-3 months to reassess SDOH needs and confirm resource connection</w:t>
      </w:r>
    </w:p>
    <w:p>
      <w:pPr>
        <w:pStyle w:val="ListParagraph"/>
        <w:numPr>
          <w:ilvl w:val="0"/>
          <w:numId w:val="1"/>
        </w:numPr>
        <w:spacing w:before="0" w:after="0"/>
      </w:pPr>
      <w:r>
        <w:rPr>
          <w:rFonts w:ascii="Arial" w:cs="Arial" w:eastAsia="Arial" w:hAnsi="Arial"/>
          <w:sz w:val="24"/>
          <w:szCs w:val="24"/>
        </w:rPr>
        <w:t xml:space="preserve">Tracks closed-loop: did patient connect with resource? Was need addressed?</w:t>
      </w:r>
    </w:p>
    <w:p>
      <w:pPr>
        <w:spacing w:before="0" w:after="0"/>
      </w:pPr>
      <w:r>
        <w:rPr>
          <w:sz w:val="24"/>
          <w:szCs w:val="24"/>
        </w:rPr>
        <w:t xml:space="preserve"/>
      </w:r>
    </w:p>
    <w:p>
      <w:pPr>
        <w:pStyle w:val="Heading3"/>
        <w:spacing w:before="0" w:after="0"/>
      </w:pPr>
      <w:r>
        <w:rPr/>
        <w:t xml:space="preserve">Impact on Three Pillars</w:t>
      </w:r>
    </w:p>
    <w:p>
      <w:pPr>
        <w:spacing w:before="0" w:after="0"/>
      </w:pPr>
      <w:r>
        <w:rPr>
          <w:sz w:val="24"/>
          <w:szCs w:val="24"/>
        </w:rPr>
        <w:t xml:space="preserve"/>
      </w:r>
    </w:p>
    <w:p>
      <w:pPr>
        <w:pStyle w:val="Heading4"/>
        <w:spacing w:before="0" w:after="0"/>
      </w:pPr>
      <w:r>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Addressing food insecurity and transportation barriers improves medication adherence by 40-60%, reducing hospitalizations</w:t>
      </w:r>
    </w:p>
    <w:p>
      <w:pPr>
        <w:pStyle w:val="ListParagraph"/>
        <w:numPr>
          <w:ilvl w:val="0"/>
          <w:numId w:val="1"/>
        </w:numPr>
        <w:spacing w:before="0" w:after="0"/>
      </w:pPr>
      <w:r>
        <w:rPr>
          <w:rFonts w:ascii="Arial" w:cs="Arial" w:eastAsia="Arial" w:hAnsi="Arial"/>
          <w:sz w:val="24"/>
          <w:szCs w:val="24"/>
        </w:rPr>
        <w:t xml:space="preserve">Housing stability interventions reduce ED visits by 20-30% and admissions by 15-25%</w:t>
      </w:r>
    </w:p>
    <w:p>
      <w:pPr>
        <w:pStyle w:val="ListParagraph"/>
        <w:numPr>
          <w:ilvl w:val="0"/>
          <w:numId w:val="1"/>
        </w:numPr>
        <w:spacing w:before="0" w:after="0"/>
      </w:pPr>
      <w:r>
        <w:rPr>
          <w:rFonts w:ascii="Arial" w:cs="Arial" w:eastAsia="Arial" w:hAnsi="Arial"/>
          <w:sz w:val="24"/>
          <w:szCs w:val="24"/>
        </w:rPr>
        <w:t xml:space="preserve">SDOH screening and intervention billable under certain circumstances (G-codes for social determinant risk assessment)</w:t>
      </w:r>
    </w:p>
    <w:p>
      <w:pPr>
        <w:pStyle w:val="ListParagraph"/>
        <w:numPr>
          <w:ilvl w:val="0"/>
          <w:numId w:val="1"/>
        </w:numPr>
        <w:spacing w:before="0" w:after="0"/>
      </w:pPr>
      <w:r>
        <w:rPr>
          <w:rFonts w:ascii="Arial" w:cs="Arial" w:eastAsia="Arial" w:hAnsi="Arial"/>
          <w:sz w:val="24"/>
          <w:szCs w:val="24"/>
        </w:rPr>
        <w:t xml:space="preserve">Value-based contracts increasingly reward SDOH screening and intervention</w:t>
      </w:r>
    </w:p>
    <w:p>
      <w:pPr>
        <w:pStyle w:val="ListParagraph"/>
        <w:numPr>
          <w:ilvl w:val="0"/>
          <w:numId w:val="1"/>
        </w:numPr>
        <w:spacing w:before="0" w:after="0"/>
      </w:pPr>
      <w:r>
        <w:rPr>
          <w:rFonts w:ascii="Arial" w:cs="Arial" w:eastAsia="Arial" w:hAnsi="Arial"/>
          <w:sz w:val="24"/>
          <w:szCs w:val="24"/>
        </w:rPr>
        <w:t xml:space="preserve">Estimated financial impact: $120K-$180K saved per 100 high-need patients through hospitalization and ED visit reduction</w:t>
      </w:r>
    </w:p>
    <w:p>
      <w:pPr>
        <w:spacing w:before="0" w:after="0"/>
      </w:pPr>
      <w:r>
        <w:rPr>
          <w:sz w:val="24"/>
          <w:szCs w:val="24"/>
        </w:rPr>
        <w:t xml:space="preserve"/>
      </w:r>
    </w:p>
    <w:p>
      <w:pPr>
        <w:pStyle w:val="Heading4"/>
        <w:spacing w:before="0" w:after="0"/>
      </w:pPr>
      <w:r>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Addressing SDOH improves chronic disease control: 20-35% improvement in diabetes HbA1c and hypertension control when food security and medication access ensured</w:t>
      </w:r>
      <w:r>
        <w:rPr>
          <w:rFonts w:ascii="Arial" w:cs="Arial" w:eastAsia="Arial" w:hAnsi="Arial"/>
          <w:sz w:val="24"/>
          <w:szCs w:val="24"/>
          <w:vertAlign w:val="superscript"/>
        </w:rPr>
        <w:t xml:space="preserve">[33]</w:t>
      </w:r>
    </w:p>
    <w:p>
      <w:pPr>
        <w:pStyle w:val="ListParagraph"/>
        <w:numPr>
          <w:ilvl w:val="0"/>
          <w:numId w:val="1"/>
        </w:numPr>
        <w:spacing w:before="0" w:after="0"/>
      </w:pPr>
      <w:r>
        <w:rPr>
          <w:rFonts w:ascii="Arial" w:cs="Arial" w:eastAsia="Arial" w:hAnsi="Arial"/>
          <w:sz w:val="24"/>
          <w:szCs w:val="24"/>
        </w:rPr>
        <w:t xml:space="preserve">Transportation assistance reduces missed appointments by 30-50%, enabling consistent preventive care</w:t>
      </w:r>
    </w:p>
    <w:p>
      <w:pPr>
        <w:pStyle w:val="ListParagraph"/>
        <w:numPr>
          <w:ilvl w:val="0"/>
          <w:numId w:val="1"/>
        </w:numPr>
        <w:spacing w:before="0" w:after="0"/>
      </w:pPr>
      <w:r>
        <w:rPr>
          <w:rFonts w:ascii="Arial" w:cs="Arial" w:eastAsia="Arial" w:hAnsi="Arial"/>
          <w:sz w:val="24"/>
          <w:szCs w:val="24"/>
        </w:rPr>
        <w:t xml:space="preserve">Food security interventions reduce risk of hypoglycemia in diabetic patients on insulin</w:t>
      </w:r>
    </w:p>
    <w:p>
      <w:pPr>
        <w:pStyle w:val="ListParagraph"/>
        <w:numPr>
          <w:ilvl w:val="0"/>
          <w:numId w:val="1"/>
        </w:numPr>
        <w:spacing w:before="0" w:after="0"/>
      </w:pPr>
      <w:r>
        <w:rPr>
          <w:rFonts w:ascii="Arial" w:cs="Arial" w:eastAsia="Arial" w:hAnsi="Arial"/>
          <w:sz w:val="24"/>
          <w:szCs w:val="24"/>
        </w:rPr>
        <w:t xml:space="preserve">Social isolation screening enables mental health referrals and suicide prevention</w:t>
      </w:r>
    </w:p>
    <w:p>
      <w:pPr>
        <w:spacing w:before="0" w:after="0"/>
      </w:pPr>
      <w:r>
        <w:rPr>
          <w:sz w:val="24"/>
          <w:szCs w:val="24"/>
        </w:rPr>
        <w:t xml:space="preserve"/>
      </w:r>
    </w:p>
    <w:p>
      <w:pPr>
        <w:pStyle w:val="Heading4"/>
        <w:spacing w:before="0" w:after="0"/>
      </w:pPr>
      <w:r>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SDOH screening across entire patient population identifies previously hidden needs</w:t>
      </w:r>
    </w:p>
    <w:p>
      <w:pPr>
        <w:pStyle w:val="ListParagraph"/>
        <w:numPr>
          <w:ilvl w:val="0"/>
          <w:numId w:val="1"/>
        </w:numPr>
        <w:spacing w:before="0" w:after="0"/>
      </w:pPr>
      <w:r>
        <w:rPr>
          <w:rFonts w:ascii="Arial" w:cs="Arial" w:eastAsia="Arial" w:hAnsi="Arial"/>
          <w:sz w:val="24"/>
          <w:szCs w:val="24"/>
        </w:rPr>
        <w:t xml:space="preserve">Addresses root causes of health disparities in underserved communities</w:t>
      </w:r>
    </w:p>
    <w:p>
      <w:pPr>
        <w:pStyle w:val="ListParagraph"/>
        <w:numPr>
          <w:ilvl w:val="0"/>
          <w:numId w:val="1"/>
        </w:numPr>
        <w:spacing w:before="0" w:after="0"/>
      </w:pPr>
      <w:r>
        <w:rPr>
          <w:rFonts w:ascii="Arial" w:cs="Arial" w:eastAsia="Arial" w:hAnsi="Arial"/>
          <w:sz w:val="24"/>
          <w:szCs w:val="24"/>
        </w:rPr>
        <w:t xml:space="preserve">Community resource linkage strengthens health system-community partnerships</w:t>
      </w:r>
    </w:p>
    <w:p>
      <w:pPr>
        <w:pStyle w:val="ListParagraph"/>
        <w:numPr>
          <w:ilvl w:val="0"/>
          <w:numId w:val="1"/>
        </w:numPr>
        <w:spacing w:before="0" w:after="0"/>
      </w:pPr>
      <w:r>
        <w:rPr>
          <w:rFonts w:ascii="Arial" w:cs="Arial" w:eastAsia="Arial" w:hAnsi="Arial"/>
          <w:sz w:val="24"/>
          <w:szCs w:val="24"/>
        </w:rPr>
        <w:t xml:space="preserve">Longitudinal tracking enables measurement of intervention effectiveness</w:t>
      </w:r>
    </w:p>
    <w:p>
      <w:pPr>
        <w:pStyle w:val="ListParagraph"/>
        <w:numPr>
          <w:ilvl w:val="0"/>
          <w:numId w:val="1"/>
        </w:numPr>
        <w:spacing w:before="0" w:after="0"/>
      </w:pPr>
      <w:r>
        <w:rPr>
          <w:rFonts w:ascii="Arial" w:cs="Arial" w:eastAsia="Arial" w:hAnsi="Arial"/>
          <w:sz w:val="24"/>
          <w:szCs w:val="24"/>
        </w:rPr>
        <w:t xml:space="preserve">Estimated impact: 60-70% of identified SDOH needs successfully addressed through resource linkage</w:t>
      </w:r>
    </w:p>
    <w:p>
      <w:pPr>
        <w:spacing w:before="0" w:after="0"/>
      </w:pPr>
      <w:r>
        <w:rPr>
          <w:sz w:val="24"/>
          <w:szCs w:val="24"/>
        </w:rPr>
        <w:t xml:space="preserve"/>
      </w:r>
    </w:p>
    <w:p>
      <w:pPr>
        <w:pStyle w:val="Heading3"/>
        <w:spacing w:before="0" w:after="0"/>
      </w:pPr>
      <w:r>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Structured screening tool makes SDOH assessment quick and non-stigmatizing</w:t>
      </w:r>
    </w:p>
    <w:p>
      <w:pPr>
        <w:pStyle w:val="ListParagraph"/>
        <w:numPr>
          <w:ilvl w:val="0"/>
          <w:numId w:val="1"/>
        </w:numPr>
        <w:spacing w:before="0" w:after="0"/>
      </w:pPr>
      <w:r>
        <w:rPr>
          <w:rFonts w:ascii="Arial" w:cs="Arial" w:eastAsia="Arial" w:hAnsi="Arial"/>
          <w:sz w:val="24"/>
          <w:szCs w:val="24"/>
        </w:rPr>
        <w:t xml:space="preserve">Eliminates burden of knowing all community resources with automated, ZIP code-specific recommendations</w:t>
      </w:r>
    </w:p>
    <w:p>
      <w:pPr>
        <w:pStyle w:val="ListParagraph"/>
        <w:numPr>
          <w:ilvl w:val="0"/>
          <w:numId w:val="1"/>
        </w:numPr>
        <w:spacing w:before="0" w:after="0"/>
      </w:pPr>
      <w:r>
        <w:rPr>
          <w:rFonts w:ascii="Arial" w:cs="Arial" w:eastAsia="Arial" w:hAnsi="Arial"/>
          <w:sz w:val="24"/>
          <w:szCs w:val="24"/>
        </w:rPr>
        <w:t xml:space="preserve">One-click referrals save time compared to manual resource navigation</w:t>
      </w:r>
    </w:p>
    <w:p>
      <w:pPr>
        <w:pStyle w:val="ListParagraph"/>
        <w:numPr>
          <w:ilvl w:val="0"/>
          <w:numId w:val="1"/>
        </w:numPr>
        <w:spacing w:before="0" w:after="0"/>
      </w:pPr>
      <w:r>
        <w:rPr>
          <w:rFonts w:ascii="Arial" w:cs="Arial" w:eastAsia="Arial" w:hAnsi="Arial"/>
          <w:sz w:val="24"/>
          <w:szCs w:val="24"/>
        </w:rPr>
        <w:t xml:space="preserve">Closed-loop tracking provides accountability and feedback on patient outcomes</w:t>
      </w:r>
    </w:p>
    <w:p>
      <w:pPr>
        <w:pStyle w:val="ListParagraph"/>
        <w:numPr>
          <w:ilvl w:val="0"/>
          <w:numId w:val="1"/>
        </w:numPr>
        <w:spacing w:before="0" w:after="0"/>
      </w:pPr>
      <w:r>
        <w:rPr>
          <w:rFonts w:ascii="Arial" w:cs="Arial" w:eastAsia="Arial" w:hAnsi="Arial"/>
          <w:sz w:val="24"/>
          <w:szCs w:val="24"/>
        </w:rPr>
        <w:t xml:space="preserve">Improves patient trust and therapeutic relationship by addressing whole-person needs</w:t>
      </w:r>
    </w:p>
    <w:p>
      <w:pPr>
        <w:pStyle w:val="ListParagraph"/>
        <w:numPr>
          <w:ilvl w:val="0"/>
          <w:numId w:val="1"/>
        </w:numPr>
        <w:spacing w:before="0" w:after="0"/>
      </w:pPr>
      <w:r>
        <w:rPr>
          <w:rFonts w:ascii="Arial" w:cs="Arial" w:eastAsia="Arial" w:hAnsi="Arial"/>
          <w:sz w:val="24"/>
          <w:szCs w:val="24"/>
        </w:rPr>
        <w:t xml:space="preserve">Meets emerging quality metrics for SDOH screening in value-based contracts</w:t>
      </w:r>
    </w:p>
    <w:p>
      <w:pPr>
        <w:spacing w:before="0" w:after="0"/>
      </w:pPr>
      <w:r>
        <w:rPr>
          <w:sz w:val="24"/>
          <w:szCs w:val="24"/>
        </w:rPr>
        <w:t xml:space="preserve"/>
      </w:r>
    </w:p>
    <w:p>
      <w:pPr>
        <w:pStyle w:val="Heading3"/>
        <w:spacing w:before="0" w:after="0"/>
      </w:pPr>
      <w:r>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community resource platforms (UniteUs, NowPow, Aunt Bertha, findhelp.org)</w:t>
      </w:r>
    </w:p>
    <w:p>
      <w:pPr>
        <w:pStyle w:val="ListParagraph"/>
        <w:numPr>
          <w:ilvl w:val="0"/>
          <w:numId w:val="1"/>
        </w:numPr>
        <w:spacing w:before="0" w:after="0"/>
      </w:pPr>
      <w:r>
        <w:rPr>
          <w:rFonts w:ascii="Arial" w:cs="Arial" w:eastAsia="Arial" w:hAnsi="Arial"/>
          <w:sz w:val="24"/>
          <w:szCs w:val="24"/>
        </w:rPr>
        <w:t xml:space="preserve">Multilingual screening tools and resource directories</w:t>
      </w:r>
    </w:p>
    <w:p>
      <w:pPr>
        <w:pStyle w:val="ListParagraph"/>
        <w:numPr>
          <w:ilvl w:val="0"/>
          <w:numId w:val="1"/>
        </w:numPr>
        <w:spacing w:before="0" w:after="0"/>
      </w:pPr>
      <w:r>
        <w:rPr>
          <w:rFonts w:ascii="Arial" w:cs="Arial" w:eastAsia="Arial" w:hAnsi="Arial"/>
          <w:sz w:val="24"/>
          <w:szCs w:val="24"/>
        </w:rPr>
        <w:t xml:space="preserve">Community health worker or social work partnerships for complex cases</w:t>
      </w:r>
    </w:p>
    <w:p>
      <w:pPr>
        <w:pStyle w:val="ListParagraph"/>
        <w:numPr>
          <w:ilvl w:val="0"/>
          <w:numId w:val="1"/>
        </w:numPr>
        <w:spacing w:before="0" w:after="0"/>
      </w:pPr>
      <w:r>
        <w:rPr>
          <w:rFonts w:ascii="Arial" w:cs="Arial" w:eastAsia="Arial" w:hAnsi="Arial"/>
          <w:sz w:val="24"/>
          <w:szCs w:val="24"/>
        </w:rPr>
        <w:t xml:space="preserve">Patient portal integration for secure resource sharing</w:t>
      </w:r>
    </w:p>
    <w:p>
      <w:pPr>
        <w:pStyle w:val="ListParagraph"/>
        <w:numPr>
          <w:ilvl w:val="0"/>
          <w:numId w:val="1"/>
        </w:numPr>
        <w:spacing w:before="0" w:after="0"/>
      </w:pPr>
      <w:r>
        <w:rPr>
          <w:rFonts w:ascii="Arial" w:cs="Arial" w:eastAsia="Arial" w:hAnsi="Arial"/>
          <w:sz w:val="24"/>
          <w:szCs w:val="24"/>
        </w:rPr>
        <w:t xml:space="preserve">Data analytics to track SDOH prevalence and intervention effectiveness</w:t>
      </w:r>
    </w:p>
    <w:p>
      <w:pPr>
        <w:spacing w:before="0" w:after="0"/>
      </w:pPr>
      <w:r>
        <w:rPr>
          <w:sz w:val="24"/>
          <w:szCs w:val="24"/>
        </w:rPr>
        <w:t xml:space="preserve"/>
      </w:r>
    </w:p>
    <w:p>
      <w:pPr>
        <w:pStyle w:val="Heading2"/>
        <w:spacing w:before="0" w:after="0"/>
      </w:pPr>
      <w:r>
        <w:rPr/>
        <w:t xml:space="preserve">USE CASE 6: Colonoscopy Referral Retention and Screening Completion</w:t>
      </w:r>
    </w:p>
    <w:p>
      <w:pPr>
        <w:spacing w:before="0" w:after="0"/>
      </w:pPr>
      <w:r>
        <w:rPr>
          <w:sz w:val="24"/>
          <w:szCs w:val="24"/>
        </w:rPr>
        <w:t xml:space="preserve"/>
      </w:r>
    </w:p>
    <w:p>
      <w:pPr>
        <w:pStyle w:val="Heading3"/>
        <w:spacing w:before="0" w:after="0"/>
      </w:pPr>
      <w:r>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52-year-old patient is due for colorectal cancer screening. The physician recommends colonoscopy and begins searching for available gastroenterologists, but is unsure whether in-network GI has availability, how long the wait is, or if patient can afford the procedure. The patient leaves with a vague plan to "schedule somewhere" but the referral goes unfulfilled.</w:t>
      </w:r>
    </w:p>
    <w:p>
      <w:pPr>
        <w:spacing w:before="0" w:after="0"/>
      </w:pPr>
      <w:r>
        <w:rPr>
          <w:sz w:val="24"/>
          <w:szCs w:val="24"/>
        </w:rPr>
        <w:t xml:space="preserve"/>
      </w:r>
    </w:p>
    <w:p>
      <w:pPr>
        <w:pStyle w:val="Heading3"/>
        <w:spacing w:before="0" w:after="0"/>
      </w:pPr>
      <w:r>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Only 59% of eligible patients (age 45-75) are up-to-date with colorectal cancer screening, leaving millions at risk</w:t>
      </w:r>
      <w:r>
        <w:rPr>
          <w:rFonts w:ascii="Arial" w:cs="Arial" w:eastAsia="Arial" w:hAnsi="Arial"/>
          <w:sz w:val="24"/>
          <w:szCs w:val="24"/>
          <w:vertAlign w:val="superscript"/>
        </w:rPr>
        <w:t xml:space="preserve">[34]</w:t>
      </w:r>
    </w:p>
    <w:p>
      <w:pPr>
        <w:pStyle w:val="ListParagraph"/>
        <w:numPr>
          <w:ilvl w:val="0"/>
          <w:numId w:val="1"/>
        </w:numPr>
        <w:spacing w:before="0" w:after="0"/>
      </w:pPr>
      <w:r>
        <w:rPr>
          <w:rFonts w:ascii="Arial" w:cs="Arial" w:eastAsia="Arial" w:hAnsi="Arial"/>
          <w:sz w:val="24"/>
          <w:szCs w:val="24"/>
        </w:rPr>
        <w:t xml:space="preserve">Screening colonoscopy referrals frequently leak to out-of-network facilities due to access barriers and patient convenience</w:t>
      </w:r>
    </w:p>
    <w:p>
      <w:pPr>
        <w:pStyle w:val="ListParagraph"/>
        <w:numPr>
          <w:ilvl w:val="0"/>
          <w:numId w:val="1"/>
        </w:numPr>
        <w:spacing w:before="0" w:after="0"/>
      </w:pPr>
      <w:r>
        <w:rPr>
          <w:rFonts w:ascii="Arial" w:cs="Arial" w:eastAsia="Arial" w:hAnsi="Arial"/>
          <w:sz w:val="24"/>
          <w:szCs w:val="24"/>
        </w:rPr>
        <w:t xml:space="preserve">Long wait times for in-network GI (often 3-6 months) lead patients to seek faster external options</w:t>
      </w:r>
    </w:p>
    <w:p>
      <w:pPr>
        <w:pStyle w:val="ListParagraph"/>
        <w:numPr>
          <w:ilvl w:val="0"/>
          <w:numId w:val="1"/>
        </w:numPr>
        <w:spacing w:before="0" w:after="0"/>
      </w:pPr>
      <w:r>
        <w:rPr>
          <w:rFonts w:ascii="Arial" w:cs="Arial" w:eastAsia="Arial" w:hAnsi="Arial"/>
          <w:sz w:val="24"/>
          <w:szCs w:val="24"/>
        </w:rPr>
        <w:t xml:space="preserve">Lost referral revenue and downstream pathology/treatment opportunities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Patients given referral but left to navigate scheduling, creating friction and abandonment</w:t>
      </w:r>
    </w:p>
    <w:p>
      <w:pPr>
        <w:pStyle w:val="ListParagraph"/>
        <w:numPr>
          <w:ilvl w:val="0"/>
          <w:numId w:val="1"/>
        </w:numPr>
        <w:spacing w:before="0" w:after="0"/>
      </w:pPr>
      <w:r>
        <w:rPr>
          <w:rFonts w:ascii="Arial" w:cs="Arial" w:eastAsia="Arial" w:hAnsi="Arial"/>
          <w:sz w:val="24"/>
          <w:szCs w:val="24"/>
        </w:rPr>
        <w:t xml:space="preserve">Confusion about different screening options (colonoscopy vs FIT vs Cologuard)</w:t>
      </w:r>
    </w:p>
    <w:p>
      <w:pPr>
        <w:pStyle w:val="ListParagraph"/>
        <w:numPr>
          <w:ilvl w:val="0"/>
          <w:numId w:val="1"/>
        </w:numPr>
        <w:spacing w:before="0" w:after="0"/>
      </w:pPr>
      <w:r>
        <w:rPr>
          <w:rFonts w:ascii="Arial" w:cs="Arial" w:eastAsia="Arial" w:hAnsi="Arial"/>
          <w:sz w:val="24"/>
          <w:szCs w:val="24"/>
        </w:rPr>
        <w:t xml:space="preserve">Positive FIT tests require colonoscopy within 6 months; without outreach, many patients never complete diagnostic evaluation</w:t>
      </w:r>
      <w:r>
        <w:rPr>
          <w:rFonts w:ascii="Arial" w:cs="Arial" w:eastAsia="Arial" w:hAnsi="Arial"/>
          <w:sz w:val="24"/>
          <w:szCs w:val="24"/>
          <w:vertAlign w:val="superscript"/>
        </w:rPr>
        <w:t xml:space="preserve">[35]</w:t>
      </w:r>
    </w:p>
    <w:p>
      <w:pPr>
        <w:pStyle w:val="ListParagraph"/>
        <w:numPr>
          <w:ilvl w:val="0"/>
          <w:numId w:val="1"/>
        </w:numPr>
        <w:spacing w:before="0" w:after="0"/>
      </w:pPr>
      <w:r>
        <w:rPr>
          <w:rFonts w:ascii="Arial" w:cs="Arial" w:eastAsia="Arial" w:hAnsi="Arial"/>
          <w:sz w:val="24"/>
          <w:szCs w:val="24"/>
        </w:rPr>
        <w:t xml:space="preserve">Cost uncertainty creates hesitation (screening colonoscopy fully covered, but what if polyps found?)</w:t>
      </w:r>
    </w:p>
    <w:p>
      <w:pPr>
        <w:spacing w:before="0" w:after="0"/>
      </w:pPr>
      <w:r>
        <w:rPr>
          <w:sz w:val="24"/>
          <w:szCs w:val="24"/>
        </w:rPr>
        <w:t xml:space="preserve"/>
      </w:r>
    </w:p>
    <w:p>
      <w:pPr>
        <w:pStyle w:val="Heading3"/>
        <w:spacing w:before="0" w:after="0"/>
      </w:pPr>
      <w:r>
        <w:rPr/>
        <w:t xml:space="preserve">Cordance Solution</w:t>
      </w:r>
    </w:p>
    <w:p>
      <w:pPr>
        <w:spacing w:before="0" w:after="0"/>
      </w:pPr>
      <w:r>
        <w:rPr>
          <w:sz w:val="24"/>
          <w:szCs w:val="24"/>
        </w:rPr>
        <w:t xml:space="preserve"/>
      </w:r>
    </w:p>
    <w:p>
      <w:pPr>
        <w:pStyle w:val="Heading4"/>
        <w:spacing w:before="0" w:after="0"/>
      </w:pPr>
      <w:r>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patients age 45-75 due for colorectal cancer screening (never screened, &gt;10 years since last colonoscopy, &gt;1 year since FIT, &gt;3 years since Cologuard)</w:t>
      </w:r>
    </w:p>
    <w:p>
      <w:pPr>
        <w:pStyle w:val="ListParagraph"/>
        <w:numPr>
          <w:ilvl w:val="0"/>
          <w:numId w:val="1"/>
        </w:numPr>
        <w:spacing w:before="0" w:after="0"/>
      </w:pPr>
      <w:r>
        <w:rPr>
          <w:rFonts w:ascii="Arial" w:cs="Arial" w:eastAsia="Arial" w:hAnsi="Arial"/>
          <w:sz w:val="24"/>
          <w:szCs w:val="24"/>
        </w:rPr>
        <w:t xml:space="preserve">Creates prioritized list based on age, family history, and time overdue</w:t>
      </w:r>
    </w:p>
    <w:p>
      <w:pPr>
        <w:pStyle w:val="ListParagraph"/>
        <w:numPr>
          <w:ilvl w:val="0"/>
          <w:numId w:val="1"/>
        </w:numPr>
        <w:spacing w:before="0" w:after="0"/>
      </w:pPr>
      <w:r>
        <w:rPr>
          <w:rFonts w:ascii="Arial" w:cs="Arial" w:eastAsia="Arial" w:hAnsi="Arial"/>
          <w:sz w:val="24"/>
          <w:szCs w:val="24"/>
        </w:rPr>
        <w:t xml:space="preserve">Checks real-time GI schedule for "Direct Access Colonoscopy" slots (no pre-procedure GI visit needed for average-risk screening)</w:t>
      </w:r>
    </w:p>
    <w:p>
      <w:pPr>
        <w:pStyle w:val="ListParagraph"/>
        <w:numPr>
          <w:ilvl w:val="0"/>
          <w:numId w:val="1"/>
        </w:numPr>
        <w:spacing w:before="0" w:after="0"/>
      </w:pPr>
      <w:r>
        <w:rPr>
          <w:rFonts w:ascii="Arial" w:cs="Arial" w:eastAsia="Arial" w:hAnsi="Arial"/>
          <w:sz w:val="24"/>
          <w:szCs w:val="24"/>
        </w:rPr>
        <w:t xml:space="preserve">Pre-loads insurance coverage information for colonoscopy and alternative screening modalities</w:t>
      </w:r>
    </w:p>
    <w:p>
      <w:pPr>
        <w:spacing w:before="0" w:after="0"/>
      </w:pPr>
      <w:r>
        <w:rPr>
          <w:sz w:val="24"/>
          <w:szCs w:val="24"/>
        </w:rPr>
        <w:t xml:space="preserve"/>
      </w:r>
    </w:p>
    <w:p>
      <w:pPr>
        <w:pStyle w:val="Heading4"/>
        <w:spacing w:before="0" w:after="0"/>
      </w:pPr>
      <w:r>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colorectal cancer screening dashboard: patient's screening status; recommended screening modality based on risk factors; family history of colorectal cancer or polyps; previous screening results</w:t>
      </w:r>
    </w:p>
    <w:p>
      <w:pPr>
        <w:pStyle w:val="ListParagraph"/>
        <w:numPr>
          <w:ilvl w:val="0"/>
          <w:numId w:val="1"/>
        </w:numPr>
        <w:spacing w:before="0" w:after="0"/>
      </w:pPr>
      <w:r>
        <w:rPr>
          <w:rFonts w:ascii="Arial" w:cs="Arial" w:eastAsia="Arial" w:hAnsi="Arial"/>
          <w:sz w:val="24"/>
          <w:szCs w:val="24"/>
        </w:rPr>
        <w:t xml:space="preserve">Shared decision-making tool comparing options: colonoscopy (gold standard, 10-year interval if normal); FIT (annual, sent home, requires follow-up colonoscopy if positive); Cologuard (stool DNA test, 3-year interval, higher false positive rate)</w:t>
      </w:r>
    </w:p>
    <w:p>
      <w:pPr>
        <w:pStyle w:val="ListParagraph"/>
        <w:numPr>
          <w:ilvl w:val="0"/>
          <w:numId w:val="1"/>
        </w:numPr>
        <w:spacing w:before="0" w:after="0"/>
      </w:pPr>
      <w:r>
        <w:rPr>
          <w:rFonts w:ascii="Arial" w:cs="Arial" w:eastAsia="Arial" w:hAnsi="Arial"/>
          <w:sz w:val="24"/>
          <w:szCs w:val="24"/>
        </w:rPr>
        <w:t xml:space="preserve">If colonoscopy chosen, shows 'In-Network GI Access': available Direct Access Colonoscopy slots within 2-4 weeks at health system endoscopy centers; patient out-of-pocket cost estimate (typically $0 for screening); contrast with unknown external referral wait time</w:t>
      </w:r>
      <w:r>
        <w:rPr>
          <w:rFonts w:ascii="Arial" w:cs="Arial" w:eastAsia="Arial" w:hAnsi="Arial"/>
          <w:sz w:val="24"/>
          <w:szCs w:val="24"/>
          <w:vertAlign w:val="superscript"/>
        </w:rPr>
        <w:t xml:space="preserve">[36]</w:t>
      </w:r>
    </w:p>
    <w:p>
      <w:pPr>
        <w:pStyle w:val="ListParagraph"/>
        <w:numPr>
          <w:ilvl w:val="0"/>
          <w:numId w:val="1"/>
        </w:numPr>
        <w:spacing w:before="0" w:after="0"/>
      </w:pPr>
      <w:r>
        <w:rPr>
          <w:rFonts w:ascii="Arial" w:cs="Arial" w:eastAsia="Arial" w:hAnsi="Arial"/>
          <w:sz w:val="24"/>
          <w:szCs w:val="24"/>
        </w:rPr>
        <w:t xml:space="preserve">One-click generates referral, holds appointment slot, and prints bowel prep instructions immediately</w:t>
      </w:r>
    </w:p>
    <w:p>
      <w:pPr>
        <w:pStyle w:val="ListParagraph"/>
        <w:numPr>
          <w:ilvl w:val="0"/>
          <w:numId w:val="1"/>
        </w:numPr>
        <w:spacing w:before="0" w:after="0"/>
      </w:pPr>
      <w:r>
        <w:rPr>
          <w:rFonts w:ascii="Arial" w:cs="Arial" w:eastAsia="Arial" w:hAnsi="Arial"/>
          <w:sz w:val="24"/>
          <w:szCs w:val="24"/>
        </w:rPr>
        <w:t xml:space="preserve">Eliminates need for separate pre-procedure GI consult visit, saving patient time and copay</w:t>
      </w:r>
    </w:p>
    <w:p>
      <w:pPr>
        <w:spacing w:before="0" w:after="0"/>
      </w:pPr>
      <w:r>
        <w:rPr>
          <w:sz w:val="24"/>
          <w:szCs w:val="24"/>
        </w:rPr>
        <w:t xml:space="preserve"/>
      </w:r>
    </w:p>
    <w:p>
      <w:pPr>
        <w:pStyle w:val="Heading4"/>
        <w:spacing w:before="0" w:after="0"/>
      </w:pPr>
      <w:r>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Automatically schedules colonoscopy appointment and sends confirmation to patient</w:t>
      </w:r>
    </w:p>
    <w:p>
      <w:pPr>
        <w:pStyle w:val="ListParagraph"/>
        <w:numPr>
          <w:ilvl w:val="0"/>
          <w:numId w:val="1"/>
        </w:numPr>
        <w:spacing w:before="0" w:after="0"/>
      </w:pPr>
      <w:r>
        <w:rPr>
          <w:rFonts w:ascii="Arial" w:cs="Arial" w:eastAsia="Arial" w:hAnsi="Arial"/>
          <w:sz w:val="24"/>
          <w:szCs w:val="24"/>
        </w:rPr>
        <w:t xml:space="preserve">Sends prep instructions and pre-procedure dietary restrictions 1 week before procedure</w:t>
      </w:r>
    </w:p>
    <w:p>
      <w:pPr>
        <w:pStyle w:val="ListParagraph"/>
        <w:numPr>
          <w:ilvl w:val="0"/>
          <w:numId w:val="1"/>
        </w:numPr>
        <w:spacing w:before="0" w:after="0"/>
      </w:pPr>
      <w:r>
        <w:rPr>
          <w:rFonts w:ascii="Arial" w:cs="Arial" w:eastAsia="Arial" w:hAnsi="Arial"/>
          <w:sz w:val="24"/>
          <w:szCs w:val="24"/>
        </w:rPr>
        <w:t xml:space="preserve">Reminder calls/texts 48 hours before procedure to reduce no-shows</w:t>
      </w:r>
    </w:p>
    <w:p>
      <w:pPr>
        <w:pStyle w:val="ListParagraph"/>
        <w:numPr>
          <w:ilvl w:val="0"/>
          <w:numId w:val="1"/>
        </w:numPr>
        <w:spacing w:before="0" w:after="0"/>
      </w:pPr>
      <w:r>
        <w:rPr>
          <w:rFonts w:ascii="Arial" w:cs="Arial" w:eastAsia="Arial" w:hAnsi="Arial"/>
          <w:sz w:val="24"/>
          <w:szCs w:val="24"/>
        </w:rPr>
        <w:t xml:space="preserve">For FIT or Cologuard orders: ships test to patient's home with instructions; triggers outreach if test not returned in 30 days; if positive, automatically schedules colonoscopy and alerts PCP</w:t>
      </w:r>
    </w:p>
    <w:p>
      <w:pPr>
        <w:pStyle w:val="ListParagraph"/>
        <w:numPr>
          <w:ilvl w:val="0"/>
          <w:numId w:val="1"/>
        </w:numPr>
        <w:spacing w:before="0" w:after="0"/>
      </w:pPr>
      <w:r>
        <w:rPr>
          <w:rFonts w:ascii="Arial" w:cs="Arial" w:eastAsia="Arial" w:hAnsi="Arial"/>
          <w:sz w:val="24"/>
          <w:szCs w:val="24"/>
        </w:rPr>
        <w:t xml:space="preserve">Tracks completion rates and triggers outreach for patients who don't complete screening</w:t>
      </w:r>
    </w:p>
    <w:p>
      <w:pPr>
        <w:spacing w:before="0" w:after="0"/>
      </w:pPr>
      <w:r>
        <w:rPr>
          <w:sz w:val="24"/>
          <w:szCs w:val="24"/>
        </w:rPr>
        <w:t xml:space="preserve"/>
      </w:r>
    </w:p>
    <w:p>
      <w:pPr>
        <w:pStyle w:val="Heading3"/>
        <w:spacing w:before="0" w:after="0"/>
      </w:pPr>
      <w:r>
        <w:rPr/>
        <w:t xml:space="preserve">Impact on Three Pillars</w:t>
      </w:r>
    </w:p>
    <w:p>
      <w:pPr>
        <w:spacing w:before="0" w:after="0"/>
      </w:pPr>
      <w:r>
        <w:rPr>
          <w:sz w:val="24"/>
          <w:szCs w:val="24"/>
        </w:rPr>
        <w:t xml:space="preserve"/>
      </w:r>
    </w:p>
    <w:p>
      <w:pPr>
        <w:pStyle w:val="Heading4"/>
        <w:spacing w:before="0" w:after="0"/>
      </w:pPr>
      <w:r>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Retaining colonoscopy referrals in-network captures procedural revenue plus downstream pathology and treatment</w:t>
      </w:r>
      <w:r>
        <w:rPr>
          <w:rFonts w:ascii="Arial" w:cs="Arial" w:eastAsia="Arial" w:hAnsi="Arial"/>
          <w:sz w:val="24"/>
          <w:szCs w:val="24"/>
          <w:vertAlign w:val="superscript"/>
        </w:rPr>
        <w:t xml:space="preserve">[37]</w:t>
      </w:r>
    </w:p>
    <w:p>
      <w:pPr>
        <w:pStyle w:val="ListParagraph"/>
        <w:numPr>
          <w:ilvl w:val="0"/>
          <w:numId w:val="1"/>
        </w:numPr>
        <w:spacing w:before="0" w:after="0"/>
      </w:pPr>
      <w:r>
        <w:rPr>
          <w:rFonts w:ascii="Arial" w:cs="Arial" w:eastAsia="Arial" w:hAnsi="Arial"/>
          <w:sz w:val="24"/>
          <w:szCs w:val="24"/>
        </w:rPr>
        <w:t xml:space="preserve">Early colorectal cancer detection dramatically reduces treatment costs (Stage I: $50K vs Stage IV: $200K+)</w:t>
      </w:r>
      <w:r>
        <w:rPr>
          <w:rFonts w:ascii="Arial" w:cs="Arial" w:eastAsia="Arial" w:hAnsi="Arial"/>
          <w:sz w:val="24"/>
          <w:szCs w:val="24"/>
          <w:vertAlign w:val="superscript"/>
        </w:rPr>
        <w:t xml:space="preserve">[38]</w:t>
      </w:r>
    </w:p>
    <w:p>
      <w:pPr>
        <w:pStyle w:val="ListParagraph"/>
        <w:numPr>
          <w:ilvl w:val="0"/>
          <w:numId w:val="1"/>
        </w:numPr>
        <w:spacing w:before="0" w:after="0"/>
      </w:pPr>
      <w:r>
        <w:rPr>
          <w:rFonts w:ascii="Arial" w:cs="Arial" w:eastAsia="Arial" w:hAnsi="Arial"/>
          <w:sz w:val="24"/>
          <w:szCs w:val="24"/>
        </w:rPr>
        <w:t xml:space="preserve">Captures quality bonuses for colorectal cancer screening rates (HEDIS, MIPS, MSSP measures)</w:t>
      </w:r>
    </w:p>
    <w:p>
      <w:pPr>
        <w:pStyle w:val="ListParagraph"/>
        <w:numPr>
          <w:ilvl w:val="0"/>
          <w:numId w:val="1"/>
        </w:numPr>
        <w:spacing w:before="0" w:after="0"/>
      </w:pPr>
      <w:r>
        <w:rPr>
          <w:rFonts w:ascii="Arial" w:cs="Arial" w:eastAsia="Arial" w:hAnsi="Arial"/>
          <w:sz w:val="24"/>
          <w:szCs w:val="24"/>
        </w:rPr>
        <w:t xml:space="preserve">Direct Access Colonoscopy reduces no-show rates from 15-20% to 5-8% through streamlined scheduling</w:t>
      </w:r>
    </w:p>
    <w:p>
      <w:pPr>
        <w:pStyle w:val="ListParagraph"/>
        <w:numPr>
          <w:ilvl w:val="0"/>
          <w:numId w:val="1"/>
        </w:numPr>
        <w:spacing w:before="0" w:after="0"/>
      </w:pPr>
      <w:r>
        <w:rPr>
          <w:rFonts w:ascii="Arial" w:cs="Arial" w:eastAsia="Arial" w:hAnsi="Arial"/>
          <w:sz w:val="24"/>
          <w:szCs w:val="24"/>
        </w:rPr>
        <w:t xml:space="preserve">Estimated financial impact: $100K-$150K annually per PCP through referral retention and quality bonuses</w:t>
      </w:r>
    </w:p>
    <w:p>
      <w:pPr>
        <w:spacing w:before="0" w:after="0"/>
      </w:pPr>
      <w:r>
        <w:rPr>
          <w:sz w:val="24"/>
          <w:szCs w:val="24"/>
        </w:rPr>
        <w:t xml:space="preserve"/>
      </w:r>
    </w:p>
    <w:p>
      <w:pPr>
        <w:pStyle w:val="Heading4"/>
        <w:spacing w:before="0" w:after="0"/>
      </w:pPr>
      <w:r>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Patients with at least one FIT test in prior 5 years are 33% less likely to die from colorectal cancer</w:t>
      </w:r>
      <w:r>
        <w:rPr>
          <w:rFonts w:ascii="Arial" w:cs="Arial" w:eastAsia="Arial" w:hAnsi="Arial"/>
          <w:sz w:val="24"/>
          <w:szCs w:val="24"/>
          <w:vertAlign w:val="superscript"/>
        </w:rPr>
        <w:t xml:space="preserve">[39]</w:t>
      </w:r>
    </w:p>
    <w:p>
      <w:pPr>
        <w:pStyle w:val="ListParagraph"/>
        <w:numPr>
          <w:ilvl w:val="0"/>
          <w:numId w:val="1"/>
        </w:numPr>
        <w:spacing w:before="0" w:after="0"/>
      </w:pPr>
      <w:r>
        <w:rPr>
          <w:rFonts w:ascii="Arial" w:cs="Arial" w:eastAsia="Arial" w:hAnsi="Arial"/>
          <w:sz w:val="24"/>
          <w:szCs w:val="24"/>
        </w:rPr>
        <w:t xml:space="preserve">Colonoscopy enables removal of precancerous polyps before cancer develops</w:t>
      </w:r>
    </w:p>
    <w:p>
      <w:pPr>
        <w:pStyle w:val="ListParagraph"/>
        <w:numPr>
          <w:ilvl w:val="0"/>
          <w:numId w:val="1"/>
        </w:numPr>
        <w:spacing w:before="0" w:after="0"/>
      </w:pPr>
      <w:r>
        <w:rPr>
          <w:rFonts w:ascii="Arial" w:cs="Arial" w:eastAsia="Arial" w:hAnsi="Arial"/>
          <w:sz w:val="24"/>
          <w:szCs w:val="24"/>
        </w:rPr>
        <w:t xml:space="preserve">Direct Access pathway reduces time from decision to procedure, improving screening completion</w:t>
      </w:r>
    </w:p>
    <w:p>
      <w:pPr>
        <w:pStyle w:val="ListParagraph"/>
        <w:numPr>
          <w:ilvl w:val="0"/>
          <w:numId w:val="1"/>
        </w:numPr>
        <w:spacing w:before="0" w:after="0"/>
      </w:pPr>
      <w:r>
        <w:rPr>
          <w:rFonts w:ascii="Arial" w:cs="Arial" w:eastAsia="Arial" w:hAnsi="Arial"/>
          <w:sz w:val="24"/>
          <w:szCs w:val="24"/>
        </w:rPr>
        <w:t xml:space="preserve">Automated follow-up for positive FIT/Cologuard prevents loss to follow-up</w:t>
      </w:r>
    </w:p>
    <w:p>
      <w:pPr>
        <w:spacing w:before="0" w:after="0"/>
      </w:pPr>
      <w:r>
        <w:rPr>
          <w:sz w:val="24"/>
          <w:szCs w:val="24"/>
        </w:rPr>
        <w:t xml:space="preserve"/>
      </w:r>
    </w:p>
    <w:p>
      <w:pPr>
        <w:pStyle w:val="Heading4"/>
        <w:spacing w:before="0" w:after="0"/>
      </w:pPr>
      <w:r>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screening increases population-level colorectal cancer screening rates from 59% to 75-85%</w:t>
      </w:r>
    </w:p>
    <w:p>
      <w:pPr>
        <w:pStyle w:val="ListParagraph"/>
        <w:numPr>
          <w:ilvl w:val="0"/>
          <w:numId w:val="1"/>
        </w:numPr>
        <w:spacing w:before="0" w:after="0"/>
      </w:pPr>
      <w:r>
        <w:rPr>
          <w:rFonts w:ascii="Arial" w:cs="Arial" w:eastAsia="Arial" w:hAnsi="Arial"/>
          <w:sz w:val="24"/>
          <w:szCs w:val="24"/>
        </w:rPr>
        <w:t xml:space="preserve">Reduces colorectal cancer mortality through early detection when treatment most effective</w:t>
      </w:r>
    </w:p>
    <w:p>
      <w:pPr>
        <w:pStyle w:val="ListParagraph"/>
        <w:numPr>
          <w:ilvl w:val="0"/>
          <w:numId w:val="1"/>
        </w:numPr>
        <w:spacing w:before="0" w:after="0"/>
      </w:pPr>
      <w:r>
        <w:rPr>
          <w:rFonts w:ascii="Arial" w:cs="Arial" w:eastAsia="Arial" w:hAnsi="Arial"/>
          <w:sz w:val="24"/>
          <w:szCs w:val="24"/>
        </w:rPr>
        <w:t xml:space="preserve">Addresses disparities by reducing access barriers (cost, scheduling complexity, transportation)</w:t>
      </w:r>
    </w:p>
    <w:p>
      <w:pPr>
        <w:pStyle w:val="ListParagraph"/>
        <w:numPr>
          <w:ilvl w:val="0"/>
          <w:numId w:val="1"/>
        </w:numPr>
        <w:spacing w:before="0" w:after="0"/>
      </w:pPr>
      <w:r>
        <w:rPr>
          <w:rFonts w:ascii="Arial" w:cs="Arial" w:eastAsia="Arial" w:hAnsi="Arial"/>
          <w:sz w:val="24"/>
          <w:szCs w:val="24"/>
        </w:rPr>
        <w:t xml:space="preserve">Longitudinal tracking enables panel-level monitoring of screening gaps</w:t>
      </w:r>
    </w:p>
    <w:p>
      <w:pPr>
        <w:pStyle w:val="ListParagraph"/>
        <w:numPr>
          <w:ilvl w:val="0"/>
          <w:numId w:val="1"/>
        </w:numPr>
        <w:spacing w:before="0" w:after="0"/>
      </w:pPr>
      <w:r>
        <w:rPr>
          <w:rFonts w:ascii="Arial" w:cs="Arial" w:eastAsia="Arial" w:hAnsi="Arial"/>
          <w:sz w:val="24"/>
          <w:szCs w:val="24"/>
        </w:rPr>
        <w:t xml:space="preserve">Estimated impact: 25-40% improvement in colorectal cancer screening completion rates</w:t>
      </w:r>
    </w:p>
    <w:p>
      <w:pPr>
        <w:spacing w:before="0" w:after="0"/>
      </w:pPr>
      <w:r>
        <w:rPr>
          <w:sz w:val="24"/>
          <w:szCs w:val="24"/>
        </w:rPr>
        <w:t xml:space="preserve"/>
      </w:r>
    </w:p>
    <w:p>
      <w:pPr>
        <w:pStyle w:val="Heading3"/>
        <w:spacing w:before="0" w:after="0"/>
      </w:pPr>
      <w:r>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time spent searching for GI availability and navigating referral systems</w:t>
      </w:r>
    </w:p>
    <w:p>
      <w:pPr>
        <w:pStyle w:val="ListParagraph"/>
        <w:numPr>
          <w:ilvl w:val="0"/>
          <w:numId w:val="1"/>
        </w:numPr>
        <w:spacing w:before="0" w:after="0"/>
      </w:pPr>
      <w:r>
        <w:rPr>
          <w:rFonts w:ascii="Arial" w:cs="Arial" w:eastAsia="Arial" w:hAnsi="Arial"/>
          <w:sz w:val="24"/>
          <w:szCs w:val="24"/>
        </w:rPr>
        <w:t xml:space="preserve">One-click referral with immediate scheduling improves workflow efficiency</w:t>
      </w:r>
    </w:p>
    <w:p>
      <w:pPr>
        <w:pStyle w:val="ListParagraph"/>
        <w:numPr>
          <w:ilvl w:val="0"/>
          <w:numId w:val="1"/>
        </w:numPr>
        <w:spacing w:before="0" w:after="0"/>
      </w:pPr>
      <w:r>
        <w:rPr>
          <w:rFonts w:ascii="Arial" w:cs="Arial" w:eastAsia="Arial" w:hAnsi="Arial"/>
          <w:sz w:val="24"/>
          <w:szCs w:val="24"/>
        </w:rPr>
        <w:t xml:space="preserve">Real-time GI access information enables confident patient conversations</w:t>
      </w:r>
    </w:p>
    <w:p>
      <w:pPr>
        <w:pStyle w:val="ListParagraph"/>
        <w:numPr>
          <w:ilvl w:val="0"/>
          <w:numId w:val="1"/>
        </w:numPr>
        <w:spacing w:before="0" w:after="0"/>
      </w:pPr>
      <w:r>
        <w:rPr>
          <w:rFonts w:ascii="Arial" w:cs="Arial" w:eastAsia="Arial" w:hAnsi="Arial"/>
          <w:sz w:val="24"/>
          <w:szCs w:val="24"/>
        </w:rPr>
        <w:t xml:space="preserve">Automated tracking ensures patients complete screening without manual follow-up</w:t>
      </w:r>
    </w:p>
    <w:p>
      <w:pPr>
        <w:pStyle w:val="ListParagraph"/>
        <w:numPr>
          <w:ilvl w:val="0"/>
          <w:numId w:val="1"/>
        </w:numPr>
        <w:spacing w:before="0" w:after="0"/>
      </w:pPr>
      <w:r>
        <w:rPr>
          <w:rFonts w:ascii="Arial" w:cs="Arial" w:eastAsia="Arial" w:hAnsi="Arial"/>
          <w:sz w:val="24"/>
          <w:szCs w:val="24"/>
        </w:rPr>
        <w:t xml:space="preserve">Meets colorectal cancer screening quality metrics effortlessly</w:t>
      </w:r>
    </w:p>
    <w:p>
      <w:pPr>
        <w:spacing w:before="0" w:after="0"/>
      </w:pPr>
      <w:r>
        <w:rPr>
          <w:sz w:val="24"/>
          <w:szCs w:val="24"/>
        </w:rPr>
        <w:t xml:space="preserve"/>
      </w:r>
    </w:p>
    <w:p>
      <w:pPr>
        <w:pStyle w:val="Heading3"/>
        <w:spacing w:before="0" w:after="0"/>
      </w:pPr>
      <w:r>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GI scheduling system for real-time Direct Access slot availability</w:t>
      </w:r>
    </w:p>
    <w:p>
      <w:pPr>
        <w:pStyle w:val="ListParagraph"/>
        <w:numPr>
          <w:ilvl w:val="0"/>
          <w:numId w:val="1"/>
        </w:numPr>
        <w:spacing w:before="0" w:after="0"/>
      </w:pPr>
      <w:r>
        <w:rPr>
          <w:rFonts w:ascii="Arial" w:cs="Arial" w:eastAsia="Arial" w:hAnsi="Arial"/>
          <w:sz w:val="24"/>
          <w:szCs w:val="24"/>
        </w:rPr>
        <w:t xml:space="preserve">Direct Access Colonoscopy protocols for average-risk screening (no pre-procedure GI visit required)</w:t>
      </w:r>
    </w:p>
    <w:p>
      <w:pPr>
        <w:pStyle w:val="ListParagraph"/>
        <w:numPr>
          <w:ilvl w:val="0"/>
          <w:numId w:val="1"/>
        </w:numPr>
        <w:spacing w:before="0" w:after="0"/>
      </w:pPr>
      <w:r>
        <w:rPr>
          <w:rFonts w:ascii="Arial" w:cs="Arial" w:eastAsia="Arial" w:hAnsi="Arial"/>
          <w:sz w:val="24"/>
          <w:szCs w:val="24"/>
        </w:rPr>
        <w:t xml:space="preserve">FIT and Cologuard ordering integration with home delivery logistics</w:t>
      </w:r>
    </w:p>
    <w:p>
      <w:pPr>
        <w:pStyle w:val="ListParagraph"/>
        <w:numPr>
          <w:ilvl w:val="0"/>
          <w:numId w:val="1"/>
        </w:numPr>
        <w:spacing w:before="0" w:after="0"/>
      </w:pPr>
      <w:r>
        <w:rPr>
          <w:rFonts w:ascii="Arial" w:cs="Arial" w:eastAsia="Arial" w:hAnsi="Arial"/>
          <w:sz w:val="24"/>
          <w:szCs w:val="24"/>
        </w:rPr>
        <w:t xml:space="preserve">Automated outreach platform for test completion and abnormal result follow-up</w:t>
      </w:r>
    </w:p>
    <w:p>
      <w:pPr>
        <w:spacing w:before="0" w:after="0"/>
      </w:pPr>
      <w:r>
        <w:rPr>
          <w:sz w:val="24"/>
          <w:szCs w:val="24"/>
        </w:rPr>
        <w:t xml:space="preserve"/>
      </w:r>
    </w:p>
    <w:p>
      <w:pPr>
        <w:pStyle w:val="Heading2"/>
        <w:spacing w:before="0" w:after="0"/>
      </w:pPr>
      <w:r>
        <w:rPr/>
        <w:t xml:space="preserve">USE CASE 7: Lower Back Pain Imaging Stewardship and Physical Therapy First</w:t>
      </w:r>
    </w:p>
    <w:p>
      <w:pPr>
        <w:spacing w:before="0" w:after="0"/>
      </w:pPr>
      <w:r>
        <w:rPr>
          <w:sz w:val="24"/>
          <w:szCs w:val="24"/>
        </w:rPr>
        <w:t xml:space="preserve"/>
      </w:r>
    </w:p>
    <w:p>
      <w:pPr>
        <w:pStyle w:val="Heading3"/>
        <w:spacing w:before="0" w:after="0"/>
      </w:pPr>
      <w:r>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38-year-old patient presents with acute lower back pain for 10 days after helping a friend move. They request an MRI to "see what's wrong." There are no red flags (no fever, no neurological deficits, no trauma, no history of cancer). The physician knows imaging is not indicated but faces patient expectations, uncertainty about what to offer instead, and concern about missing something serious.</w:t>
      </w:r>
    </w:p>
    <w:p>
      <w:pPr>
        <w:spacing w:before="0" w:after="0"/>
      </w:pPr>
      <w:r>
        <w:rPr>
          <w:sz w:val="24"/>
          <w:szCs w:val="24"/>
        </w:rPr>
        <w:t xml:space="preserve"/>
      </w:r>
    </w:p>
    <w:p>
      <w:pPr>
        <w:pStyle w:val="Heading3"/>
        <w:spacing w:before="0" w:after="0"/>
      </w:pPr>
      <w:r>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31% of lumbar spine MRIs are classified as inappropriate per CMS criteria, contributing to unnecessary healthcare costs</w:t>
      </w:r>
      <w:r>
        <w:rPr>
          <w:rFonts w:ascii="Arial" w:cs="Arial" w:eastAsia="Arial" w:hAnsi="Arial"/>
          <w:sz w:val="24"/>
          <w:szCs w:val="24"/>
          <w:vertAlign w:val="superscript"/>
        </w:rPr>
        <w:t xml:space="preserve">[40]</w:t>
      </w:r>
    </w:p>
    <w:p>
      <w:pPr>
        <w:pStyle w:val="ListParagraph"/>
        <w:numPr>
          <w:ilvl w:val="0"/>
          <w:numId w:val="1"/>
        </w:numPr>
        <w:spacing w:before="0" w:after="0"/>
      </w:pPr>
      <w:r>
        <w:rPr>
          <w:rFonts w:ascii="Arial" w:cs="Arial" w:eastAsia="Arial" w:hAnsi="Arial"/>
          <w:sz w:val="24"/>
          <w:szCs w:val="24"/>
        </w:rPr>
        <w:t xml:space="preserve">Early imaging increases 1-year costs by $4,700 per patient with no improvement in outcomes</w:t>
      </w:r>
      <w:r>
        <w:rPr>
          <w:rFonts w:ascii="Arial" w:cs="Arial" w:eastAsia="Arial" w:hAnsi="Arial"/>
          <w:sz w:val="24"/>
          <w:szCs w:val="24"/>
          <w:vertAlign w:val="superscript"/>
        </w:rPr>
        <w:t xml:space="preserve">[41]</w:t>
      </w:r>
    </w:p>
    <w:p>
      <w:pPr>
        <w:pStyle w:val="ListParagraph"/>
        <w:numPr>
          <w:ilvl w:val="0"/>
          <w:numId w:val="1"/>
        </w:numPr>
        <w:spacing w:before="0" w:after="0"/>
      </w:pPr>
      <w:r>
        <w:rPr>
          <w:rFonts w:ascii="Arial" w:cs="Arial" w:eastAsia="Arial" w:hAnsi="Arial"/>
          <w:sz w:val="24"/>
          <w:szCs w:val="24"/>
        </w:rPr>
        <w:t xml:space="preserve">Choosing Wisely campaign identifies imaging for uncomplicated low back pain as a top target for quality improvement</w:t>
      </w:r>
    </w:p>
    <w:p>
      <w:pPr>
        <w:pStyle w:val="ListParagraph"/>
        <w:numPr>
          <w:ilvl w:val="0"/>
          <w:numId w:val="1"/>
        </w:numPr>
        <w:spacing w:before="0" w:after="0"/>
      </w:pPr>
      <w:r>
        <w:rPr>
          <w:rFonts w:ascii="Arial" w:cs="Arial" w:eastAsia="Arial" w:hAnsi="Arial"/>
          <w:sz w:val="24"/>
          <w:szCs w:val="24"/>
        </w:rPr>
        <w:t xml:space="preserve">Difficulty tracking which patients received inappropriate imaging for quality reporting</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Patients expect imaging to diagnose back pain, creating pressure on physicians to order MRI</w:t>
      </w:r>
    </w:p>
    <w:p>
      <w:pPr>
        <w:pStyle w:val="ListParagraph"/>
        <w:numPr>
          <w:ilvl w:val="0"/>
          <w:numId w:val="1"/>
        </w:numPr>
        <w:spacing w:before="0" w:after="0"/>
      </w:pPr>
      <w:r>
        <w:rPr>
          <w:rFonts w:ascii="Arial" w:cs="Arial" w:eastAsia="Arial" w:hAnsi="Arial"/>
          <w:sz w:val="24"/>
          <w:szCs w:val="24"/>
        </w:rPr>
        <w:t xml:space="preserve">MRI findings (bulging discs, degenerative changes) are often incidental and unrelated to symptoms, leading to unnecessary interventions</w:t>
      </w:r>
      <w:r>
        <w:rPr>
          <w:rFonts w:ascii="Arial" w:cs="Arial" w:eastAsia="Arial" w:hAnsi="Arial"/>
          <w:sz w:val="24"/>
          <w:szCs w:val="24"/>
          <w:vertAlign w:val="superscript"/>
        </w:rPr>
        <w:t xml:space="preserve">[42]</w:t>
      </w:r>
    </w:p>
    <w:p>
      <w:pPr>
        <w:pStyle w:val="ListParagraph"/>
        <w:numPr>
          <w:ilvl w:val="0"/>
          <w:numId w:val="1"/>
        </w:numPr>
        <w:spacing w:before="0" w:after="0"/>
      </w:pPr>
      <w:r>
        <w:rPr>
          <w:rFonts w:ascii="Arial" w:cs="Arial" w:eastAsia="Arial" w:hAnsi="Arial"/>
          <w:sz w:val="24"/>
          <w:szCs w:val="24"/>
        </w:rPr>
        <w:t xml:space="preserve">Patient out-of-pocket costs for MRI: $800-$1,500 vs physical therapy copay: $30-$50</w:t>
      </w:r>
    </w:p>
    <w:p>
      <w:pPr>
        <w:pStyle w:val="ListParagraph"/>
        <w:numPr>
          <w:ilvl w:val="0"/>
          <w:numId w:val="1"/>
        </w:numPr>
        <w:spacing w:before="0" w:after="0"/>
      </w:pPr>
      <w:r>
        <w:rPr>
          <w:rFonts w:ascii="Arial" w:cs="Arial" w:eastAsia="Arial" w:hAnsi="Arial"/>
          <w:sz w:val="24"/>
          <w:szCs w:val="24"/>
        </w:rPr>
        <w:t xml:space="preserve">Insurance denials for inappropriate imaging create delays and patient frustration</w:t>
      </w:r>
    </w:p>
    <w:p>
      <w:pPr>
        <w:spacing w:before="0" w:after="0"/>
      </w:pPr>
      <w:r>
        <w:rPr>
          <w:sz w:val="24"/>
          <w:szCs w:val="24"/>
        </w:rPr>
        <w:t xml:space="preserve"/>
      </w:r>
    </w:p>
    <w:p>
      <w:pPr>
        <w:pStyle w:val="Heading3"/>
        <w:spacing w:before="0" w:after="0"/>
      </w:pPr>
      <w:r>
        <w:rPr/>
        <w:t xml:space="preserve">Cordance Solution</w:t>
      </w:r>
    </w:p>
    <w:p>
      <w:pPr>
        <w:spacing w:before="0" w:after="0"/>
      </w:pPr>
      <w:r>
        <w:rPr>
          <w:sz w:val="24"/>
          <w:szCs w:val="24"/>
        </w:rPr>
        <w:t xml:space="preserve"/>
      </w:r>
    </w:p>
    <w:p>
      <w:pPr>
        <w:pStyle w:val="Heading4"/>
        <w:spacing w:before="0" w:after="0"/>
      </w:pPr>
      <w:r>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patients scheduled with low back pain chief complaint</w:t>
      </w:r>
    </w:p>
    <w:p>
      <w:pPr>
        <w:pStyle w:val="ListParagraph"/>
        <w:numPr>
          <w:ilvl w:val="0"/>
          <w:numId w:val="1"/>
        </w:numPr>
        <w:spacing w:before="0" w:after="0"/>
      </w:pPr>
      <w:r>
        <w:rPr>
          <w:rFonts w:ascii="Arial" w:cs="Arial" w:eastAsia="Arial" w:hAnsi="Arial"/>
          <w:sz w:val="24"/>
          <w:szCs w:val="24"/>
        </w:rPr>
        <w:t xml:space="preserve">Pre-loads red flag checklist and imaging history</w:t>
      </w:r>
    </w:p>
    <w:p>
      <w:pPr>
        <w:pStyle w:val="ListParagraph"/>
        <w:numPr>
          <w:ilvl w:val="0"/>
          <w:numId w:val="1"/>
        </w:numPr>
        <w:spacing w:before="0" w:after="0"/>
      </w:pPr>
      <w:r>
        <w:rPr>
          <w:rFonts w:ascii="Arial" w:cs="Arial" w:eastAsia="Arial" w:hAnsi="Arial"/>
          <w:sz w:val="24"/>
          <w:szCs w:val="24"/>
        </w:rPr>
        <w:t xml:space="preserve">Checks availability for "Fast Track Physical Therapy" with expedited appointments (within 48-72 hours)</w:t>
      </w:r>
    </w:p>
    <w:p>
      <w:pPr>
        <w:spacing w:before="0" w:after="0"/>
      </w:pPr>
      <w:r>
        <w:rPr>
          <w:sz w:val="24"/>
          <w:szCs w:val="24"/>
        </w:rPr>
        <w:t xml:space="preserve"/>
      </w:r>
    </w:p>
    <w:p>
      <w:pPr>
        <w:pStyle w:val="Heading4"/>
        <w:spacing w:before="0" w:after="0"/>
      </w:pPr>
      <w:r>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red flag assessment: fever/chills; unexplained weight loss; history of cancer; age &gt;70 with minor trauma or age &gt;50 with significant trauma; progressive neurological deficit; saddle anesthesia; bowel/bladder dysfunction; duration &gt;6 weeks</w:t>
      </w:r>
      <w:r>
        <w:rPr>
          <w:rFonts w:ascii="Arial" w:cs="Arial" w:eastAsia="Arial" w:hAnsi="Arial"/>
          <w:sz w:val="24"/>
          <w:szCs w:val="24"/>
          <w:vertAlign w:val="superscript"/>
        </w:rPr>
        <w:t xml:space="preserve">[43]</w:t>
      </w:r>
    </w:p>
    <w:p>
      <w:pPr>
        <w:pStyle w:val="ListParagraph"/>
        <w:numPr>
          <w:ilvl w:val="0"/>
          <w:numId w:val="1"/>
        </w:numPr>
        <w:spacing w:before="0" w:after="0"/>
      </w:pPr>
      <w:r>
        <w:rPr>
          <w:rFonts w:ascii="Arial" w:cs="Arial" w:eastAsia="Arial" w:hAnsi="Arial"/>
          <w:sz w:val="24"/>
          <w:szCs w:val="24"/>
        </w:rPr>
        <w:t xml:space="preserve">If no red flags present, recommendation: conservative management pathway (NSAIDs, activity modification, physical therapy) for 6 weeks before imaging</w:t>
      </w:r>
    </w:p>
    <w:p>
      <w:pPr>
        <w:pStyle w:val="ListParagraph"/>
        <w:numPr>
          <w:ilvl w:val="0"/>
          <w:numId w:val="1"/>
        </w:numPr>
        <w:spacing w:before="0" w:after="0"/>
      </w:pPr>
      <w:r>
        <w:rPr>
          <w:rFonts w:ascii="Arial" w:cs="Arial" w:eastAsia="Arial" w:hAnsi="Arial"/>
          <w:sz w:val="24"/>
          <w:szCs w:val="24"/>
        </w:rPr>
        <w:t xml:space="preserve">Shows patient education: 'MRI findings in people WITHOUT back pain: 30% have disc bulges by age 30, 60% by age 50, 84% by age 80 - most are normal aging, not the cause of pain'</w:t>
      </w:r>
      <w:r>
        <w:rPr>
          <w:rFonts w:ascii="Arial" w:cs="Arial" w:eastAsia="Arial" w:hAnsi="Arial"/>
          <w:sz w:val="24"/>
          <w:szCs w:val="24"/>
          <w:vertAlign w:val="superscript"/>
        </w:rPr>
        <w:t xml:space="preserve">[44]</w:t>
      </w:r>
    </w:p>
    <w:p>
      <w:pPr>
        <w:pStyle w:val="ListParagraph"/>
        <w:numPr>
          <w:ilvl w:val="0"/>
          <w:numId w:val="1"/>
        </w:numPr>
        <w:spacing w:before="0" w:after="0"/>
      </w:pPr>
      <w:r>
        <w:rPr>
          <w:rFonts w:ascii="Arial" w:cs="Arial" w:eastAsia="Arial" w:hAnsi="Arial"/>
          <w:sz w:val="24"/>
          <w:szCs w:val="24"/>
        </w:rPr>
        <w:t xml:space="preserve">Cost comparison display: lumbar MRI $1,200-$2,500 with $800+ patient copay vs physical therapy $150-$300 with $30-$50 copay; insurance denial risk for MRI &lt;6 weeks</w:t>
      </w:r>
    </w:p>
    <w:p>
      <w:pPr>
        <w:pStyle w:val="ListParagraph"/>
        <w:numPr>
          <w:ilvl w:val="0"/>
          <w:numId w:val="1"/>
        </w:numPr>
        <w:spacing w:before="0" w:after="0"/>
      </w:pPr>
      <w:r>
        <w:rPr>
          <w:rFonts w:ascii="Arial" w:cs="Arial" w:eastAsia="Arial" w:hAnsi="Arial"/>
          <w:sz w:val="24"/>
          <w:szCs w:val="24"/>
        </w:rPr>
        <w:t xml:space="preserve">One-click orders: 'Fast Track PT' with appointment within 48-72 hours; NSAIDs or muscle relaxants; return-to-work note with activity modifications</w:t>
      </w:r>
    </w:p>
    <w:p>
      <w:pPr>
        <w:pStyle w:val="ListParagraph"/>
        <w:numPr>
          <w:ilvl w:val="0"/>
          <w:numId w:val="1"/>
        </w:numPr>
        <w:spacing w:before="0" w:after="0"/>
      </w:pPr>
      <w:r>
        <w:rPr>
          <w:rFonts w:ascii="Arial" w:cs="Arial" w:eastAsia="Arial" w:hAnsi="Arial"/>
          <w:sz w:val="24"/>
          <w:szCs w:val="24"/>
        </w:rPr>
        <w:t xml:space="preserve">One-click inserts 'Red Flag Absence Documentation' into note to support medical decision-making and protect against medico-legal risk</w:t>
      </w:r>
    </w:p>
    <w:p>
      <w:pPr>
        <w:spacing w:before="0" w:after="0"/>
      </w:pPr>
      <w:r>
        <w:rPr>
          <w:sz w:val="24"/>
          <w:szCs w:val="24"/>
        </w:rPr>
        <w:t xml:space="preserve"/>
      </w:r>
    </w:p>
    <w:p>
      <w:pPr>
        <w:pStyle w:val="Heading4"/>
        <w:spacing w:before="0" w:after="0"/>
      </w:pPr>
      <w:r>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Schedules physical therapy appointment with expedited access</w:t>
      </w:r>
    </w:p>
    <w:p>
      <w:pPr>
        <w:pStyle w:val="ListParagraph"/>
        <w:numPr>
          <w:ilvl w:val="0"/>
          <w:numId w:val="1"/>
        </w:numPr>
        <w:spacing w:before="0" w:after="0"/>
      </w:pPr>
      <w:r>
        <w:rPr>
          <w:rFonts w:ascii="Arial" w:cs="Arial" w:eastAsia="Arial" w:hAnsi="Arial"/>
          <w:sz w:val="24"/>
          <w:szCs w:val="24"/>
        </w:rPr>
        <w:t xml:space="preserve">Sends patient education materials: natural history of low back pain (90% resolve in 6 weeks); home exercises and stretching; activity modification guidance; when to return (red flags develop)</w:t>
      </w:r>
    </w:p>
    <w:p>
      <w:pPr>
        <w:pStyle w:val="ListParagraph"/>
        <w:numPr>
          <w:ilvl w:val="0"/>
          <w:numId w:val="1"/>
        </w:numPr>
        <w:spacing w:before="0" w:after="0"/>
      </w:pPr>
      <w:r>
        <w:rPr>
          <w:rFonts w:ascii="Arial" w:cs="Arial" w:eastAsia="Arial" w:hAnsi="Arial"/>
          <w:sz w:val="24"/>
          <w:szCs w:val="24"/>
        </w:rPr>
        <w:t xml:space="preserve">Triggers follow-up at 4-6 weeks: if improved, continue conservative care; if no improvement or red flags, consider imaging</w:t>
      </w:r>
    </w:p>
    <w:p>
      <w:pPr>
        <w:pStyle w:val="ListParagraph"/>
        <w:numPr>
          <w:ilvl w:val="0"/>
          <w:numId w:val="1"/>
        </w:numPr>
        <w:spacing w:before="0" w:after="0"/>
      </w:pPr>
      <w:r>
        <w:rPr>
          <w:rFonts w:ascii="Arial" w:cs="Arial" w:eastAsia="Arial" w:hAnsi="Arial"/>
          <w:sz w:val="24"/>
          <w:szCs w:val="24"/>
        </w:rPr>
        <w:t xml:space="preserve">Tracks outcomes: pain improvement, functional status, imaging utilization, patient satisfaction</w:t>
      </w:r>
    </w:p>
    <w:p>
      <w:pPr>
        <w:spacing w:before="0" w:after="0"/>
      </w:pPr>
      <w:r>
        <w:rPr>
          <w:sz w:val="24"/>
          <w:szCs w:val="24"/>
        </w:rPr>
        <w:t xml:space="preserve"/>
      </w:r>
    </w:p>
    <w:p>
      <w:pPr>
        <w:pStyle w:val="Heading3"/>
        <w:spacing w:before="0" w:after="0"/>
      </w:pPr>
      <w:r>
        <w:rPr/>
        <w:t xml:space="preserve">Impact on Three Pillars</w:t>
      </w:r>
    </w:p>
    <w:p>
      <w:pPr>
        <w:spacing w:before="0" w:after="0"/>
      </w:pPr>
      <w:r>
        <w:rPr>
          <w:sz w:val="24"/>
          <w:szCs w:val="24"/>
        </w:rPr>
        <w:t xml:space="preserve"/>
      </w:r>
    </w:p>
    <w:p>
      <w:pPr>
        <w:pStyle w:val="Heading4"/>
        <w:spacing w:before="0" w:after="0"/>
      </w:pPr>
      <w:r>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Physical therapy first reduces 1-year total costs by $4,700 per patient compared to early imaging pathway</w:t>
      </w:r>
      <w:r>
        <w:rPr>
          <w:rFonts w:ascii="Arial" w:cs="Arial" w:eastAsia="Arial" w:hAnsi="Arial"/>
          <w:sz w:val="24"/>
          <w:szCs w:val="24"/>
          <w:vertAlign w:val="superscript"/>
        </w:rPr>
        <w:t xml:space="preserve">[45]</w:t>
      </w:r>
    </w:p>
    <w:p>
      <w:pPr>
        <w:pStyle w:val="ListParagraph"/>
        <w:numPr>
          <w:ilvl w:val="0"/>
          <w:numId w:val="1"/>
        </w:numPr>
        <w:spacing w:before="0" w:after="0"/>
      </w:pPr>
      <w:r>
        <w:rPr>
          <w:rFonts w:ascii="Arial" w:cs="Arial" w:eastAsia="Arial" w:hAnsi="Arial"/>
          <w:sz w:val="24"/>
          <w:szCs w:val="24"/>
        </w:rPr>
        <w:t xml:space="preserve">Reduces odds of surgery, injections, specialist visits, and ED visits within 1 year</w:t>
      </w:r>
      <w:r>
        <w:rPr>
          <w:rFonts w:ascii="Arial" w:cs="Arial" w:eastAsia="Arial" w:hAnsi="Arial"/>
          <w:sz w:val="24"/>
          <w:szCs w:val="24"/>
          <w:vertAlign w:val="superscript"/>
        </w:rPr>
        <w:t xml:space="preserve">[46]</w:t>
      </w:r>
    </w:p>
    <w:p>
      <w:pPr>
        <w:pStyle w:val="ListParagraph"/>
        <w:numPr>
          <w:ilvl w:val="0"/>
          <w:numId w:val="1"/>
        </w:numPr>
        <w:spacing w:before="0" w:after="0"/>
      </w:pPr>
      <w:r>
        <w:rPr>
          <w:rFonts w:ascii="Arial" w:cs="Arial" w:eastAsia="Arial" w:hAnsi="Arial"/>
          <w:sz w:val="24"/>
          <w:szCs w:val="24"/>
        </w:rPr>
        <w:t xml:space="preserve">Decreases insurance denials and appeals, saving 20-30 minutes of staff time per avoided denial</w:t>
      </w:r>
    </w:p>
    <w:p>
      <w:pPr>
        <w:pStyle w:val="ListParagraph"/>
        <w:numPr>
          <w:ilvl w:val="0"/>
          <w:numId w:val="1"/>
        </w:numPr>
        <w:spacing w:before="0" w:after="0"/>
      </w:pPr>
      <w:r>
        <w:rPr>
          <w:rFonts w:ascii="Arial" w:cs="Arial" w:eastAsia="Arial" w:hAnsi="Arial"/>
          <w:sz w:val="24"/>
          <w:szCs w:val="24"/>
        </w:rPr>
        <w:t xml:space="preserve">Captures quality bonuses for adherence to Choosing Wisely guidelines</w:t>
      </w:r>
    </w:p>
    <w:p>
      <w:pPr>
        <w:pStyle w:val="ListParagraph"/>
        <w:numPr>
          <w:ilvl w:val="0"/>
          <w:numId w:val="1"/>
        </w:numPr>
        <w:spacing w:before="0" w:after="0"/>
      </w:pPr>
      <w:r>
        <w:rPr>
          <w:rFonts w:ascii="Arial" w:cs="Arial" w:eastAsia="Arial" w:hAnsi="Arial"/>
          <w:sz w:val="24"/>
          <w:szCs w:val="24"/>
        </w:rPr>
        <w:t xml:space="preserve">Estimated financial impact: $60K-$90K annually per PCP through avoided inappropriate imaging and downstream interventions</w:t>
      </w:r>
    </w:p>
    <w:p>
      <w:pPr>
        <w:spacing w:before="0" w:after="0"/>
      </w:pPr>
      <w:r>
        <w:rPr>
          <w:sz w:val="24"/>
          <w:szCs w:val="24"/>
        </w:rPr>
        <w:t xml:space="preserve"/>
      </w:r>
    </w:p>
    <w:p>
      <w:pPr>
        <w:pStyle w:val="Heading4"/>
        <w:spacing w:before="0" w:after="0"/>
      </w:pPr>
      <w:r>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Meta-analysis of 6 RCTs (1,804 patients): NO differences in pain, function, quality of life, or overall improvement between routine imaging vs usual care</w:t>
      </w:r>
      <w:r>
        <w:rPr>
          <w:rFonts w:ascii="Arial" w:cs="Arial" w:eastAsia="Arial" w:hAnsi="Arial"/>
          <w:sz w:val="24"/>
          <w:szCs w:val="24"/>
          <w:vertAlign w:val="superscript"/>
        </w:rPr>
        <w:t xml:space="preserve">[47]</w:t>
      </w:r>
    </w:p>
    <w:p>
      <w:pPr>
        <w:pStyle w:val="ListParagraph"/>
        <w:numPr>
          <w:ilvl w:val="0"/>
          <w:numId w:val="1"/>
        </w:numPr>
        <w:spacing w:before="0" w:after="0"/>
      </w:pPr>
      <w:r>
        <w:rPr>
          <w:rFonts w:ascii="Arial" w:cs="Arial" w:eastAsia="Arial" w:hAnsi="Arial"/>
          <w:sz w:val="24"/>
          <w:szCs w:val="24"/>
        </w:rPr>
        <w:t xml:space="preserve">Avoids radiation exposure from CT scans and reduces incidental findings requiring unnecessary follow-up</w:t>
      </w:r>
    </w:p>
    <w:p>
      <w:pPr>
        <w:pStyle w:val="ListParagraph"/>
        <w:numPr>
          <w:ilvl w:val="0"/>
          <w:numId w:val="1"/>
        </w:numPr>
        <w:spacing w:before="0" w:after="0"/>
      </w:pPr>
      <w:r>
        <w:rPr>
          <w:rFonts w:ascii="Arial" w:cs="Arial" w:eastAsia="Arial" w:hAnsi="Arial"/>
          <w:sz w:val="24"/>
          <w:szCs w:val="24"/>
        </w:rPr>
        <w:t xml:space="preserve">Physical therapy improves functional outcomes and prevents chronicity of low back pain</w:t>
      </w:r>
    </w:p>
    <w:p>
      <w:pPr>
        <w:pStyle w:val="ListParagraph"/>
        <w:numPr>
          <w:ilvl w:val="0"/>
          <w:numId w:val="1"/>
        </w:numPr>
        <w:spacing w:before="0" w:after="0"/>
      </w:pPr>
      <w:r>
        <w:rPr>
          <w:rFonts w:ascii="Arial" w:cs="Arial" w:eastAsia="Arial" w:hAnsi="Arial"/>
          <w:sz w:val="24"/>
          <w:szCs w:val="24"/>
        </w:rPr>
        <w:t xml:space="preserve">Red flag documentation protects against missing serious pathology (cauda equina, malignancy, infection)</w:t>
      </w:r>
    </w:p>
    <w:p>
      <w:pPr>
        <w:spacing w:before="0" w:after="0"/>
      </w:pPr>
      <w:r>
        <w:rPr>
          <w:sz w:val="24"/>
          <w:szCs w:val="24"/>
        </w:rPr>
        <w:t xml:space="preserve"/>
      </w:r>
    </w:p>
    <w:p>
      <w:pPr>
        <w:pStyle w:val="Heading4"/>
        <w:spacing w:before="0" w:after="0"/>
      </w:pPr>
      <w:r>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application of evidence-based guidelines across entire patient population</w:t>
      </w:r>
    </w:p>
    <w:p>
      <w:pPr>
        <w:pStyle w:val="ListParagraph"/>
        <w:numPr>
          <w:ilvl w:val="0"/>
          <w:numId w:val="1"/>
        </w:numPr>
        <w:spacing w:before="0" w:after="0"/>
      </w:pPr>
      <w:r>
        <w:rPr>
          <w:rFonts w:ascii="Arial" w:cs="Arial" w:eastAsia="Arial" w:hAnsi="Arial"/>
          <w:sz w:val="24"/>
          <w:szCs w:val="24"/>
        </w:rPr>
        <w:t xml:space="preserve">Reduces low-value care utilization at population level</w:t>
      </w:r>
    </w:p>
    <w:p>
      <w:pPr>
        <w:pStyle w:val="ListParagraph"/>
        <w:numPr>
          <w:ilvl w:val="0"/>
          <w:numId w:val="1"/>
        </w:numPr>
        <w:spacing w:before="0" w:after="0"/>
      </w:pPr>
      <w:r>
        <w:rPr>
          <w:rFonts w:ascii="Arial" w:cs="Arial" w:eastAsia="Arial" w:hAnsi="Arial"/>
          <w:sz w:val="24"/>
          <w:szCs w:val="24"/>
        </w:rPr>
        <w:t xml:space="preserve">Improves patient education about natural history of low back pain, reducing future healthcare-seeking for self-limited episodes</w:t>
      </w:r>
    </w:p>
    <w:p>
      <w:pPr>
        <w:pStyle w:val="ListParagraph"/>
        <w:numPr>
          <w:ilvl w:val="0"/>
          <w:numId w:val="1"/>
        </w:numPr>
        <w:spacing w:before="0" w:after="0"/>
      </w:pPr>
      <w:r>
        <w:rPr>
          <w:rFonts w:ascii="Arial" w:cs="Arial" w:eastAsia="Arial" w:hAnsi="Arial"/>
          <w:sz w:val="24"/>
          <w:szCs w:val="24"/>
        </w:rPr>
        <w:t xml:space="preserve">Enables tracking of imaging appropriateness rates for quality improvement</w:t>
      </w:r>
    </w:p>
    <w:p>
      <w:pPr>
        <w:pStyle w:val="ListParagraph"/>
        <w:numPr>
          <w:ilvl w:val="0"/>
          <w:numId w:val="1"/>
        </w:numPr>
        <w:spacing w:before="0" w:after="0"/>
      </w:pPr>
      <w:r>
        <w:rPr>
          <w:rFonts w:ascii="Arial" w:cs="Arial" w:eastAsia="Arial" w:hAnsi="Arial"/>
          <w:sz w:val="24"/>
          <w:szCs w:val="24"/>
        </w:rPr>
        <w:t xml:space="preserve">Estimated impact: 40-50% reduction in inappropriate lumbar spine imaging</w:t>
      </w:r>
    </w:p>
    <w:p>
      <w:pPr>
        <w:spacing w:before="0" w:after="0"/>
      </w:pPr>
      <w:r>
        <w:rPr>
          <w:sz w:val="24"/>
          <w:szCs w:val="24"/>
        </w:rPr>
        <w:t xml:space="preserve"/>
      </w:r>
    </w:p>
    <w:p>
      <w:pPr>
        <w:pStyle w:val="Heading3"/>
        <w:spacing w:before="0" w:after="0"/>
      </w:pPr>
      <w:r>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Removes pressure to order imaging by providing evidence-based alternative and patient education tools</w:t>
      </w:r>
    </w:p>
    <w:p>
      <w:pPr>
        <w:pStyle w:val="ListParagraph"/>
        <w:numPr>
          <w:ilvl w:val="0"/>
          <w:numId w:val="1"/>
        </w:numPr>
        <w:spacing w:before="0" w:after="0"/>
      </w:pPr>
      <w:r>
        <w:rPr>
          <w:rFonts w:ascii="Arial" w:cs="Arial" w:eastAsia="Arial" w:hAnsi="Arial"/>
          <w:sz w:val="24"/>
          <w:szCs w:val="24"/>
        </w:rPr>
        <w:t xml:space="preserve">Real-time cost information enables shared decision-making conversations</w:t>
      </w:r>
    </w:p>
    <w:p>
      <w:pPr>
        <w:pStyle w:val="ListParagraph"/>
        <w:numPr>
          <w:ilvl w:val="0"/>
          <w:numId w:val="1"/>
        </w:numPr>
        <w:spacing w:before="0" w:after="0"/>
      </w:pPr>
      <w:r>
        <w:rPr>
          <w:rFonts w:ascii="Arial" w:cs="Arial" w:eastAsia="Arial" w:hAnsi="Arial"/>
          <w:sz w:val="24"/>
          <w:szCs w:val="24"/>
        </w:rPr>
        <w:t xml:space="preserve">Fast Track PT access addresses patient concerns with immediate action plan</w:t>
      </w:r>
    </w:p>
    <w:p>
      <w:pPr>
        <w:pStyle w:val="ListParagraph"/>
        <w:numPr>
          <w:ilvl w:val="0"/>
          <w:numId w:val="1"/>
        </w:numPr>
        <w:spacing w:before="0" w:after="0"/>
      </w:pPr>
      <w:r>
        <w:rPr>
          <w:rFonts w:ascii="Arial" w:cs="Arial" w:eastAsia="Arial" w:hAnsi="Arial"/>
          <w:sz w:val="24"/>
          <w:szCs w:val="24"/>
        </w:rPr>
        <w:t xml:space="preserve">Automated red flag documentation protects against medico-legal risk</w:t>
      </w:r>
    </w:p>
    <w:p>
      <w:pPr>
        <w:pStyle w:val="ListParagraph"/>
        <w:numPr>
          <w:ilvl w:val="0"/>
          <w:numId w:val="1"/>
        </w:numPr>
        <w:spacing w:before="0" w:after="0"/>
      </w:pPr>
      <w:r>
        <w:rPr>
          <w:rFonts w:ascii="Arial" w:cs="Arial" w:eastAsia="Arial" w:hAnsi="Arial"/>
          <w:sz w:val="24"/>
          <w:szCs w:val="24"/>
        </w:rPr>
        <w:t xml:space="preserve">Meets Choosing Wisely quality metrics without additional work</w:t>
      </w:r>
    </w:p>
    <w:p>
      <w:pPr>
        <w:spacing w:before="0" w:after="0"/>
      </w:pPr>
      <w:r>
        <w:rPr>
          <w:sz w:val="24"/>
          <w:szCs w:val="24"/>
        </w:rPr>
        <w:t xml:space="preserve"/>
      </w:r>
    </w:p>
    <w:p>
      <w:pPr>
        <w:pStyle w:val="Heading3"/>
        <w:spacing w:before="0" w:after="0"/>
      </w:pPr>
      <w:r>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Physical therapy partnership with expedited appointment access (Fast Track PT slots)</w:t>
      </w:r>
    </w:p>
    <w:p>
      <w:pPr>
        <w:pStyle w:val="ListParagraph"/>
        <w:numPr>
          <w:ilvl w:val="0"/>
          <w:numId w:val="1"/>
        </w:numPr>
        <w:spacing w:before="0" w:after="0"/>
      </w:pPr>
      <w:r>
        <w:rPr>
          <w:rFonts w:ascii="Arial" w:cs="Arial" w:eastAsia="Arial" w:hAnsi="Arial"/>
          <w:sz w:val="24"/>
          <w:szCs w:val="24"/>
        </w:rPr>
        <w:t xml:space="preserve">Patient education materials on natural history of low back pain and imaging findings</w:t>
      </w:r>
    </w:p>
    <w:p>
      <w:pPr>
        <w:pStyle w:val="ListParagraph"/>
        <w:numPr>
          <w:ilvl w:val="0"/>
          <w:numId w:val="1"/>
        </w:numPr>
        <w:spacing w:before="0" w:after="0"/>
      </w:pPr>
      <w:r>
        <w:rPr>
          <w:rFonts w:ascii="Arial" w:cs="Arial" w:eastAsia="Arial" w:hAnsi="Arial"/>
          <w:sz w:val="24"/>
          <w:szCs w:val="24"/>
        </w:rPr>
        <w:t xml:space="preserve">EHR integration for red flag assessment and decision support</w:t>
      </w:r>
    </w:p>
    <w:p>
      <w:pPr>
        <w:pStyle w:val="ListParagraph"/>
        <w:numPr>
          <w:ilvl w:val="0"/>
          <w:numId w:val="1"/>
        </w:numPr>
        <w:spacing w:before="0" w:after="0"/>
      </w:pPr>
      <w:r>
        <w:rPr>
          <w:rFonts w:ascii="Arial" w:cs="Arial" w:eastAsia="Arial" w:hAnsi="Arial"/>
          <w:sz w:val="24"/>
          <w:szCs w:val="24"/>
        </w:rPr>
        <w:t xml:space="preserve">Quality tracking dashboard for imaging appropriateness rates</w:t>
      </w:r>
    </w:p>
    <w:p>
      <w:pPr>
        <w:spacing w:before="0" w:after="0"/>
      </w:pPr>
      <w:r>
        <w:rPr>
          <w:sz w:val="24"/>
          <w:szCs w:val="24"/>
        </w:rPr>
        <w:t xml:space="preserve"/>
      </w:r>
    </w:p>
    <w:p>
      <w:pPr>
        <w:pStyle w:val="Heading2"/>
        <w:spacing w:before="0" w:after="0"/>
      </w:pPr>
      <w:r>
        <w:rPr/>
        <w:t xml:space="preserve">USE CASE 8: HCC Coding Optimization and Risk Adjustment Accuracy</w:t>
      </w:r>
    </w:p>
    <w:p>
      <w:pPr>
        <w:spacing w:before="0" w:after="0"/>
      </w:pPr>
      <w:r>
        <w:rPr>
          <w:sz w:val="24"/>
          <w:szCs w:val="24"/>
        </w:rPr>
        <w:t xml:space="preserve"/>
      </w:r>
    </w:p>
    <w:p>
      <w:pPr>
        <w:pStyle w:val="Heading3"/>
        <w:spacing w:before="0" w:after="0"/>
      </w:pPr>
      <w:r>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72-year-old Medicare Advantage patient presents for annual wellness visit with chronic conditions including diabetes with neuropathy, COPD, and heart failure. The physician manages these conditions but codes only "diabetes" without specifying complications. The patient's RAF (Risk Adjustment Factor) score remains artificially low, underestimating their complexity and underpayment for their care.</w:t>
      </w:r>
    </w:p>
    <w:p>
      <w:pPr>
        <w:spacing w:before="0" w:after="0"/>
      </w:pPr>
      <w:r>
        <w:rPr>
          <w:sz w:val="24"/>
          <w:szCs w:val="24"/>
        </w:rPr>
        <w:t xml:space="preserve"/>
      </w:r>
    </w:p>
    <w:p>
      <w:pPr>
        <w:pStyle w:val="Heading3"/>
        <w:spacing w:before="0" w:after="0"/>
      </w:pPr>
      <w:r>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$377 million lost annually from HCC coding inaccuracies and missed risk adjustment opportunities</w:t>
      </w:r>
      <w:r>
        <w:rPr>
          <w:rFonts w:ascii="Arial" w:cs="Arial" w:eastAsia="Arial" w:hAnsi="Arial"/>
          <w:sz w:val="24"/>
          <w:szCs w:val="24"/>
          <w:vertAlign w:val="superscript"/>
        </w:rPr>
        <w:t xml:space="preserve">[48]</w:t>
      </w:r>
    </w:p>
    <w:p>
      <w:pPr>
        <w:pStyle w:val="ListParagraph"/>
        <w:numPr>
          <w:ilvl w:val="0"/>
          <w:numId w:val="1"/>
        </w:numPr>
        <w:spacing w:before="0" w:after="0"/>
      </w:pPr>
      <w:r>
        <w:rPr>
          <w:rFonts w:ascii="Arial" w:cs="Arial" w:eastAsia="Arial" w:hAnsi="Arial"/>
          <w:sz w:val="24"/>
          <w:szCs w:val="24"/>
        </w:rPr>
        <w:t xml:space="preserve">RADV audits extrapolate findings across entire population: every $1 of overpayment becomes $55 in penalties</w:t>
      </w:r>
      <w:r>
        <w:rPr>
          <w:rFonts w:ascii="Arial" w:cs="Arial" w:eastAsia="Arial" w:hAnsi="Arial"/>
          <w:sz w:val="24"/>
          <w:szCs w:val="24"/>
          <w:vertAlign w:val="superscript"/>
        </w:rPr>
        <w:t xml:space="preserve">[49]</w:t>
      </w:r>
    </w:p>
    <w:p>
      <w:pPr>
        <w:pStyle w:val="ListParagraph"/>
        <w:numPr>
          <w:ilvl w:val="0"/>
          <w:numId w:val="1"/>
        </w:numPr>
        <w:spacing w:before="0" w:after="0"/>
      </w:pPr>
      <w:r>
        <w:rPr>
          <w:rFonts w:ascii="Arial" w:cs="Arial" w:eastAsia="Arial" w:hAnsi="Arial"/>
          <w:sz w:val="24"/>
          <w:szCs w:val="24"/>
        </w:rPr>
        <w:t xml:space="preserve">Chronic conditions must be recaptured annually or they drop off RAF calculations, requiring systematic documentation</w:t>
      </w:r>
    </w:p>
    <w:p>
      <w:pPr>
        <w:pStyle w:val="ListParagraph"/>
        <w:numPr>
          <w:ilvl w:val="0"/>
          <w:numId w:val="1"/>
        </w:numPr>
        <w:spacing w:before="0" w:after="0"/>
      </w:pPr>
      <w:r>
        <w:rPr>
          <w:rFonts w:ascii="Arial" w:cs="Arial" w:eastAsia="Arial" w:hAnsi="Arial"/>
          <w:sz w:val="24"/>
          <w:szCs w:val="24"/>
        </w:rPr>
        <w:t xml:space="preserve">Physicians unfamiliar with HCC coding specificity requirements and MEAT criteria (Monitored, Evaluated, Assessed, Treated)</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RAF score 1.0 = average predicted costs; higher RAF = more complex/costly patients deserving higher capitation payments</w:t>
      </w:r>
      <w:r>
        <w:rPr>
          <w:rFonts w:ascii="Arial" w:cs="Arial" w:eastAsia="Arial" w:hAnsi="Arial"/>
          <w:sz w:val="24"/>
          <w:szCs w:val="24"/>
          <w:vertAlign w:val="superscript"/>
        </w:rPr>
        <w:t xml:space="preserve">[50]</w:t>
      </w:r>
    </w:p>
    <w:p>
      <w:pPr>
        <w:pStyle w:val="ListParagraph"/>
        <w:numPr>
          <w:ilvl w:val="0"/>
          <w:numId w:val="1"/>
        </w:numPr>
        <w:spacing w:before="0" w:after="0"/>
      </w:pPr>
      <w:r>
        <w:rPr>
          <w:rFonts w:ascii="Arial" w:cs="Arial" w:eastAsia="Arial" w:hAnsi="Arial"/>
          <w:sz w:val="24"/>
          <w:szCs w:val="24"/>
        </w:rPr>
        <w:t xml:space="preserve">Undercoding underestimates patient complexity, leading to inadequate resources for care management</w:t>
      </w:r>
    </w:p>
    <w:p>
      <w:pPr>
        <w:pStyle w:val="ListParagraph"/>
        <w:numPr>
          <w:ilvl w:val="0"/>
          <w:numId w:val="1"/>
        </w:numPr>
        <w:spacing w:before="0" w:after="0"/>
      </w:pPr>
      <w:r>
        <w:rPr>
          <w:rFonts w:ascii="Arial" w:cs="Arial" w:eastAsia="Arial" w:hAnsi="Arial"/>
          <w:sz w:val="24"/>
          <w:szCs w:val="24"/>
        </w:rPr>
        <w:t xml:space="preserve">Vague documentation ("diabetes") vs specific coding ("diabetes with diabetic peripheral neuropathy, E11.40") misses HCC capture</w:t>
      </w:r>
    </w:p>
    <w:p>
      <w:pPr>
        <w:pStyle w:val="ListParagraph"/>
        <w:numPr>
          <w:ilvl w:val="0"/>
          <w:numId w:val="1"/>
        </w:numPr>
        <w:spacing w:before="0" w:after="0"/>
      </w:pPr>
      <w:r>
        <w:rPr>
          <w:rFonts w:ascii="Arial" w:cs="Arial" w:eastAsia="Arial" w:hAnsi="Arial"/>
          <w:sz w:val="24"/>
          <w:szCs w:val="24"/>
        </w:rPr>
        <w:t xml:space="preserve">Annual physician or APP visit required to recapture chronic HCCs; specialist visits don't count</w:t>
      </w:r>
    </w:p>
    <w:p>
      <w:pPr>
        <w:spacing w:before="0" w:after="0"/>
      </w:pPr>
      <w:r>
        <w:rPr>
          <w:sz w:val="24"/>
          <w:szCs w:val="24"/>
        </w:rPr>
        <w:t xml:space="preserve"/>
      </w:r>
    </w:p>
    <w:p>
      <w:pPr>
        <w:pStyle w:val="Heading3"/>
        <w:spacing w:before="0" w:after="0"/>
      </w:pPr>
      <w:r>
        <w:rPr/>
        <w:t xml:space="preserve">Cordance Solution</w:t>
      </w:r>
    </w:p>
    <w:p>
      <w:pPr>
        <w:spacing w:before="0" w:after="0"/>
      </w:pPr>
      <w:r>
        <w:rPr>
          <w:sz w:val="24"/>
          <w:szCs w:val="24"/>
        </w:rPr>
        <w:t xml:space="preserve"/>
      </w:r>
    </w:p>
    <w:p>
      <w:pPr>
        <w:pStyle w:val="Heading4"/>
        <w:spacing w:before="0" w:after="0"/>
      </w:pPr>
      <w:r>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Medicare Advantage patients with HCC gaps or recapture needs</w:t>
      </w:r>
    </w:p>
    <w:p>
      <w:pPr>
        <w:pStyle w:val="ListParagraph"/>
        <w:numPr>
          <w:ilvl w:val="0"/>
          <w:numId w:val="1"/>
        </w:numPr>
        <w:spacing w:before="0" w:after="0"/>
      </w:pPr>
      <w:r>
        <w:rPr>
          <w:rFonts w:ascii="Arial" w:cs="Arial" w:eastAsia="Arial" w:hAnsi="Arial"/>
          <w:sz w:val="24"/>
          <w:szCs w:val="24"/>
        </w:rPr>
        <w:t xml:space="preserve">Creates prioritized list based on: suspected HCCs (conditions discussed but not coded); prior year HCCs needing annual recapture; chronic conditions without specific ICD-10 codes</w:t>
      </w:r>
    </w:p>
    <w:p>
      <w:pPr>
        <w:pStyle w:val="ListParagraph"/>
        <w:numPr>
          <w:ilvl w:val="0"/>
          <w:numId w:val="1"/>
        </w:numPr>
        <w:spacing w:before="0" w:after="0"/>
      </w:pPr>
      <w:r>
        <w:rPr>
          <w:rFonts w:ascii="Arial" w:cs="Arial" w:eastAsia="Arial" w:hAnsi="Arial"/>
          <w:sz w:val="24"/>
          <w:szCs w:val="24"/>
        </w:rPr>
        <w:t xml:space="preserve">Pre-loads problem list, previous year's HCC diagnoses, and specialty visit notes mentioning chronic conditions</w:t>
      </w:r>
    </w:p>
    <w:p>
      <w:pPr>
        <w:spacing w:before="0" w:after="0"/>
      </w:pPr>
      <w:r>
        <w:rPr>
          <w:sz w:val="24"/>
          <w:szCs w:val="24"/>
        </w:rPr>
        <w:t xml:space="preserve"/>
      </w:r>
    </w:p>
    <w:p>
      <w:pPr>
        <w:pStyle w:val="Heading4"/>
        <w:spacing w:before="0" w:after="0"/>
      </w:pPr>
      <w:r>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HCC dashboard: current RAF score vs expected based on complexity; HCCs captured year-to-date vs prior year; 'Recapture List' of chronic conditions from last year needing documentation this year; 'Coding Specificity Opportunities' where more specific ICD-10 codes apply</w:t>
      </w:r>
      <w:r>
        <w:rPr>
          <w:rFonts w:ascii="Arial" w:cs="Arial" w:eastAsia="Arial" w:hAnsi="Arial"/>
          <w:sz w:val="24"/>
          <w:szCs w:val="24"/>
          <w:vertAlign w:val="superscript"/>
        </w:rPr>
        <w:t xml:space="preserve">[51]</w:t>
      </w:r>
    </w:p>
    <w:p>
      <w:pPr>
        <w:pStyle w:val="ListParagraph"/>
        <w:numPr>
          <w:ilvl w:val="0"/>
          <w:numId w:val="1"/>
        </w:numPr>
        <w:spacing w:before="0" w:after="0"/>
      </w:pPr>
      <w:r>
        <w:rPr>
          <w:rFonts w:ascii="Arial" w:cs="Arial" w:eastAsia="Arial" w:hAnsi="Arial"/>
          <w:sz w:val="24"/>
          <w:szCs w:val="24"/>
        </w:rPr>
        <w:t xml:space="preserve">Real-time coding suggestions during documentation: 'Diabetes and neuropathy discussed. Consider E11.40 (Type 2 DM with diabetic neuropathy) instead of E11.9 (Type 2 DM without complications)'; 'CHF mentioned. Specify systolic vs diastolic and acute vs chronic for accurate HCC'</w:t>
      </w:r>
    </w:p>
    <w:p>
      <w:pPr>
        <w:pStyle w:val="ListParagraph"/>
        <w:numPr>
          <w:ilvl w:val="0"/>
          <w:numId w:val="1"/>
        </w:numPr>
        <w:spacing w:before="0" w:after="0"/>
      </w:pPr>
      <w:r>
        <w:rPr>
          <w:rFonts w:ascii="Arial" w:cs="Arial" w:eastAsia="Arial" w:hAnsi="Arial"/>
          <w:sz w:val="24"/>
          <w:szCs w:val="24"/>
        </w:rPr>
        <w:t xml:space="preserve">MEAT criteria helper: one-click inserts documentation phrases supporting HCC codes: 'Diabetes with neuropathy: Monitored with HbA1c and monofilament exam. Evaluated current glycemic control. Assessed medication adherence. Treated with metformin and gabapentin for neuropathic pain'</w:t>
      </w:r>
    </w:p>
    <w:p>
      <w:pPr>
        <w:pStyle w:val="ListParagraph"/>
        <w:numPr>
          <w:ilvl w:val="0"/>
          <w:numId w:val="1"/>
        </w:numPr>
        <w:spacing w:before="0" w:after="0"/>
      </w:pPr>
      <w:r>
        <w:rPr>
          <w:rFonts w:ascii="Arial" w:cs="Arial" w:eastAsia="Arial" w:hAnsi="Arial"/>
          <w:sz w:val="24"/>
          <w:szCs w:val="24"/>
        </w:rPr>
        <w:t xml:space="preserve">One-click adds diagnoses to Assessment &amp; Plan with appropriate specificity</w:t>
      </w:r>
    </w:p>
    <w:p>
      <w:pPr>
        <w:pStyle w:val="ListParagraph"/>
        <w:numPr>
          <w:ilvl w:val="0"/>
          <w:numId w:val="1"/>
        </w:numPr>
        <w:spacing w:before="0" w:after="0"/>
      </w:pPr>
      <w:r>
        <w:rPr>
          <w:rFonts w:ascii="Arial" w:cs="Arial" w:eastAsia="Arial" w:hAnsi="Arial"/>
          <w:sz w:val="24"/>
          <w:szCs w:val="24"/>
        </w:rPr>
        <w:t xml:space="preserve">Alerts for conditions needing annual encounter (specialist notes don't count for RAF)</w:t>
      </w:r>
    </w:p>
    <w:p>
      <w:pPr>
        <w:spacing w:before="0" w:after="0"/>
      </w:pPr>
      <w:r>
        <w:rPr>
          <w:sz w:val="24"/>
          <w:szCs w:val="24"/>
        </w:rPr>
        <w:t xml:space="preserve"/>
      </w:r>
    </w:p>
    <w:p>
      <w:pPr>
        <w:pStyle w:val="Heading4"/>
        <w:spacing w:before="0" w:after="0"/>
      </w:pPr>
      <w:r>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Validates that all discussed chronic conditions have been coded with appropriate specificity</w:t>
      </w:r>
    </w:p>
    <w:p>
      <w:pPr>
        <w:pStyle w:val="ListParagraph"/>
        <w:numPr>
          <w:ilvl w:val="0"/>
          <w:numId w:val="1"/>
        </w:numPr>
        <w:spacing w:before="0" w:after="0"/>
      </w:pPr>
      <w:r>
        <w:rPr>
          <w:rFonts w:ascii="Arial" w:cs="Arial" w:eastAsia="Arial" w:hAnsi="Arial"/>
          <w:sz w:val="24"/>
          <w:szCs w:val="24"/>
        </w:rPr>
        <w:t xml:space="preserve">Generates HCC recapture report for quality assurance and revenue cycle review</w:t>
      </w:r>
    </w:p>
    <w:p>
      <w:pPr>
        <w:pStyle w:val="ListParagraph"/>
        <w:numPr>
          <w:ilvl w:val="0"/>
          <w:numId w:val="1"/>
        </w:numPr>
        <w:spacing w:before="0" w:after="0"/>
      </w:pPr>
      <w:r>
        <w:rPr>
          <w:rFonts w:ascii="Arial" w:cs="Arial" w:eastAsia="Arial" w:hAnsi="Arial"/>
          <w:sz w:val="24"/>
          <w:szCs w:val="24"/>
        </w:rPr>
        <w:t xml:space="preserve">Schedules follow-up for patients with multiple HCC gaps requiring additional visits</w:t>
      </w:r>
    </w:p>
    <w:p>
      <w:pPr>
        <w:pStyle w:val="ListParagraph"/>
        <w:numPr>
          <w:ilvl w:val="0"/>
          <w:numId w:val="1"/>
        </w:numPr>
        <w:spacing w:before="0" w:after="0"/>
      </w:pPr>
      <w:r>
        <w:rPr>
          <w:rFonts w:ascii="Arial" w:cs="Arial" w:eastAsia="Arial" w:hAnsi="Arial"/>
          <w:sz w:val="24"/>
          <w:szCs w:val="24"/>
        </w:rPr>
        <w:t xml:space="preserve">Tracks RAF score changes and estimated revenue impact</w:t>
      </w:r>
    </w:p>
    <w:p>
      <w:pPr>
        <w:pStyle w:val="ListParagraph"/>
        <w:numPr>
          <w:ilvl w:val="0"/>
          <w:numId w:val="1"/>
        </w:numPr>
        <w:spacing w:before="0" w:after="0"/>
      </w:pPr>
      <w:r>
        <w:rPr>
          <w:rFonts w:ascii="Arial" w:cs="Arial" w:eastAsia="Arial" w:hAnsi="Arial"/>
          <w:sz w:val="24"/>
          <w:szCs w:val="24"/>
        </w:rPr>
        <w:t xml:space="preserve">Creates alerts for conditions needing recapture before year-end</w:t>
      </w:r>
    </w:p>
    <w:p>
      <w:pPr>
        <w:spacing w:before="0" w:after="0"/>
      </w:pPr>
      <w:r>
        <w:rPr>
          <w:sz w:val="24"/>
          <w:szCs w:val="24"/>
        </w:rPr>
        <w:t xml:space="preserve"/>
      </w:r>
    </w:p>
    <w:p>
      <w:pPr>
        <w:pStyle w:val="Heading3"/>
        <w:spacing w:before="0" w:after="0"/>
      </w:pPr>
      <w:r>
        <w:rPr/>
        <w:t xml:space="preserve">Impact on Three Pillars</w:t>
      </w:r>
    </w:p>
    <w:p>
      <w:pPr>
        <w:spacing w:before="0" w:after="0"/>
      </w:pPr>
      <w:r>
        <w:rPr>
          <w:sz w:val="24"/>
          <w:szCs w:val="24"/>
        </w:rPr>
        <w:t xml:space="preserve"/>
      </w:r>
    </w:p>
    <w:p>
      <w:pPr>
        <w:pStyle w:val="Heading4"/>
        <w:spacing w:before="0" w:after="0"/>
      </w:pPr>
      <w:r>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Accurate HCC coding increases capitation payments reflecting true patient complexity (average $10K-$15K additional revenue per PCP panel annually)</w:t>
      </w:r>
      <w:r>
        <w:rPr>
          <w:rFonts w:ascii="Arial" w:cs="Arial" w:eastAsia="Arial" w:hAnsi="Arial"/>
          <w:sz w:val="24"/>
          <w:szCs w:val="24"/>
          <w:vertAlign w:val="superscript"/>
        </w:rPr>
        <w:t xml:space="preserve">[52]</w:t>
      </w:r>
    </w:p>
    <w:p>
      <w:pPr>
        <w:pStyle w:val="ListParagraph"/>
        <w:numPr>
          <w:ilvl w:val="0"/>
          <w:numId w:val="1"/>
        </w:numPr>
        <w:spacing w:before="0" w:after="0"/>
      </w:pPr>
      <w:r>
        <w:rPr>
          <w:rFonts w:ascii="Arial" w:cs="Arial" w:eastAsia="Arial" w:hAnsi="Arial"/>
          <w:sz w:val="24"/>
          <w:szCs w:val="24"/>
        </w:rPr>
        <w:t xml:space="preserve">Avoids RADV penalties where every dollar of inaccuracy multiplies 55x across population</w:t>
      </w:r>
      <w:r>
        <w:rPr>
          <w:rFonts w:ascii="Arial" w:cs="Arial" w:eastAsia="Arial" w:hAnsi="Arial"/>
          <w:sz w:val="24"/>
          <w:szCs w:val="24"/>
          <w:vertAlign w:val="superscript"/>
        </w:rPr>
        <w:t xml:space="preserve">[53]</w:t>
      </w:r>
    </w:p>
    <w:p>
      <w:pPr>
        <w:pStyle w:val="ListParagraph"/>
        <w:numPr>
          <w:ilvl w:val="0"/>
          <w:numId w:val="1"/>
        </w:numPr>
        <w:spacing w:before="0" w:after="0"/>
      </w:pPr>
      <w:r>
        <w:rPr>
          <w:rFonts w:ascii="Arial" w:cs="Arial" w:eastAsia="Arial" w:hAnsi="Arial"/>
          <w:sz w:val="24"/>
          <w:szCs w:val="24"/>
        </w:rPr>
        <w:t xml:space="preserve">Higher RAF scores enable enhanced care management resources for complex patients</w:t>
      </w:r>
    </w:p>
    <w:p>
      <w:pPr>
        <w:pStyle w:val="ListParagraph"/>
        <w:numPr>
          <w:ilvl w:val="0"/>
          <w:numId w:val="1"/>
        </w:numPr>
        <w:spacing w:before="0" w:after="0"/>
      </w:pPr>
      <w:r>
        <w:rPr>
          <w:rFonts w:ascii="Arial" w:cs="Arial" w:eastAsia="Arial" w:hAnsi="Arial"/>
          <w:sz w:val="24"/>
          <w:szCs w:val="24"/>
        </w:rPr>
        <w:t xml:space="preserve">Supports accurate cost predictions for Medicare Shared Savings Program (MSSP) ACOs</w:t>
      </w:r>
    </w:p>
    <w:p>
      <w:pPr>
        <w:pStyle w:val="ListParagraph"/>
        <w:numPr>
          <w:ilvl w:val="0"/>
          <w:numId w:val="1"/>
        </w:numPr>
        <w:spacing w:before="0" w:after="0"/>
      </w:pPr>
      <w:r>
        <w:rPr>
          <w:rFonts w:ascii="Arial" w:cs="Arial" w:eastAsia="Arial" w:hAnsi="Arial"/>
          <w:sz w:val="24"/>
          <w:szCs w:val="24"/>
        </w:rPr>
        <w:t xml:space="preserve">Estimated financial impact: $100K-$200K annually per PCP through accurate risk adjustment and avoided penalties</w:t>
      </w:r>
    </w:p>
    <w:p>
      <w:pPr>
        <w:spacing w:before="0" w:after="0"/>
      </w:pPr>
      <w:r>
        <w:rPr>
          <w:sz w:val="24"/>
          <w:szCs w:val="24"/>
        </w:rPr>
        <w:t xml:space="preserve"/>
      </w:r>
    </w:p>
    <w:p>
      <w:pPr>
        <w:pStyle w:val="Heading4"/>
        <w:spacing w:before="0" w:after="0"/>
      </w:pPr>
      <w:r>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Accurate documentation of patient complexity enables appropriate care management resources</w:t>
      </w:r>
    </w:p>
    <w:p>
      <w:pPr>
        <w:pStyle w:val="ListParagraph"/>
        <w:numPr>
          <w:ilvl w:val="0"/>
          <w:numId w:val="1"/>
        </w:numPr>
        <w:spacing w:before="0" w:after="0"/>
      </w:pPr>
      <w:r>
        <w:rPr>
          <w:rFonts w:ascii="Arial" w:cs="Arial" w:eastAsia="Arial" w:hAnsi="Arial"/>
          <w:sz w:val="24"/>
          <w:szCs w:val="24"/>
        </w:rPr>
        <w:t xml:space="preserve">Systematic review of chronic conditions ensures nothing is overlooked or under-managed</w:t>
      </w:r>
    </w:p>
    <w:p>
      <w:pPr>
        <w:pStyle w:val="ListParagraph"/>
        <w:numPr>
          <w:ilvl w:val="0"/>
          <w:numId w:val="1"/>
        </w:numPr>
        <w:spacing w:before="0" w:after="0"/>
      </w:pPr>
      <w:r>
        <w:rPr>
          <w:rFonts w:ascii="Arial" w:cs="Arial" w:eastAsia="Arial" w:hAnsi="Arial"/>
          <w:sz w:val="24"/>
          <w:szCs w:val="24"/>
        </w:rPr>
        <w:t xml:space="preserve">Improved problem list accuracy enhances care coordination and medication reconciliation</w:t>
      </w:r>
    </w:p>
    <w:p>
      <w:pPr>
        <w:pStyle w:val="ListParagraph"/>
        <w:numPr>
          <w:ilvl w:val="0"/>
          <w:numId w:val="1"/>
        </w:numPr>
        <w:spacing w:before="0" w:after="0"/>
      </w:pPr>
      <w:r>
        <w:rPr>
          <w:rFonts w:ascii="Arial" w:cs="Arial" w:eastAsia="Arial" w:hAnsi="Arial"/>
          <w:sz w:val="24"/>
          <w:szCs w:val="24"/>
        </w:rPr>
        <w:t xml:space="preserve">MEAT criteria documentation demonstrates quality of chronic disease management</w:t>
      </w:r>
    </w:p>
    <w:p>
      <w:pPr>
        <w:spacing w:before="0" w:after="0"/>
      </w:pPr>
      <w:r>
        <w:rPr>
          <w:sz w:val="24"/>
          <w:szCs w:val="24"/>
        </w:rPr>
        <w:t xml:space="preserve"/>
      </w:r>
    </w:p>
    <w:p>
      <w:pPr>
        <w:pStyle w:val="Heading4"/>
        <w:spacing w:before="0" w:after="0"/>
      </w:pPr>
      <w:r>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HCC recapture ensures all Medicare Advantage patients receive annual comprehensive assessment</w:t>
      </w:r>
    </w:p>
    <w:p>
      <w:pPr>
        <w:pStyle w:val="ListParagraph"/>
        <w:numPr>
          <w:ilvl w:val="0"/>
          <w:numId w:val="1"/>
        </w:numPr>
        <w:spacing w:before="0" w:after="0"/>
      </w:pPr>
      <w:r>
        <w:rPr>
          <w:rFonts w:ascii="Arial" w:cs="Arial" w:eastAsia="Arial" w:hAnsi="Arial"/>
          <w:sz w:val="24"/>
          <w:szCs w:val="24"/>
        </w:rPr>
        <w:t xml:space="preserve">Higher RAF scores trigger care management programs for complex patients</w:t>
      </w:r>
    </w:p>
    <w:p>
      <w:pPr>
        <w:pStyle w:val="ListParagraph"/>
        <w:numPr>
          <w:ilvl w:val="0"/>
          <w:numId w:val="1"/>
        </w:numPr>
        <w:spacing w:before="0" w:after="0"/>
      </w:pPr>
      <w:r>
        <w:rPr>
          <w:rFonts w:ascii="Arial" w:cs="Arial" w:eastAsia="Arial" w:hAnsi="Arial"/>
          <w:sz w:val="24"/>
          <w:szCs w:val="24"/>
        </w:rPr>
        <w:t xml:space="preserve">Improved documentation enables better population health analytics and risk stratification</w:t>
      </w:r>
    </w:p>
    <w:p>
      <w:pPr>
        <w:pStyle w:val="ListParagraph"/>
        <w:numPr>
          <w:ilvl w:val="0"/>
          <w:numId w:val="1"/>
        </w:numPr>
        <w:spacing w:before="0" w:after="0"/>
      </w:pPr>
      <w:r>
        <w:rPr>
          <w:rFonts w:ascii="Arial" w:cs="Arial" w:eastAsia="Arial" w:hAnsi="Arial"/>
          <w:sz w:val="24"/>
          <w:szCs w:val="24"/>
        </w:rPr>
        <w:t xml:space="preserve">Reduces disparities by ensuring all patients' complexity is accurately recognized</w:t>
      </w:r>
    </w:p>
    <w:p>
      <w:pPr>
        <w:pStyle w:val="ListParagraph"/>
        <w:numPr>
          <w:ilvl w:val="0"/>
          <w:numId w:val="1"/>
        </w:numPr>
        <w:spacing w:before="0" w:after="0"/>
      </w:pPr>
      <w:r>
        <w:rPr>
          <w:rFonts w:ascii="Arial" w:cs="Arial" w:eastAsia="Arial" w:hAnsi="Arial"/>
          <w:sz w:val="24"/>
          <w:szCs w:val="24"/>
        </w:rPr>
        <w:t xml:space="preserve">Estimated impact: 20-30% increase in HCC capture rate, 0.15-0.25 point RAF score improvement per patient</w:t>
      </w:r>
    </w:p>
    <w:p>
      <w:pPr>
        <w:spacing w:before="0" w:after="0"/>
      </w:pPr>
      <w:r>
        <w:rPr>
          <w:sz w:val="24"/>
          <w:szCs w:val="24"/>
        </w:rPr>
        <w:t xml:space="preserve"/>
      </w:r>
    </w:p>
    <w:p>
      <w:pPr>
        <w:pStyle w:val="Heading3"/>
        <w:spacing w:before="0" w:after="0"/>
      </w:pPr>
      <w:r>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cognitive burden of remembering HCC coding rules and ICD-10 specificity</w:t>
      </w:r>
    </w:p>
    <w:p>
      <w:pPr>
        <w:pStyle w:val="ListParagraph"/>
        <w:numPr>
          <w:ilvl w:val="0"/>
          <w:numId w:val="1"/>
        </w:numPr>
        <w:spacing w:before="0" w:after="0"/>
      </w:pPr>
      <w:r>
        <w:rPr>
          <w:rFonts w:ascii="Arial" w:cs="Arial" w:eastAsia="Arial" w:hAnsi="Arial"/>
          <w:sz w:val="24"/>
          <w:szCs w:val="24"/>
        </w:rPr>
        <w:t xml:space="preserve">Real-time coding suggestions during documentation save time and improve accuracy</w:t>
      </w:r>
    </w:p>
    <w:p>
      <w:pPr>
        <w:pStyle w:val="ListParagraph"/>
        <w:numPr>
          <w:ilvl w:val="0"/>
          <w:numId w:val="1"/>
        </w:numPr>
        <w:spacing w:before="0" w:after="0"/>
      </w:pPr>
      <w:r>
        <w:rPr>
          <w:rFonts w:ascii="Arial" w:cs="Arial" w:eastAsia="Arial" w:hAnsi="Arial"/>
          <w:sz w:val="24"/>
          <w:szCs w:val="24"/>
        </w:rPr>
        <w:t xml:space="preserve">MEAT criteria helper automates documentation requirements</w:t>
      </w:r>
    </w:p>
    <w:p>
      <w:pPr>
        <w:pStyle w:val="ListParagraph"/>
        <w:numPr>
          <w:ilvl w:val="0"/>
          <w:numId w:val="1"/>
        </w:numPr>
        <w:spacing w:before="0" w:after="0"/>
      </w:pPr>
      <w:r>
        <w:rPr>
          <w:rFonts w:ascii="Arial" w:cs="Arial" w:eastAsia="Arial" w:hAnsi="Arial"/>
          <w:sz w:val="24"/>
          <w:szCs w:val="24"/>
        </w:rPr>
        <w:t xml:space="preserve">Protects against RADV audits through compliant, specific documentation</w:t>
      </w:r>
    </w:p>
    <w:p>
      <w:pPr>
        <w:pStyle w:val="ListParagraph"/>
        <w:numPr>
          <w:ilvl w:val="0"/>
          <w:numId w:val="1"/>
        </w:numPr>
        <w:spacing w:before="0" w:after="0"/>
      </w:pPr>
      <w:r>
        <w:rPr>
          <w:rFonts w:ascii="Arial" w:cs="Arial" w:eastAsia="Arial" w:hAnsi="Arial"/>
          <w:sz w:val="24"/>
          <w:szCs w:val="24"/>
        </w:rPr>
        <w:t xml:space="preserve">Demonstrates physician's value in managing complex patient populations</w:t>
      </w:r>
    </w:p>
    <w:p>
      <w:pPr>
        <w:spacing w:before="0" w:after="0"/>
      </w:pPr>
      <w:r>
        <w:rPr>
          <w:sz w:val="24"/>
          <w:szCs w:val="24"/>
        </w:rPr>
        <w:t xml:space="preserve"/>
      </w:r>
    </w:p>
    <w:p>
      <w:pPr>
        <w:pStyle w:val="Heading3"/>
        <w:spacing w:before="0" w:after="0"/>
      </w:pPr>
      <w:r>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HCC coding databases and annual updates</w:t>
      </w:r>
    </w:p>
    <w:p>
      <w:pPr>
        <w:pStyle w:val="ListParagraph"/>
        <w:numPr>
          <w:ilvl w:val="0"/>
          <w:numId w:val="1"/>
        </w:numPr>
        <w:spacing w:before="0" w:after="0"/>
      </w:pPr>
      <w:r>
        <w:rPr>
          <w:rFonts w:ascii="Arial" w:cs="Arial" w:eastAsia="Arial" w:hAnsi="Arial"/>
          <w:sz w:val="24"/>
          <w:szCs w:val="24"/>
        </w:rPr>
        <w:t xml:space="preserve">NLP analysis of documentation to identify mentioned but uncoded conditions</w:t>
      </w:r>
    </w:p>
    <w:p>
      <w:pPr>
        <w:pStyle w:val="ListParagraph"/>
        <w:numPr>
          <w:ilvl w:val="0"/>
          <w:numId w:val="1"/>
        </w:numPr>
        <w:spacing w:before="0" w:after="0"/>
      </w:pPr>
      <w:r>
        <w:rPr>
          <w:rFonts w:ascii="Arial" w:cs="Arial" w:eastAsia="Arial" w:hAnsi="Arial"/>
          <w:sz w:val="24"/>
          <w:szCs w:val="24"/>
        </w:rPr>
        <w:t xml:space="preserve">Revenue cycle management partnership for HCC validation and reporting</w:t>
      </w:r>
    </w:p>
    <w:p>
      <w:pPr>
        <w:pStyle w:val="ListParagraph"/>
        <w:numPr>
          <w:ilvl w:val="0"/>
          <w:numId w:val="1"/>
        </w:numPr>
        <w:spacing w:before="0" w:after="0"/>
      </w:pPr>
      <w:r>
        <w:rPr>
          <w:rFonts w:ascii="Arial" w:cs="Arial" w:eastAsia="Arial" w:hAnsi="Arial"/>
          <w:sz w:val="24"/>
          <w:szCs w:val="24"/>
        </w:rPr>
        <w:t xml:space="preserve">Physician education on HCC coding principles and MEAT criteria</w:t>
      </w:r>
    </w:p>
    <w:p>
      <w:pPr>
        <w:spacing w:before="0" w:after="0"/>
      </w:pPr>
      <w:r>
        <w:rPr>
          <w:sz w:val="24"/>
          <w:szCs w:val="24"/>
        </w:rPr>
        <w:t xml:space="preserve"/>
      </w:r>
    </w:p>
    <w:p>
      <w:pPr>
        <w:pStyle w:val="Heading2"/>
        <w:spacing w:before="0" w:after="0"/>
      </w:pPr>
      <w:r>
        <w:rPr/>
        <w:t xml:space="preserve">USE CASE 9: Pre-operative Risk Stratification and Clearance Optimization</w:t>
      </w:r>
    </w:p>
    <w:p>
      <w:pPr>
        <w:spacing w:before="0" w:after="0"/>
      </w:pPr>
      <w:r>
        <w:rPr>
          <w:sz w:val="24"/>
          <w:szCs w:val="24"/>
        </w:rPr>
        <w:t xml:space="preserve"/>
      </w:r>
    </w:p>
    <w:p>
      <w:pPr>
        <w:pStyle w:val="Heading3"/>
        <w:spacing w:before="0" w:after="0"/>
      </w:pPr>
      <w:r>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68-year-old patient with hypertension and diabetes is scheduled for elective hip replacement in 3 weeks. The surgeon requests "cardiac clearance." The physician is uncertain which tests are needed (EKG? stress test? echo?), how to calculate cardiac risk, and whether the patient can safely proceed with surgery. The patient is anxious and the surgical scheduler is pressing for clearance documentation.</w:t>
      </w:r>
    </w:p>
    <w:p>
      <w:pPr>
        <w:spacing w:before="0" w:after="0"/>
      </w:pPr>
      <w:r>
        <w:rPr>
          <w:sz w:val="24"/>
          <w:szCs w:val="24"/>
        </w:rPr>
        <w:t xml:space="preserve"/>
      </w:r>
    </w:p>
    <w:p>
      <w:pPr>
        <w:pStyle w:val="Heading3"/>
        <w:spacing w:before="0" w:after="0"/>
      </w:pPr>
      <w:r>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Pre-operative clearance requests are frequent but guidelines are complex and vary by surgery type</w:t>
      </w:r>
    </w:p>
    <w:p>
      <w:pPr>
        <w:pStyle w:val="ListParagraph"/>
        <w:numPr>
          <w:ilvl w:val="0"/>
          <w:numId w:val="1"/>
        </w:numPr>
        <w:spacing w:before="0" w:after="0"/>
      </w:pPr>
      <w:r>
        <w:rPr>
          <w:rFonts w:ascii="Arial" w:cs="Arial" w:eastAsia="Arial" w:hAnsi="Arial"/>
          <w:sz w:val="24"/>
          <w:szCs w:val="24"/>
        </w:rPr>
        <w:t xml:space="preserve">Conceptual shift: NOT 'cardiac clearance' but rather 'risk stratification and mitigation' to optimize perioperative outcomes</w:t>
      </w:r>
      <w:r>
        <w:rPr>
          <w:rFonts w:ascii="Arial" w:cs="Arial" w:eastAsia="Arial" w:hAnsi="Arial"/>
          <w:sz w:val="24"/>
          <w:szCs w:val="24"/>
          <w:vertAlign w:val="superscript"/>
        </w:rPr>
        <w:t xml:space="preserve">[54]</w:t>
      </w:r>
    </w:p>
    <w:p>
      <w:pPr>
        <w:pStyle w:val="ListParagraph"/>
        <w:numPr>
          <w:ilvl w:val="0"/>
          <w:numId w:val="1"/>
        </w:numPr>
        <w:spacing w:before="0" w:after="0"/>
      </w:pPr>
      <w:r>
        <w:rPr>
          <w:rFonts w:ascii="Arial" w:cs="Arial" w:eastAsia="Arial" w:hAnsi="Arial"/>
          <w:sz w:val="24"/>
          <w:szCs w:val="24"/>
        </w:rPr>
        <w:t xml:space="preserve">Unnecessary testing (stress tests, echos) delays surgery without improving outcomes</w:t>
      </w:r>
    </w:p>
    <w:p>
      <w:pPr>
        <w:pStyle w:val="ListParagraph"/>
        <w:numPr>
          <w:ilvl w:val="0"/>
          <w:numId w:val="1"/>
        </w:numPr>
        <w:spacing w:before="0" w:after="0"/>
      </w:pPr>
      <w:r>
        <w:rPr>
          <w:rFonts w:ascii="Arial" w:cs="Arial" w:eastAsia="Arial" w:hAnsi="Arial"/>
          <w:sz w:val="24"/>
          <w:szCs w:val="24"/>
        </w:rPr>
        <w:t xml:space="preserve">Missing required tests leads to OR cancellations costing $1,500-$10,000 per case plus patient/surgeon frustration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Revised Cardiac Risk Index (RCRI) predicts perioperative cardiac complications: 0 factors = 0.4% risk; 1 factor = 0.9%; 2 factors = 6.6%; ≥3 factors = 11% risk</w:t>
      </w:r>
      <w:r>
        <w:rPr>
          <w:rFonts w:ascii="Arial" w:cs="Arial" w:eastAsia="Arial" w:hAnsi="Arial"/>
          <w:sz w:val="24"/>
          <w:szCs w:val="24"/>
          <w:vertAlign w:val="superscript"/>
        </w:rPr>
        <w:t xml:space="preserve">[55]</w:t>
      </w:r>
    </w:p>
    <w:p>
      <w:pPr>
        <w:pStyle w:val="ListParagraph"/>
        <w:numPr>
          <w:ilvl w:val="0"/>
          <w:numId w:val="1"/>
        </w:numPr>
        <w:spacing w:before="0" w:after="0"/>
      </w:pPr>
      <w:r>
        <w:rPr>
          <w:rFonts w:ascii="Arial" w:cs="Arial" w:eastAsia="Arial" w:hAnsi="Arial"/>
          <w:sz w:val="24"/>
          <w:szCs w:val="24"/>
        </w:rPr>
        <w:t xml:space="preserve">Patients on anticoagulation need bridge therapy guidance (when to stop, when to restart)</w:t>
      </w:r>
    </w:p>
    <w:p>
      <w:pPr>
        <w:pStyle w:val="ListParagraph"/>
        <w:numPr>
          <w:ilvl w:val="0"/>
          <w:numId w:val="1"/>
        </w:numPr>
        <w:spacing w:before="0" w:after="0"/>
      </w:pPr>
      <w:r>
        <w:rPr>
          <w:rFonts w:ascii="Arial" w:cs="Arial" w:eastAsia="Arial" w:hAnsi="Arial"/>
          <w:sz w:val="24"/>
          <w:szCs w:val="24"/>
        </w:rPr>
        <w:t xml:space="preserve">Anesthesia groups have specific requirements that vary by hospital/surgery center</w:t>
      </w:r>
    </w:p>
    <w:p>
      <w:pPr>
        <w:pStyle w:val="ListParagraph"/>
        <w:numPr>
          <w:ilvl w:val="0"/>
          <w:numId w:val="1"/>
        </w:numPr>
        <w:spacing w:before="0" w:after="0"/>
      </w:pPr>
      <w:r>
        <w:rPr>
          <w:rFonts w:ascii="Arial" w:cs="Arial" w:eastAsia="Arial" w:hAnsi="Arial"/>
          <w:sz w:val="24"/>
          <w:szCs w:val="24"/>
        </w:rPr>
        <w:t xml:space="preserve">Communication gaps between PCP, surgeon, and anesthesia lead to missing information and delays</w:t>
      </w:r>
    </w:p>
    <w:p>
      <w:pPr>
        <w:spacing w:before="0" w:after="0"/>
      </w:pPr>
      <w:r>
        <w:rPr>
          <w:sz w:val="24"/>
          <w:szCs w:val="24"/>
        </w:rPr>
        <w:t xml:space="preserve"/>
      </w:r>
    </w:p>
    <w:p>
      <w:pPr>
        <w:pStyle w:val="Heading3"/>
        <w:spacing w:before="0" w:after="0"/>
      </w:pPr>
      <w:r>
        <w:rPr/>
        <w:t xml:space="preserve">Cordance Solution</w:t>
      </w:r>
    </w:p>
    <w:p>
      <w:pPr>
        <w:spacing w:before="0" w:after="0"/>
      </w:pPr>
      <w:r>
        <w:rPr>
          <w:sz w:val="24"/>
          <w:szCs w:val="24"/>
        </w:rPr>
        <w:t xml:space="preserve"/>
      </w:r>
    </w:p>
    <w:p>
      <w:pPr>
        <w:pStyle w:val="Heading4"/>
        <w:spacing w:before="0" w:after="0"/>
      </w:pPr>
      <w:r>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patients with upcoming surgeries requiring pre-operative assessment</w:t>
      </w:r>
    </w:p>
    <w:p>
      <w:pPr>
        <w:pStyle w:val="ListParagraph"/>
        <w:numPr>
          <w:ilvl w:val="0"/>
          <w:numId w:val="1"/>
        </w:numPr>
        <w:spacing w:before="0" w:after="0"/>
      </w:pPr>
      <w:r>
        <w:rPr>
          <w:rFonts w:ascii="Arial" w:cs="Arial" w:eastAsia="Arial" w:hAnsi="Arial"/>
          <w:sz w:val="24"/>
          <w:szCs w:val="24"/>
        </w:rPr>
        <w:t xml:space="preserve">Pre-loads surgery type, patient comorbidities, current medications, and recent labs/tests</w:t>
      </w:r>
    </w:p>
    <w:p>
      <w:pPr>
        <w:pStyle w:val="ListParagraph"/>
        <w:numPr>
          <w:ilvl w:val="0"/>
          <w:numId w:val="1"/>
        </w:numPr>
        <w:spacing w:before="0" w:after="0"/>
      </w:pPr>
      <w:r>
        <w:rPr>
          <w:rFonts w:ascii="Arial" w:cs="Arial" w:eastAsia="Arial" w:hAnsi="Arial"/>
          <w:sz w:val="24"/>
          <w:szCs w:val="24"/>
        </w:rPr>
        <w:t xml:space="preserve">Retrieves specific anesthesia requirements for the surgical center (e.g., K+ within 7 days, EKG within 30 days for patients &gt;65)</w:t>
      </w:r>
    </w:p>
    <w:p>
      <w:pPr>
        <w:spacing w:before="0" w:after="0"/>
      </w:pPr>
      <w:r>
        <w:rPr>
          <w:sz w:val="24"/>
          <w:szCs w:val="24"/>
        </w:rPr>
        <w:t xml:space="preserve"/>
      </w:r>
    </w:p>
    <w:p>
      <w:pPr>
        <w:pStyle w:val="Heading4"/>
        <w:spacing w:before="0" w:after="0"/>
      </w:pPr>
      <w:r>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 RCRI calculation based on 6 factors: high-risk surgery (intrathoracic, intraperitoneal, suprainguinal vascular); ischemic heart disease history; heart failure history; cerebrovascular disease history; preop insulin therapy; creatinine &gt;2 mg/dL</w:t>
      </w:r>
      <w:r>
        <w:rPr>
          <w:rFonts w:ascii="Arial" w:cs="Arial" w:eastAsia="Arial" w:hAnsi="Arial"/>
          <w:sz w:val="24"/>
          <w:szCs w:val="24"/>
          <w:vertAlign w:val="superscript"/>
        </w:rPr>
        <w:t xml:space="preserve">[56]</w:t>
      </w:r>
    </w:p>
    <w:p>
      <w:pPr>
        <w:pStyle w:val="ListParagraph"/>
        <w:numPr>
          <w:ilvl w:val="0"/>
          <w:numId w:val="1"/>
        </w:numPr>
        <w:spacing w:before="0" w:after="0"/>
      </w:pPr>
      <w:r>
        <w:rPr>
          <w:rFonts w:ascii="Arial" w:cs="Arial" w:eastAsia="Arial" w:hAnsi="Arial"/>
          <w:sz w:val="24"/>
          <w:szCs w:val="24"/>
        </w:rPr>
        <w:t xml:space="preserve">Risk-based testing recommendations: Low risk (RCRI 0-1) → NO additional testing, proceed to surgery; Intermediate risk (RCRI 2) → consider functional capacity assessment; High risk (RCRI ≥3) → consider cardiology consultation, optimize medical therapy</w:t>
      </w:r>
    </w:p>
    <w:p>
      <w:pPr>
        <w:pStyle w:val="ListParagraph"/>
        <w:numPr>
          <w:ilvl w:val="0"/>
          <w:numId w:val="1"/>
        </w:numPr>
        <w:spacing w:before="0" w:after="0"/>
      </w:pPr>
      <w:r>
        <w:rPr>
          <w:rFonts w:ascii="Arial" w:cs="Arial" w:eastAsia="Arial" w:hAnsi="Arial"/>
          <w:sz w:val="24"/>
          <w:szCs w:val="24"/>
        </w:rPr>
        <w:t xml:space="preserve">Pre-operative checklist customized to surgery and anesthesia requirements: required labs (CBC, BMP, coags if needed); required imaging (CXR for thoracic surgery); medication management (hold metformin morning of surgery, continue beta-blockers); anticoagulation bridge plan if applicable</w:t>
      </w:r>
    </w:p>
    <w:p>
      <w:pPr>
        <w:pStyle w:val="ListParagraph"/>
        <w:numPr>
          <w:ilvl w:val="0"/>
          <w:numId w:val="1"/>
        </w:numPr>
        <w:spacing w:before="0" w:after="0"/>
      </w:pPr>
      <w:r>
        <w:rPr>
          <w:rFonts w:ascii="Arial" w:cs="Arial" w:eastAsia="Arial" w:hAnsi="Arial"/>
          <w:sz w:val="24"/>
          <w:szCs w:val="24"/>
        </w:rPr>
        <w:t xml:space="preserve">Flags missing requirements with one-click ordering: 'Missing: Potassium level within 7 days' → one-click BMP order; 'Missing: EKG within 30 days for age &gt;65' → one-click EKG order</w:t>
      </w:r>
    </w:p>
    <w:p>
      <w:pPr>
        <w:pStyle w:val="ListParagraph"/>
        <w:numPr>
          <w:ilvl w:val="0"/>
          <w:numId w:val="1"/>
        </w:numPr>
        <w:spacing w:before="0" w:after="0"/>
      </w:pPr>
      <w:r>
        <w:rPr>
          <w:rFonts w:ascii="Arial" w:cs="Arial" w:eastAsia="Arial" w:hAnsi="Arial"/>
          <w:sz w:val="24"/>
          <w:szCs w:val="24"/>
        </w:rPr>
        <w:t xml:space="preserve">Anticoagulation bridge protocol: for patients on warfarin/DOACs, generates specific instructions (stop warfarin 5 days before, bridge with enoxaparin if high VTE risk, check INR day before surgery)</w:t>
      </w:r>
    </w:p>
    <w:p>
      <w:pPr>
        <w:pStyle w:val="ListParagraph"/>
        <w:numPr>
          <w:ilvl w:val="0"/>
          <w:numId w:val="1"/>
        </w:numPr>
        <w:spacing w:before="0" w:after="0"/>
      </w:pPr>
      <w:r>
        <w:rPr>
          <w:rFonts w:ascii="Arial" w:cs="Arial" w:eastAsia="Arial" w:hAnsi="Arial"/>
          <w:sz w:val="24"/>
          <w:szCs w:val="24"/>
        </w:rPr>
        <w:t xml:space="preserve">One-click inserts 'Cleared for Surgery' template addressing surgeon/anesthesia requirements</w:t>
      </w:r>
    </w:p>
    <w:p>
      <w:pPr>
        <w:spacing w:before="0" w:after="0"/>
      </w:pPr>
      <w:r>
        <w:rPr>
          <w:sz w:val="24"/>
          <w:szCs w:val="24"/>
        </w:rPr>
        <w:t xml:space="preserve"/>
      </w:r>
    </w:p>
    <w:p>
      <w:pPr>
        <w:pStyle w:val="Heading4"/>
        <w:spacing w:before="0" w:after="0"/>
      </w:pPr>
      <w:r>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Orders all missing labs/tests identified in pre-op checklist</w:t>
      </w:r>
    </w:p>
    <w:p>
      <w:pPr>
        <w:pStyle w:val="ListParagraph"/>
        <w:numPr>
          <w:ilvl w:val="0"/>
          <w:numId w:val="1"/>
        </w:numPr>
        <w:spacing w:before="0" w:after="0"/>
      </w:pPr>
      <w:r>
        <w:rPr>
          <w:rFonts w:ascii="Arial" w:cs="Arial" w:eastAsia="Arial" w:hAnsi="Arial"/>
          <w:sz w:val="24"/>
          <w:szCs w:val="24"/>
        </w:rPr>
        <w:t xml:space="preserve">Sends clearance letter to surgeon and anesthesia with RCRI score, optimization plan, and test results</w:t>
      </w:r>
    </w:p>
    <w:p>
      <w:pPr>
        <w:pStyle w:val="ListParagraph"/>
        <w:numPr>
          <w:ilvl w:val="0"/>
          <w:numId w:val="1"/>
        </w:numPr>
        <w:spacing w:before="0" w:after="0"/>
      </w:pPr>
      <w:r>
        <w:rPr>
          <w:rFonts w:ascii="Arial" w:cs="Arial" w:eastAsia="Arial" w:hAnsi="Arial"/>
          <w:sz w:val="24"/>
          <w:szCs w:val="24"/>
        </w:rPr>
        <w:t xml:space="preserve">Patient education: medication instructions (what to take, what to hold), fasting instructions, when to arrive</w:t>
      </w:r>
    </w:p>
    <w:p>
      <w:pPr>
        <w:pStyle w:val="ListParagraph"/>
        <w:numPr>
          <w:ilvl w:val="0"/>
          <w:numId w:val="1"/>
        </w:numPr>
        <w:spacing w:before="0" w:after="0"/>
      </w:pPr>
      <w:r>
        <w:rPr>
          <w:rFonts w:ascii="Arial" w:cs="Arial" w:eastAsia="Arial" w:hAnsi="Arial"/>
          <w:sz w:val="24"/>
          <w:szCs w:val="24"/>
        </w:rPr>
        <w:t xml:space="preserve">Creates alert: if new labs show abnormality (e.g., hypokalemia), notify PCP before surgery</w:t>
      </w:r>
    </w:p>
    <w:p>
      <w:pPr>
        <w:pStyle w:val="ListParagraph"/>
        <w:numPr>
          <w:ilvl w:val="0"/>
          <w:numId w:val="1"/>
        </w:numPr>
        <w:spacing w:before="0" w:after="0"/>
      </w:pPr>
      <w:r>
        <w:rPr>
          <w:rFonts w:ascii="Arial" w:cs="Arial" w:eastAsia="Arial" w:hAnsi="Arial"/>
          <w:sz w:val="24"/>
          <w:szCs w:val="24"/>
        </w:rPr>
        <w:t xml:space="preserve">Tracks OR cancellation rates due to inadequate pre-op workup</w:t>
      </w:r>
    </w:p>
    <w:p>
      <w:pPr>
        <w:spacing w:before="0" w:after="0"/>
      </w:pPr>
      <w:r>
        <w:rPr>
          <w:sz w:val="24"/>
          <w:szCs w:val="24"/>
        </w:rPr>
        <w:t xml:space="preserve"/>
      </w:r>
    </w:p>
    <w:p>
      <w:pPr>
        <w:pStyle w:val="Heading3"/>
        <w:spacing w:before="0" w:after="0"/>
      </w:pPr>
      <w:r>
        <w:rPr/>
        <w:t xml:space="preserve">Impact on Three Pillars</w:t>
      </w:r>
    </w:p>
    <w:p>
      <w:pPr>
        <w:spacing w:before="0" w:after="0"/>
      </w:pPr>
      <w:r>
        <w:rPr>
          <w:sz w:val="24"/>
          <w:szCs w:val="24"/>
        </w:rPr>
        <w:t xml:space="preserve"/>
      </w:r>
    </w:p>
    <w:p>
      <w:pPr>
        <w:pStyle w:val="Heading4"/>
        <w:spacing w:before="0" w:after="0"/>
      </w:pPr>
      <w:r>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Prevents costly OR cancellations ($1,500-$10,000 per case) due to incomplete workup or abnormal labs discovered day-of-surgery</w:t>
      </w:r>
    </w:p>
    <w:p>
      <w:pPr>
        <w:pStyle w:val="ListParagraph"/>
        <w:numPr>
          <w:ilvl w:val="0"/>
          <w:numId w:val="1"/>
        </w:numPr>
        <w:spacing w:before="0" w:after="0"/>
      </w:pPr>
      <w:r>
        <w:rPr>
          <w:rFonts w:ascii="Arial" w:cs="Arial" w:eastAsia="Arial" w:hAnsi="Arial"/>
          <w:sz w:val="24"/>
          <w:szCs w:val="24"/>
        </w:rPr>
        <w:t xml:space="preserve">Reduces unnecessary testing (stress tests for low-risk patients) saving $1,500-$3,000 per avoided test</w:t>
      </w:r>
    </w:p>
    <w:p>
      <w:pPr>
        <w:pStyle w:val="ListParagraph"/>
        <w:numPr>
          <w:ilvl w:val="0"/>
          <w:numId w:val="1"/>
        </w:numPr>
        <w:spacing w:before="0" w:after="0"/>
      </w:pPr>
      <w:r>
        <w:rPr>
          <w:rFonts w:ascii="Arial" w:cs="Arial" w:eastAsia="Arial" w:hAnsi="Arial"/>
          <w:sz w:val="24"/>
          <w:szCs w:val="24"/>
        </w:rPr>
        <w:t xml:space="preserve">Optimized perioperative medical management reduces post-operative complications by 20-30%</w:t>
      </w:r>
    </w:p>
    <w:p>
      <w:pPr>
        <w:pStyle w:val="ListParagraph"/>
        <w:numPr>
          <w:ilvl w:val="0"/>
          <w:numId w:val="1"/>
        </w:numPr>
        <w:spacing w:before="0" w:after="0"/>
      </w:pPr>
      <w:r>
        <w:rPr>
          <w:rFonts w:ascii="Arial" w:cs="Arial" w:eastAsia="Arial" w:hAnsi="Arial"/>
          <w:sz w:val="24"/>
          <w:szCs w:val="24"/>
        </w:rPr>
        <w:t xml:space="preserve">Improved surgical throughput by preventing delays and rescheduling</w:t>
      </w:r>
    </w:p>
    <w:p>
      <w:pPr>
        <w:pStyle w:val="ListParagraph"/>
        <w:numPr>
          <w:ilvl w:val="0"/>
          <w:numId w:val="1"/>
        </w:numPr>
        <w:spacing w:before="0" w:after="0"/>
      </w:pPr>
      <w:r>
        <w:rPr>
          <w:rFonts w:ascii="Arial" w:cs="Arial" w:eastAsia="Arial" w:hAnsi="Arial"/>
          <w:sz w:val="24"/>
          <w:szCs w:val="24"/>
        </w:rPr>
        <w:t xml:space="preserve">Estimated financial impact: $80K-$150K annually per PCP through reduced cancellations and avoided unnecessary testing</w:t>
      </w:r>
    </w:p>
    <w:p>
      <w:pPr>
        <w:spacing w:before="0" w:after="0"/>
      </w:pPr>
      <w:r>
        <w:rPr>
          <w:sz w:val="24"/>
          <w:szCs w:val="24"/>
        </w:rPr>
        <w:t xml:space="preserve"/>
      </w:r>
    </w:p>
    <w:p>
      <w:pPr>
        <w:pStyle w:val="Heading4"/>
        <w:spacing w:before="0" w:after="0"/>
      </w:pPr>
      <w:r>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RCRI-based risk stratification prevents both under-testing (missing high-risk patients) and over-testing (unnecessary stress tests in low-risk patients)</w:t>
      </w:r>
      <w:r>
        <w:rPr>
          <w:rFonts w:ascii="Arial" w:cs="Arial" w:eastAsia="Arial" w:hAnsi="Arial"/>
          <w:sz w:val="24"/>
          <w:szCs w:val="24"/>
          <w:vertAlign w:val="superscript"/>
        </w:rPr>
        <w:t xml:space="preserve">[57]</w:t>
      </w:r>
    </w:p>
    <w:p>
      <w:pPr>
        <w:pStyle w:val="ListParagraph"/>
        <w:numPr>
          <w:ilvl w:val="0"/>
          <w:numId w:val="1"/>
        </w:numPr>
        <w:spacing w:before="0" w:after="0"/>
      </w:pPr>
      <w:r>
        <w:rPr>
          <w:rFonts w:ascii="Arial" w:cs="Arial" w:eastAsia="Arial" w:hAnsi="Arial"/>
          <w:sz w:val="24"/>
          <w:szCs w:val="24"/>
        </w:rPr>
        <w:t xml:space="preserve">Even for elective procedures, noninvasive stress testing has dubious role; preoperative revascularization hasn't shown reduction in perioperative cardiac complications</w:t>
      </w:r>
      <w:r>
        <w:rPr>
          <w:rFonts w:ascii="Arial" w:cs="Arial" w:eastAsia="Arial" w:hAnsi="Arial"/>
          <w:sz w:val="24"/>
          <w:szCs w:val="24"/>
          <w:vertAlign w:val="superscript"/>
        </w:rPr>
        <w:t xml:space="preserve">[58]</w:t>
      </w:r>
    </w:p>
    <w:p>
      <w:pPr>
        <w:pStyle w:val="ListParagraph"/>
        <w:numPr>
          <w:ilvl w:val="0"/>
          <w:numId w:val="1"/>
        </w:numPr>
        <w:spacing w:before="0" w:after="0"/>
      </w:pPr>
      <w:r>
        <w:rPr>
          <w:rFonts w:ascii="Arial" w:cs="Arial" w:eastAsia="Arial" w:hAnsi="Arial"/>
          <w:sz w:val="24"/>
          <w:szCs w:val="24"/>
        </w:rPr>
        <w:t xml:space="preserve">Anticoagulation bridge protocols prevent perioperative bleeding and thrombotic complications</w:t>
      </w:r>
    </w:p>
    <w:p>
      <w:pPr>
        <w:pStyle w:val="ListParagraph"/>
        <w:numPr>
          <w:ilvl w:val="0"/>
          <w:numId w:val="1"/>
        </w:numPr>
        <w:spacing w:before="0" w:after="0"/>
      </w:pPr>
      <w:r>
        <w:rPr>
          <w:rFonts w:ascii="Arial" w:cs="Arial" w:eastAsia="Arial" w:hAnsi="Arial"/>
          <w:sz w:val="24"/>
          <w:szCs w:val="24"/>
        </w:rPr>
        <w:t xml:space="preserve">Systematic checklist ensures all anesthesia requirements met, reducing day-of-surgery surprises</w:t>
      </w:r>
    </w:p>
    <w:p>
      <w:pPr>
        <w:spacing w:before="0" w:after="0"/>
      </w:pPr>
      <w:r>
        <w:rPr>
          <w:sz w:val="24"/>
          <w:szCs w:val="24"/>
        </w:rPr>
        <w:t xml:space="preserve"/>
      </w:r>
    </w:p>
    <w:p>
      <w:pPr>
        <w:pStyle w:val="Heading4"/>
        <w:spacing w:before="0" w:after="0"/>
      </w:pPr>
      <w:r>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Standardized risk assessment across all pre-operative patients</w:t>
      </w:r>
    </w:p>
    <w:p>
      <w:pPr>
        <w:pStyle w:val="ListParagraph"/>
        <w:numPr>
          <w:ilvl w:val="0"/>
          <w:numId w:val="1"/>
        </w:numPr>
        <w:spacing w:before="0" w:after="0"/>
      </w:pPr>
      <w:r>
        <w:rPr>
          <w:rFonts w:ascii="Arial" w:cs="Arial" w:eastAsia="Arial" w:hAnsi="Arial"/>
          <w:sz w:val="24"/>
          <w:szCs w:val="24"/>
        </w:rPr>
        <w:t xml:space="preserve">Enables tracking of perioperative outcomes and continuous quality improvement</w:t>
      </w:r>
    </w:p>
    <w:p>
      <w:pPr>
        <w:pStyle w:val="ListParagraph"/>
        <w:numPr>
          <w:ilvl w:val="0"/>
          <w:numId w:val="1"/>
        </w:numPr>
        <w:spacing w:before="0" w:after="0"/>
      </w:pPr>
      <w:r>
        <w:rPr>
          <w:rFonts w:ascii="Arial" w:cs="Arial" w:eastAsia="Arial" w:hAnsi="Arial"/>
          <w:sz w:val="24"/>
          <w:szCs w:val="24"/>
        </w:rPr>
        <w:t xml:space="preserve">Reduces delays to necessary surgery, improving access and patient satisfaction</w:t>
      </w:r>
    </w:p>
    <w:p>
      <w:pPr>
        <w:pStyle w:val="ListParagraph"/>
        <w:numPr>
          <w:ilvl w:val="0"/>
          <w:numId w:val="1"/>
        </w:numPr>
        <w:spacing w:before="0" w:after="0"/>
      </w:pPr>
      <w:r>
        <w:rPr>
          <w:rFonts w:ascii="Arial" w:cs="Arial" w:eastAsia="Arial" w:hAnsi="Arial"/>
          <w:sz w:val="24"/>
          <w:szCs w:val="24"/>
        </w:rPr>
        <w:t xml:space="preserve">Data-driven conversations with surgeons/anesthesia about testing requirements</w:t>
      </w:r>
    </w:p>
    <w:p>
      <w:pPr>
        <w:pStyle w:val="ListParagraph"/>
        <w:numPr>
          <w:ilvl w:val="0"/>
          <w:numId w:val="1"/>
        </w:numPr>
        <w:spacing w:before="0" w:after="0"/>
      </w:pPr>
      <w:r>
        <w:rPr>
          <w:rFonts w:ascii="Arial" w:cs="Arial" w:eastAsia="Arial" w:hAnsi="Arial"/>
          <w:sz w:val="24"/>
          <w:szCs w:val="24"/>
        </w:rPr>
        <w:t xml:space="preserve">Estimated impact: 50-70% reduction in OR cancellations due to incomplete pre-op workup</w:t>
      </w:r>
    </w:p>
    <w:p>
      <w:pPr>
        <w:spacing w:before="0" w:after="0"/>
      </w:pPr>
      <w:r>
        <w:rPr>
          <w:sz w:val="24"/>
          <w:szCs w:val="24"/>
        </w:rPr>
        <w:t xml:space="preserve"/>
      </w:r>
    </w:p>
    <w:p>
      <w:pPr>
        <w:pStyle w:val="Heading3"/>
        <w:spacing w:before="0" w:after="0"/>
      </w:pPr>
      <w:r>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uncertainty about which tests are needed with surgery-specific checklists</w:t>
      </w:r>
    </w:p>
    <w:p>
      <w:pPr>
        <w:pStyle w:val="ListParagraph"/>
        <w:numPr>
          <w:ilvl w:val="0"/>
          <w:numId w:val="1"/>
        </w:numPr>
        <w:spacing w:before="0" w:after="0"/>
      </w:pPr>
      <w:r>
        <w:rPr>
          <w:rFonts w:ascii="Arial" w:cs="Arial" w:eastAsia="Arial" w:hAnsi="Arial"/>
          <w:sz w:val="24"/>
          <w:szCs w:val="24"/>
        </w:rPr>
        <w:t xml:space="preserve">Automated RCRI calculation removes mental math and guideline memorization</w:t>
      </w:r>
    </w:p>
    <w:p>
      <w:pPr>
        <w:pStyle w:val="ListParagraph"/>
        <w:numPr>
          <w:ilvl w:val="0"/>
          <w:numId w:val="1"/>
        </w:numPr>
        <w:spacing w:before="0" w:after="0"/>
      </w:pPr>
      <w:r>
        <w:rPr>
          <w:rFonts w:ascii="Arial" w:cs="Arial" w:eastAsia="Arial" w:hAnsi="Arial"/>
          <w:sz w:val="24"/>
          <w:szCs w:val="24"/>
        </w:rPr>
        <w:t xml:space="preserve">One-click clearance templates save 10-15 minutes per pre-op visit</w:t>
      </w:r>
    </w:p>
    <w:p>
      <w:pPr>
        <w:pStyle w:val="ListParagraph"/>
        <w:numPr>
          <w:ilvl w:val="0"/>
          <w:numId w:val="1"/>
        </w:numPr>
        <w:spacing w:before="0" w:after="0"/>
      </w:pPr>
      <w:r>
        <w:rPr>
          <w:rFonts w:ascii="Arial" w:cs="Arial" w:eastAsia="Arial" w:hAnsi="Arial"/>
          <w:sz w:val="24"/>
          <w:szCs w:val="24"/>
        </w:rPr>
        <w:t xml:space="preserve">Reduces phone calls and rework from missing information</w:t>
      </w:r>
    </w:p>
    <w:p>
      <w:pPr>
        <w:pStyle w:val="ListParagraph"/>
        <w:numPr>
          <w:ilvl w:val="0"/>
          <w:numId w:val="1"/>
        </w:numPr>
        <w:spacing w:before="0" w:after="0"/>
      </w:pPr>
      <w:r>
        <w:rPr>
          <w:rFonts w:ascii="Arial" w:cs="Arial" w:eastAsia="Arial" w:hAnsi="Arial"/>
          <w:sz w:val="24"/>
          <w:szCs w:val="24"/>
        </w:rPr>
        <w:t xml:space="preserve">Protects against medico-legal risk by documenting systematic risk assessment</w:t>
      </w:r>
    </w:p>
    <w:p>
      <w:pPr>
        <w:spacing w:before="0" w:after="0"/>
      </w:pPr>
      <w:r>
        <w:rPr>
          <w:sz w:val="24"/>
          <w:szCs w:val="24"/>
        </w:rPr>
        <w:t xml:space="preserve"/>
      </w:r>
    </w:p>
    <w:p>
      <w:pPr>
        <w:pStyle w:val="Heading3"/>
        <w:spacing w:before="0" w:after="0"/>
      </w:pPr>
      <w:r>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surgical scheduling systems to identify upcoming surgeries</w:t>
      </w:r>
    </w:p>
    <w:p>
      <w:pPr>
        <w:pStyle w:val="ListParagraph"/>
        <w:numPr>
          <w:ilvl w:val="0"/>
          <w:numId w:val="1"/>
        </w:numPr>
        <w:spacing w:before="0" w:after="0"/>
      </w:pPr>
      <w:r>
        <w:rPr>
          <w:rFonts w:ascii="Arial" w:cs="Arial" w:eastAsia="Arial" w:hAnsi="Arial"/>
          <w:sz w:val="24"/>
          <w:szCs w:val="24"/>
        </w:rPr>
        <w:t xml:space="preserve">Anesthesia group-specific requirement databases (varies by hospital/surgery center)</w:t>
      </w:r>
    </w:p>
    <w:p>
      <w:pPr>
        <w:pStyle w:val="ListParagraph"/>
        <w:numPr>
          <w:ilvl w:val="0"/>
          <w:numId w:val="1"/>
        </w:numPr>
        <w:spacing w:before="0" w:after="0"/>
      </w:pPr>
      <w:r>
        <w:rPr>
          <w:rFonts w:ascii="Arial" w:cs="Arial" w:eastAsia="Arial" w:hAnsi="Arial"/>
          <w:sz w:val="24"/>
          <w:szCs w:val="24"/>
        </w:rPr>
        <w:t xml:space="preserve">EHR integration for automated RCRI calculation and order entry</w:t>
      </w:r>
    </w:p>
    <w:p>
      <w:pPr>
        <w:pStyle w:val="ListParagraph"/>
        <w:numPr>
          <w:ilvl w:val="0"/>
          <w:numId w:val="1"/>
        </w:numPr>
        <w:spacing w:before="0" w:after="0"/>
      </w:pPr>
      <w:r>
        <w:rPr>
          <w:rFonts w:ascii="Arial" w:cs="Arial" w:eastAsia="Arial" w:hAnsi="Arial"/>
          <w:sz w:val="24"/>
          <w:szCs w:val="24"/>
        </w:rPr>
        <w:t xml:space="preserve">Anticoagulation bridge protocols and patient education materials</w:t>
      </w:r>
    </w:p>
    <w:p>
      <w:pPr>
        <w:spacing w:before="0" w:after="0"/>
      </w:pPr>
      <w:r>
        <w:rPr>
          <w:sz w:val="24"/>
          <w:szCs w:val="24"/>
        </w:rPr>
        <w:t xml:space="preserve"/>
      </w:r>
    </w:p>
    <w:p>
      <w:pPr>
        <w:pStyle w:val="Heading2"/>
        <w:spacing w:before="0" w:after="0"/>
      </w:pPr>
      <w:r>
        <w:rPr/>
        <w:t xml:space="preserve">USE CASE 10: Generic/Biosimilar Therapeutic Interchange and Cost Savings</w:t>
      </w:r>
    </w:p>
    <w:p>
      <w:pPr>
        <w:spacing w:before="0" w:after="0"/>
      </w:pPr>
      <w:r>
        <w:rPr>
          <w:sz w:val="24"/>
          <w:szCs w:val="24"/>
        </w:rPr>
        <w:t xml:space="preserve"/>
      </w:r>
    </w:p>
    <w:p>
      <w:pPr>
        <w:pStyle w:val="Heading3"/>
        <w:spacing w:before="0" w:after="0"/>
      </w:pPr>
      <w:r>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55-year-old patient with rheumatoid arthritis is on adalimumab (Humira) costing $6,000 per month with $400 patient copay. An interchangeable biosimilar (Cyltezo) is now available at 60% lower cost with $50 copay, but the physician is uncertain about biosimilar safety, efficacy, and the switching process. The patient is hesitant due to concerns about "switching to a different medication."</w:t>
      </w:r>
    </w:p>
    <w:p>
      <w:pPr>
        <w:spacing w:before="0" w:after="0"/>
      </w:pPr>
      <w:r>
        <w:rPr>
          <w:sz w:val="24"/>
          <w:szCs w:val="24"/>
        </w:rPr>
        <w:t xml:space="preserve"/>
      </w:r>
    </w:p>
    <w:p>
      <w:pPr>
        <w:pStyle w:val="Heading3"/>
        <w:spacing w:before="0" w:after="0"/>
      </w:pPr>
      <w:r>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Biosimilars have generated $56 billion in healthcare savings since 2015, with $20 billion saved in 2024 alone</w:t>
      </w:r>
      <w:r>
        <w:rPr>
          <w:rFonts w:ascii="Arial" w:cs="Arial" w:eastAsia="Arial" w:hAnsi="Arial"/>
          <w:sz w:val="24"/>
          <w:szCs w:val="24"/>
          <w:vertAlign w:val="superscript"/>
        </w:rPr>
        <w:t xml:space="preserve">[59]</w:t>
      </w:r>
    </w:p>
    <w:p>
      <w:pPr>
        <w:pStyle w:val="ListParagraph"/>
        <w:numPr>
          <w:ilvl w:val="0"/>
          <w:numId w:val="1"/>
        </w:numPr>
        <w:spacing w:before="0" w:after="0"/>
      </w:pPr>
      <w:r>
        <w:rPr>
          <w:rFonts w:ascii="Arial" w:cs="Arial" w:eastAsia="Arial" w:hAnsi="Arial"/>
          <w:sz w:val="24"/>
          <w:szCs w:val="24"/>
        </w:rPr>
        <w:t xml:space="preserve">Despite proven safety and efficacy, biosimilar adoption remains low due to physician/patient unfamiliarity and switching inertia</w:t>
      </w:r>
    </w:p>
    <w:p>
      <w:pPr>
        <w:pStyle w:val="ListParagraph"/>
        <w:numPr>
          <w:ilvl w:val="0"/>
          <w:numId w:val="1"/>
        </w:numPr>
        <w:spacing w:before="0" w:after="0"/>
      </w:pPr>
      <w:r>
        <w:rPr>
          <w:rFonts w:ascii="Arial" w:cs="Arial" w:eastAsia="Arial" w:hAnsi="Arial"/>
          <w:sz w:val="24"/>
          <w:szCs w:val="24"/>
        </w:rPr>
        <w:t xml:space="preserve">Therapeutic interchange opportunities extend beyond biologics to branded vs generic drugs (inhalers, PPIs, antidepressants)</w:t>
      </w:r>
    </w:p>
    <w:p>
      <w:pPr>
        <w:pStyle w:val="ListParagraph"/>
        <w:numPr>
          <w:ilvl w:val="0"/>
          <w:numId w:val="1"/>
        </w:numPr>
        <w:spacing w:before="0" w:after="0"/>
      </w:pPr>
      <w:r>
        <w:rPr>
          <w:rFonts w:ascii="Arial" w:cs="Arial" w:eastAsia="Arial" w:hAnsi="Arial"/>
          <w:sz w:val="24"/>
          <w:szCs w:val="24"/>
        </w:rPr>
        <w:t xml:space="preserve">Manual formulary navigation is time-consuming and patient copays often unknown at point of prescribing</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Biosimilars are 50-60% cheaper than reference biologics at launch with NO clinically meaningful differences in efficacy/safety</w:t>
      </w:r>
      <w:r>
        <w:rPr>
          <w:rFonts w:ascii="Arial" w:cs="Arial" w:eastAsia="Arial" w:hAnsi="Arial"/>
          <w:sz w:val="24"/>
          <w:szCs w:val="24"/>
          <w:vertAlign w:val="superscript"/>
        </w:rPr>
        <w:t xml:space="preserve">[60]</w:t>
      </w:r>
    </w:p>
    <w:p>
      <w:pPr>
        <w:pStyle w:val="ListParagraph"/>
        <w:numPr>
          <w:ilvl w:val="0"/>
          <w:numId w:val="1"/>
        </w:numPr>
        <w:spacing w:before="0" w:after="0"/>
      </w:pPr>
      <w:r>
        <w:rPr>
          <w:rFonts w:ascii="Arial" w:cs="Arial" w:eastAsia="Arial" w:hAnsi="Arial"/>
          <w:sz w:val="24"/>
          <w:szCs w:val="24"/>
        </w:rPr>
        <w:t xml:space="preserve">Interchangeability designation means biosimilars can be substituted without consulting prescriber (like generic drugs)</w:t>
      </w:r>
      <w:r>
        <w:rPr>
          <w:rFonts w:ascii="Arial" w:cs="Arial" w:eastAsia="Arial" w:hAnsi="Arial"/>
          <w:sz w:val="24"/>
          <w:szCs w:val="24"/>
          <w:vertAlign w:val="superscript"/>
        </w:rPr>
        <w:t xml:space="preserve">[61]</w:t>
      </w:r>
    </w:p>
    <w:p>
      <w:pPr>
        <w:pStyle w:val="ListParagraph"/>
        <w:numPr>
          <w:ilvl w:val="0"/>
          <w:numId w:val="1"/>
        </w:numPr>
        <w:spacing w:before="0" w:after="0"/>
      </w:pPr>
      <w:r>
        <w:rPr>
          <w:rFonts w:ascii="Arial" w:cs="Arial" w:eastAsia="Arial" w:hAnsi="Arial"/>
          <w:sz w:val="24"/>
          <w:szCs w:val="24"/>
        </w:rPr>
        <w:t xml:space="preserve">Lower copayments improve adherence: VHA and Kaiser Permanente saw 80% adherence improvement with interchange programs vs 3.2% average</w:t>
      </w:r>
      <w:r>
        <w:rPr>
          <w:rFonts w:ascii="Arial" w:cs="Arial" w:eastAsia="Arial" w:hAnsi="Arial"/>
          <w:sz w:val="24"/>
          <w:szCs w:val="24"/>
          <w:vertAlign w:val="superscript"/>
        </w:rPr>
        <w:t xml:space="preserve">[62]</w:t>
      </w:r>
    </w:p>
    <w:p>
      <w:pPr>
        <w:pStyle w:val="ListParagraph"/>
        <w:numPr>
          <w:ilvl w:val="0"/>
          <w:numId w:val="1"/>
        </w:numPr>
        <w:spacing w:before="0" w:after="0"/>
      </w:pPr>
      <w:r>
        <w:rPr>
          <w:rFonts w:ascii="Arial" w:cs="Arial" w:eastAsia="Arial" w:hAnsi="Arial"/>
          <w:sz w:val="24"/>
          <w:szCs w:val="24"/>
        </w:rPr>
        <w:t xml:space="preserve">Patients confused about biosimilar vs generic vs "different medication"</w:t>
      </w:r>
    </w:p>
    <w:p>
      <w:pPr>
        <w:spacing w:before="0" w:after="0"/>
      </w:pPr>
      <w:r>
        <w:rPr>
          <w:sz w:val="24"/>
          <w:szCs w:val="24"/>
        </w:rPr>
        <w:t xml:space="preserve"/>
      </w:r>
    </w:p>
    <w:p>
      <w:pPr>
        <w:pStyle w:val="Heading3"/>
        <w:spacing w:before="0" w:after="0"/>
      </w:pPr>
      <w:r>
        <w:rPr/>
        <w:t xml:space="preserve">Cordance Solution</w:t>
      </w:r>
    </w:p>
    <w:p>
      <w:pPr>
        <w:spacing w:before="0" w:after="0"/>
      </w:pPr>
      <w:r>
        <w:rPr>
          <w:sz w:val="24"/>
          <w:szCs w:val="24"/>
        </w:rPr>
        <w:t xml:space="preserve"/>
      </w:r>
    </w:p>
    <w:p>
      <w:pPr>
        <w:pStyle w:val="Heading4"/>
        <w:spacing w:before="0" w:after="0"/>
      </w:pPr>
      <w:r>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patients on high-cost branded medications with available generic or biosimilar alternatives</w:t>
      </w:r>
    </w:p>
    <w:p>
      <w:pPr>
        <w:pStyle w:val="ListParagraph"/>
        <w:numPr>
          <w:ilvl w:val="0"/>
          <w:numId w:val="1"/>
        </w:numPr>
        <w:spacing w:before="0" w:after="0"/>
      </w:pPr>
      <w:r>
        <w:rPr>
          <w:rFonts w:ascii="Arial" w:cs="Arial" w:eastAsia="Arial" w:hAnsi="Arial"/>
          <w:sz w:val="24"/>
          <w:szCs w:val="24"/>
        </w:rPr>
        <w:t xml:space="preserve">Creates prioritized list based on: highest patient copay savings; greatest system cost savings; interchangeable biosimilars vs therapeutically equivalent alternatives</w:t>
      </w:r>
    </w:p>
    <w:p>
      <w:pPr>
        <w:pStyle w:val="ListParagraph"/>
        <w:numPr>
          <w:ilvl w:val="0"/>
          <w:numId w:val="1"/>
        </w:numPr>
        <w:spacing w:before="0" w:after="0"/>
      </w:pPr>
      <w:r>
        <w:rPr>
          <w:rFonts w:ascii="Arial" w:cs="Arial" w:eastAsia="Arial" w:hAnsi="Arial"/>
          <w:sz w:val="24"/>
          <w:szCs w:val="24"/>
        </w:rPr>
        <w:t xml:space="preserve">Checks patient-specific formulary for coverage and tier placement</w:t>
      </w:r>
    </w:p>
    <w:p>
      <w:pPr>
        <w:spacing w:before="0" w:after="0"/>
      </w:pPr>
      <w:r>
        <w:rPr>
          <w:sz w:val="24"/>
          <w:szCs w:val="24"/>
        </w:rPr>
        <w:t xml:space="preserve"/>
      </w:r>
    </w:p>
    <w:p>
      <w:pPr>
        <w:pStyle w:val="Heading4"/>
        <w:spacing w:before="0" w:after="0"/>
      </w:pPr>
      <w:r>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Real-time formulary optimization alerts: 'Switch Symbicort (fluticasone/formoterol) to Wixela? Saves patient $150/month'; 'Switch Humira (adalimumab) to Cyltezo (interchangeable biosimilar)? Saves patient $350/month and health system $2,400/month'</w:t>
      </w:r>
    </w:p>
    <w:p>
      <w:pPr>
        <w:pStyle w:val="ListParagraph"/>
        <w:numPr>
          <w:ilvl w:val="0"/>
          <w:numId w:val="1"/>
        </w:numPr>
        <w:spacing w:before="0" w:after="0"/>
      </w:pPr>
      <w:r>
        <w:rPr>
          <w:rFonts w:ascii="Arial" w:cs="Arial" w:eastAsia="Arial" w:hAnsi="Arial"/>
          <w:sz w:val="24"/>
          <w:szCs w:val="24"/>
        </w:rPr>
        <w:t xml:space="preserve">Displays comparison: current medication (brand name, copay, tier); alternative (generic/biosimilar name, copay, tier); evidence of therapeutic equivalence or interchangeability; patient cost savings (monthly and annually); system cost savings</w:t>
      </w:r>
    </w:p>
    <w:p>
      <w:pPr>
        <w:pStyle w:val="ListParagraph"/>
        <w:numPr>
          <w:ilvl w:val="0"/>
          <w:numId w:val="1"/>
        </w:numPr>
        <w:spacing w:before="0" w:after="0"/>
      </w:pPr>
      <w:r>
        <w:rPr>
          <w:rFonts w:ascii="Arial" w:cs="Arial" w:eastAsia="Arial" w:hAnsi="Arial"/>
          <w:sz w:val="24"/>
          <w:szCs w:val="24"/>
        </w:rPr>
        <w:t xml:space="preserve">Biosimilar education: 'Biosimilars are highly similar to original biologic with NO clinically significant differences in efficacy/safety. Approved through comprehensive analytical, preclinical, and clinical trials'</w:t>
      </w:r>
      <w:r>
        <w:rPr>
          <w:rFonts w:ascii="Arial" w:cs="Arial" w:eastAsia="Arial" w:hAnsi="Arial"/>
          <w:sz w:val="24"/>
          <w:szCs w:val="24"/>
          <w:vertAlign w:val="superscript"/>
        </w:rPr>
        <w:t xml:space="preserve">[63]</w:t>
      </w:r>
    </w:p>
    <w:p>
      <w:pPr>
        <w:pStyle w:val="ListParagraph"/>
        <w:numPr>
          <w:ilvl w:val="0"/>
          <w:numId w:val="1"/>
        </w:numPr>
        <w:spacing w:before="0" w:after="0"/>
      </w:pPr>
      <w:r>
        <w:rPr>
          <w:rFonts w:ascii="Arial" w:cs="Arial" w:eastAsia="Arial" w:hAnsi="Arial"/>
          <w:sz w:val="24"/>
          <w:szCs w:val="24"/>
        </w:rPr>
        <w:t xml:space="preserve">Shows local pharmacy availability: which pharmacies stock the alternative medication</w:t>
      </w:r>
    </w:p>
    <w:p>
      <w:pPr>
        <w:pStyle w:val="ListParagraph"/>
        <w:numPr>
          <w:ilvl w:val="0"/>
          <w:numId w:val="1"/>
        </w:numPr>
        <w:spacing w:before="0" w:after="0"/>
      </w:pPr>
      <w:r>
        <w:rPr>
          <w:rFonts w:ascii="Arial" w:cs="Arial" w:eastAsia="Arial" w:hAnsi="Arial"/>
          <w:sz w:val="24"/>
          <w:szCs w:val="24"/>
        </w:rPr>
        <w:t xml:space="preserve">One-click switch: discontinues old prescription, orders new one with appropriate quantity/refills</w:t>
      </w:r>
    </w:p>
    <w:p>
      <w:pPr>
        <w:pStyle w:val="ListParagraph"/>
        <w:numPr>
          <w:ilvl w:val="0"/>
          <w:numId w:val="1"/>
        </w:numPr>
        <w:spacing w:before="0" w:after="0"/>
      </w:pPr>
      <w:r>
        <w:rPr>
          <w:rFonts w:ascii="Arial" w:cs="Arial" w:eastAsia="Arial" w:hAnsi="Arial"/>
          <w:sz w:val="24"/>
          <w:szCs w:val="24"/>
        </w:rPr>
        <w:t xml:space="preserve">Generates patient-friendly explanation: 'We are switching you to a medication that works the same but costs less'</w:t>
      </w:r>
    </w:p>
    <w:p>
      <w:pPr>
        <w:spacing w:before="0" w:after="0"/>
      </w:pPr>
      <w:r>
        <w:rPr>
          <w:sz w:val="24"/>
          <w:szCs w:val="24"/>
        </w:rPr>
        <w:t xml:space="preserve"/>
      </w:r>
    </w:p>
    <w:p>
      <w:pPr>
        <w:pStyle w:val="Heading4"/>
        <w:spacing w:before="0" w:after="0"/>
      </w:pPr>
      <w:r>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Sends prescription to patient's preferred pharmacy (or specialty pharmacy if biologic)</w:t>
      </w:r>
    </w:p>
    <w:p>
      <w:pPr>
        <w:pStyle w:val="ListParagraph"/>
        <w:numPr>
          <w:ilvl w:val="0"/>
          <w:numId w:val="1"/>
        </w:numPr>
        <w:spacing w:before="0" w:after="0"/>
      </w:pPr>
      <w:r>
        <w:rPr>
          <w:rFonts w:ascii="Arial" w:cs="Arial" w:eastAsia="Arial" w:hAnsi="Arial"/>
          <w:sz w:val="24"/>
          <w:szCs w:val="24"/>
        </w:rPr>
        <w:t xml:space="preserve">Pharmacy notification of therapeutic interchange with education for patient counseling</w:t>
      </w:r>
    </w:p>
    <w:p>
      <w:pPr>
        <w:pStyle w:val="ListParagraph"/>
        <w:numPr>
          <w:ilvl w:val="0"/>
          <w:numId w:val="1"/>
        </w:numPr>
        <w:spacing w:before="0" w:after="0"/>
      </w:pPr>
      <w:r>
        <w:rPr>
          <w:rFonts w:ascii="Arial" w:cs="Arial" w:eastAsia="Arial" w:hAnsi="Arial"/>
          <w:sz w:val="24"/>
          <w:szCs w:val="24"/>
        </w:rPr>
        <w:t xml:space="preserve">Patient education materials on biosimilars/generics with FAQ addressing safety concerns</w:t>
      </w:r>
    </w:p>
    <w:p>
      <w:pPr>
        <w:pStyle w:val="ListParagraph"/>
        <w:numPr>
          <w:ilvl w:val="0"/>
          <w:numId w:val="1"/>
        </w:numPr>
        <w:spacing w:before="0" w:after="0"/>
      </w:pPr>
      <w:r>
        <w:rPr>
          <w:rFonts w:ascii="Arial" w:cs="Arial" w:eastAsia="Arial" w:hAnsi="Arial"/>
          <w:sz w:val="24"/>
          <w:szCs w:val="24"/>
        </w:rPr>
        <w:t xml:space="preserve">Follow-up alert at 30-60 days to confirm tolerance and adherence</w:t>
      </w:r>
    </w:p>
    <w:p>
      <w:pPr>
        <w:pStyle w:val="ListParagraph"/>
        <w:numPr>
          <w:ilvl w:val="0"/>
          <w:numId w:val="1"/>
        </w:numPr>
        <w:spacing w:before="0" w:after="0"/>
      </w:pPr>
      <w:r>
        <w:rPr>
          <w:rFonts w:ascii="Arial" w:cs="Arial" w:eastAsia="Arial" w:hAnsi="Arial"/>
          <w:sz w:val="24"/>
          <w:szCs w:val="24"/>
        </w:rPr>
        <w:t xml:space="preserve">Tracks cost savings at patient and population level</w:t>
      </w:r>
    </w:p>
    <w:p>
      <w:pPr>
        <w:spacing w:before="0" w:after="0"/>
      </w:pPr>
      <w:r>
        <w:rPr>
          <w:sz w:val="24"/>
          <w:szCs w:val="24"/>
        </w:rPr>
        <w:t xml:space="preserve"/>
      </w:r>
    </w:p>
    <w:p>
      <w:pPr>
        <w:pStyle w:val="Heading3"/>
        <w:spacing w:before="0" w:after="0"/>
      </w:pPr>
      <w:r>
        <w:rPr/>
        <w:t xml:space="preserve">Impact on Three Pillars</w:t>
      </w:r>
    </w:p>
    <w:p>
      <w:pPr>
        <w:spacing w:before="0" w:after="0"/>
      </w:pPr>
      <w:r>
        <w:rPr>
          <w:sz w:val="24"/>
          <w:szCs w:val="24"/>
        </w:rPr>
        <w:t xml:space="preserve"/>
      </w:r>
    </w:p>
    <w:p>
      <w:pPr>
        <w:pStyle w:val="Heading4"/>
        <w:spacing w:before="0" w:after="0"/>
      </w:pPr>
      <w:r>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Biosimilars average 50-60% cost savings vs reference biologics, translating to $2,000-$4,000 per patient annually</w:t>
      </w:r>
      <w:r>
        <w:rPr>
          <w:rFonts w:ascii="Arial" w:cs="Arial" w:eastAsia="Arial" w:hAnsi="Arial"/>
          <w:sz w:val="24"/>
          <w:szCs w:val="24"/>
          <w:vertAlign w:val="superscript"/>
        </w:rPr>
        <w:t xml:space="preserve">[64]</w:t>
      </w:r>
    </w:p>
    <w:p>
      <w:pPr>
        <w:pStyle w:val="ListParagraph"/>
        <w:numPr>
          <w:ilvl w:val="0"/>
          <w:numId w:val="1"/>
        </w:numPr>
        <w:spacing w:before="0" w:after="0"/>
      </w:pPr>
      <w:r>
        <w:rPr>
          <w:rFonts w:ascii="Arial" w:cs="Arial" w:eastAsia="Arial" w:hAnsi="Arial"/>
          <w:sz w:val="24"/>
          <w:szCs w:val="24"/>
        </w:rPr>
        <w:t xml:space="preserve">Generic substitutions save $200-$400 per patient annually across common medication classes</w:t>
      </w:r>
    </w:p>
    <w:p>
      <w:pPr>
        <w:pStyle w:val="ListParagraph"/>
        <w:numPr>
          <w:ilvl w:val="0"/>
          <w:numId w:val="1"/>
        </w:numPr>
        <w:spacing w:before="0" w:after="0"/>
      </w:pPr>
      <w:r>
        <w:rPr>
          <w:rFonts w:ascii="Arial" w:cs="Arial" w:eastAsia="Arial" w:hAnsi="Arial"/>
          <w:sz w:val="24"/>
          <w:szCs w:val="24"/>
        </w:rPr>
        <w:t xml:space="preserve">Improved medication affordability increases adherence, reducing downstream hospitalizations and complications</w:t>
      </w:r>
    </w:p>
    <w:p>
      <w:pPr>
        <w:pStyle w:val="ListParagraph"/>
        <w:numPr>
          <w:ilvl w:val="0"/>
          <w:numId w:val="1"/>
        </w:numPr>
        <w:spacing w:before="0" w:after="0"/>
      </w:pPr>
      <w:r>
        <w:rPr>
          <w:rFonts w:ascii="Arial" w:cs="Arial" w:eastAsia="Arial" w:hAnsi="Arial"/>
          <w:sz w:val="24"/>
          <w:szCs w:val="24"/>
        </w:rPr>
        <w:t xml:space="preserve">Health system captures margin on internal specialty pharmacy dispensing</w:t>
      </w:r>
    </w:p>
    <w:p>
      <w:pPr>
        <w:pStyle w:val="ListParagraph"/>
        <w:numPr>
          <w:ilvl w:val="0"/>
          <w:numId w:val="1"/>
        </w:numPr>
        <w:spacing w:before="0" w:after="0"/>
      </w:pPr>
      <w:r>
        <w:rPr>
          <w:rFonts w:ascii="Arial" w:cs="Arial" w:eastAsia="Arial" w:hAnsi="Arial"/>
          <w:sz w:val="24"/>
          <w:szCs w:val="24"/>
        </w:rPr>
        <w:t xml:space="preserve">Estimated financial impact: $100K-$180K annually per PCP through therapeutic interchange across patient panel</w:t>
      </w:r>
    </w:p>
    <w:p>
      <w:pPr>
        <w:spacing w:before="0" w:after="0"/>
      </w:pPr>
      <w:r>
        <w:rPr>
          <w:sz w:val="24"/>
          <w:szCs w:val="24"/>
        </w:rPr>
        <w:t xml:space="preserve"/>
      </w:r>
    </w:p>
    <w:p>
      <w:pPr>
        <w:pStyle w:val="Heading4"/>
        <w:spacing w:before="0" w:after="0"/>
      </w:pPr>
      <w:r>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Biosimilars demonstrate NO clinically significant differences from reference products in rigorous comparative trials</w:t>
      </w:r>
      <w:r>
        <w:rPr>
          <w:rFonts w:ascii="Arial" w:cs="Arial" w:eastAsia="Arial" w:hAnsi="Arial"/>
          <w:sz w:val="24"/>
          <w:szCs w:val="24"/>
          <w:vertAlign w:val="superscript"/>
        </w:rPr>
        <w:t xml:space="preserve">[65]</w:t>
      </w:r>
    </w:p>
    <w:p>
      <w:pPr>
        <w:pStyle w:val="ListParagraph"/>
        <w:numPr>
          <w:ilvl w:val="0"/>
          <w:numId w:val="1"/>
        </w:numPr>
        <w:spacing w:before="0" w:after="0"/>
      </w:pPr>
      <w:r>
        <w:rPr>
          <w:rFonts w:ascii="Arial" w:cs="Arial" w:eastAsia="Arial" w:hAnsi="Arial"/>
          <w:sz w:val="24"/>
          <w:szCs w:val="24"/>
        </w:rPr>
        <w:t xml:space="preserve">Interchangeable biosimilars meet additional FDA standards for switching studies</w:t>
      </w:r>
      <w:r>
        <w:rPr>
          <w:rFonts w:ascii="Arial" w:cs="Arial" w:eastAsia="Arial" w:hAnsi="Arial"/>
          <w:sz w:val="24"/>
          <w:szCs w:val="24"/>
          <w:vertAlign w:val="superscript"/>
        </w:rPr>
        <w:t xml:space="preserve">[66]</w:t>
      </w:r>
    </w:p>
    <w:p>
      <w:pPr>
        <w:pStyle w:val="ListParagraph"/>
        <w:numPr>
          <w:ilvl w:val="0"/>
          <w:numId w:val="1"/>
        </w:numPr>
        <w:spacing w:before="0" w:after="0"/>
      </w:pPr>
      <w:r>
        <w:rPr>
          <w:rFonts w:ascii="Arial" w:cs="Arial" w:eastAsia="Arial" w:hAnsi="Arial"/>
          <w:sz w:val="24"/>
          <w:szCs w:val="24"/>
        </w:rPr>
        <w:t xml:space="preserve">Improved medication adherence through reduced cost barriers leads to better disease control</w:t>
      </w:r>
    </w:p>
    <w:p>
      <w:pPr>
        <w:pStyle w:val="ListParagraph"/>
        <w:numPr>
          <w:ilvl w:val="0"/>
          <w:numId w:val="1"/>
        </w:numPr>
        <w:spacing w:before="0" w:after="0"/>
      </w:pPr>
      <w:r>
        <w:rPr>
          <w:rFonts w:ascii="Arial" w:cs="Arial" w:eastAsia="Arial" w:hAnsi="Arial"/>
          <w:sz w:val="24"/>
          <w:szCs w:val="24"/>
        </w:rPr>
        <w:t xml:space="preserve">Generic medications are bioequivalent to brand-name counterparts by FDA requirement</w:t>
      </w:r>
    </w:p>
    <w:p>
      <w:pPr>
        <w:spacing w:before="0" w:after="0"/>
      </w:pPr>
      <w:r>
        <w:rPr>
          <w:sz w:val="24"/>
          <w:szCs w:val="24"/>
        </w:rPr>
        <w:t xml:space="preserve"/>
      </w:r>
    </w:p>
    <w:p>
      <w:pPr>
        <w:pStyle w:val="Heading4"/>
        <w:spacing w:before="0" w:after="0"/>
      </w:pPr>
      <w:r>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identification of high-cost medication users across entire patient panel</w:t>
      </w:r>
    </w:p>
    <w:p>
      <w:pPr>
        <w:pStyle w:val="ListParagraph"/>
        <w:numPr>
          <w:ilvl w:val="0"/>
          <w:numId w:val="1"/>
        </w:numPr>
        <w:spacing w:before="0" w:after="0"/>
      </w:pPr>
      <w:r>
        <w:rPr>
          <w:rFonts w:ascii="Arial" w:cs="Arial" w:eastAsia="Arial" w:hAnsi="Arial"/>
          <w:sz w:val="24"/>
          <w:szCs w:val="24"/>
        </w:rPr>
        <w:t xml:space="preserve">Reduces health disparities by addressing medication affordability barriers</w:t>
      </w:r>
    </w:p>
    <w:p>
      <w:pPr>
        <w:pStyle w:val="ListParagraph"/>
        <w:numPr>
          <w:ilvl w:val="0"/>
          <w:numId w:val="1"/>
        </w:numPr>
        <w:spacing w:before="0" w:after="0"/>
      </w:pPr>
      <w:r>
        <w:rPr>
          <w:rFonts w:ascii="Arial" w:cs="Arial" w:eastAsia="Arial" w:hAnsi="Arial"/>
          <w:sz w:val="24"/>
          <w:szCs w:val="24"/>
        </w:rPr>
        <w:t xml:space="preserve">80% adherence improvement when cost barriers removed through interchange programs</w:t>
      </w:r>
      <w:r>
        <w:rPr>
          <w:rFonts w:ascii="Arial" w:cs="Arial" w:eastAsia="Arial" w:hAnsi="Arial"/>
          <w:sz w:val="24"/>
          <w:szCs w:val="24"/>
          <w:vertAlign w:val="superscript"/>
        </w:rPr>
        <w:t xml:space="preserve">[67]</w:t>
      </w:r>
    </w:p>
    <w:p>
      <w:pPr>
        <w:pStyle w:val="ListParagraph"/>
        <w:numPr>
          <w:ilvl w:val="0"/>
          <w:numId w:val="1"/>
        </w:numPr>
        <w:spacing w:before="0" w:after="0"/>
      </w:pPr>
      <w:r>
        <w:rPr>
          <w:rFonts w:ascii="Arial" w:cs="Arial" w:eastAsia="Arial" w:hAnsi="Arial"/>
          <w:sz w:val="24"/>
          <w:szCs w:val="24"/>
        </w:rPr>
        <w:t xml:space="preserve">Population-level tracking of biosimilar adoption and cost savings</w:t>
      </w:r>
    </w:p>
    <w:p>
      <w:pPr>
        <w:pStyle w:val="ListParagraph"/>
        <w:numPr>
          <w:ilvl w:val="0"/>
          <w:numId w:val="1"/>
        </w:numPr>
        <w:spacing w:before="0" w:after="0"/>
      </w:pPr>
      <w:r>
        <w:rPr>
          <w:rFonts w:ascii="Arial" w:cs="Arial" w:eastAsia="Arial" w:hAnsi="Arial"/>
          <w:sz w:val="24"/>
          <w:szCs w:val="24"/>
        </w:rPr>
        <w:t xml:space="preserve">Estimated impact: 60-75% conversion rate to biosimilars/generics among eligible patients, $500K-$1M annual savings per 1,000-patient panel</w:t>
      </w:r>
    </w:p>
    <w:p>
      <w:pPr>
        <w:spacing w:before="0" w:after="0"/>
      </w:pPr>
      <w:r>
        <w:rPr>
          <w:sz w:val="24"/>
          <w:szCs w:val="24"/>
        </w:rPr>
        <w:t xml:space="preserve"/>
      </w:r>
    </w:p>
    <w:p>
      <w:pPr>
        <w:pStyle w:val="Heading3"/>
        <w:spacing w:before="0" w:after="0"/>
      </w:pPr>
      <w:r>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Real-time formulary information eliminates guesswork about coverage and copays</w:t>
      </w:r>
    </w:p>
    <w:p>
      <w:pPr>
        <w:pStyle w:val="ListParagraph"/>
        <w:numPr>
          <w:ilvl w:val="0"/>
          <w:numId w:val="1"/>
        </w:numPr>
        <w:spacing w:before="0" w:after="0"/>
      </w:pPr>
      <w:r>
        <w:rPr>
          <w:rFonts w:ascii="Arial" w:cs="Arial" w:eastAsia="Arial" w:hAnsi="Arial"/>
          <w:sz w:val="24"/>
          <w:szCs w:val="24"/>
        </w:rPr>
        <w:t xml:space="preserve">One-click switching saves time compared to manual prescription changes</w:t>
      </w:r>
    </w:p>
    <w:p>
      <w:pPr>
        <w:pStyle w:val="ListParagraph"/>
        <w:numPr>
          <w:ilvl w:val="0"/>
          <w:numId w:val="1"/>
        </w:numPr>
        <w:spacing w:before="0" w:after="0"/>
      </w:pPr>
      <w:r>
        <w:rPr>
          <w:rFonts w:ascii="Arial" w:cs="Arial" w:eastAsia="Arial" w:hAnsi="Arial"/>
          <w:sz w:val="24"/>
          <w:szCs w:val="24"/>
        </w:rPr>
        <w:t xml:space="preserve">Patient education tools address biosimilar safety concerns proactively</w:t>
      </w:r>
    </w:p>
    <w:p>
      <w:pPr>
        <w:pStyle w:val="ListParagraph"/>
        <w:numPr>
          <w:ilvl w:val="0"/>
          <w:numId w:val="1"/>
        </w:numPr>
        <w:spacing w:before="0" w:after="0"/>
      </w:pPr>
      <w:r>
        <w:rPr>
          <w:rFonts w:ascii="Arial" w:cs="Arial" w:eastAsia="Arial" w:hAnsi="Arial"/>
          <w:sz w:val="24"/>
          <w:szCs w:val="24"/>
        </w:rPr>
        <w:t xml:space="preserve">Improves patient satisfaction and adherence through reduced medication costs</w:t>
      </w:r>
    </w:p>
    <w:p>
      <w:pPr>
        <w:pStyle w:val="ListParagraph"/>
        <w:numPr>
          <w:ilvl w:val="0"/>
          <w:numId w:val="1"/>
        </w:numPr>
        <w:spacing w:before="0" w:after="0"/>
      </w:pPr>
      <w:r>
        <w:rPr>
          <w:rFonts w:ascii="Arial" w:cs="Arial" w:eastAsia="Arial" w:hAnsi="Arial"/>
          <w:sz w:val="24"/>
          <w:szCs w:val="24"/>
        </w:rPr>
        <w:t xml:space="preserve">Demonstrates physician value in medication cost optimization</w:t>
      </w:r>
    </w:p>
    <w:p>
      <w:pPr>
        <w:spacing w:before="0" w:after="0"/>
      </w:pPr>
      <w:r>
        <w:rPr>
          <w:sz w:val="24"/>
          <w:szCs w:val="24"/>
        </w:rPr>
        <w:t xml:space="preserve"/>
      </w:r>
    </w:p>
    <w:p>
      <w:pPr>
        <w:pStyle w:val="Heading3"/>
        <w:spacing w:before="0" w:after="0"/>
      </w:pPr>
      <w:r>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PBM formulary databases for real-time coverage and pricing</w:t>
      </w:r>
    </w:p>
    <w:p>
      <w:pPr>
        <w:pStyle w:val="ListParagraph"/>
        <w:numPr>
          <w:ilvl w:val="0"/>
          <w:numId w:val="1"/>
        </w:numPr>
        <w:spacing w:before="0" w:after="0"/>
      </w:pPr>
      <w:r>
        <w:rPr>
          <w:rFonts w:ascii="Arial" w:cs="Arial" w:eastAsia="Arial" w:hAnsi="Arial"/>
          <w:sz w:val="24"/>
          <w:szCs w:val="24"/>
        </w:rPr>
        <w:t xml:space="preserve">Specialty pharmacy partnerships for biologic dispensing and patient support</w:t>
      </w:r>
    </w:p>
    <w:p>
      <w:pPr>
        <w:pStyle w:val="ListParagraph"/>
        <w:numPr>
          <w:ilvl w:val="0"/>
          <w:numId w:val="1"/>
        </w:numPr>
        <w:spacing w:before="0" w:after="0"/>
      </w:pPr>
      <w:r>
        <w:rPr>
          <w:rFonts w:ascii="Arial" w:cs="Arial" w:eastAsia="Arial" w:hAnsi="Arial"/>
          <w:sz w:val="24"/>
          <w:szCs w:val="24"/>
        </w:rPr>
        <w:t xml:space="preserve">Patient education materials on biosimilars and generics</w:t>
      </w:r>
    </w:p>
    <w:p>
      <w:pPr>
        <w:pStyle w:val="ListParagraph"/>
        <w:numPr>
          <w:ilvl w:val="0"/>
          <w:numId w:val="1"/>
        </w:numPr>
        <w:spacing w:before="0" w:after="0"/>
      </w:pPr>
      <w:r>
        <w:rPr>
          <w:rFonts w:ascii="Arial" w:cs="Arial" w:eastAsia="Arial" w:hAnsi="Arial"/>
          <w:sz w:val="24"/>
          <w:szCs w:val="24"/>
        </w:rPr>
        <w:t xml:space="preserve">Pharmacy integration for therapeutic interchange notifications and counseling</w:t>
      </w:r>
    </w:p>
    <w:p>
      <w:pPr>
        <w:spacing w:before="0" w:after="0"/>
      </w:pPr>
      <w:r>
        <w:rPr>
          <w:sz w:val="24"/>
          <w:szCs w:val="24"/>
        </w:rPr>
        <w:t xml:space="preserve"/>
      </w:r>
    </w:p>
    <w:p>
      <w:pPr>
        <w:pStyle w:val="Heading3"/>
        <w:spacing w:before="0" w:after="0"/>
      </w:pPr>
      <w:r>
        <w:rPr/>
        <w:t xml:space="preserve">Summary</w:t>
      </w:r>
    </w:p>
    <w:p>
      <w:pPr>
        <w:spacing w:before="0" w:after="0"/>
      </w:pPr>
      <w:r>
        <w:rPr>
          <w:sz w:val="24"/>
          <w:szCs w:val="24"/>
        </w:rPr>
        <w:t xml:space="preserve"/>
      </w:r>
    </w:p>
    <w:p>
      <w:pPr>
        <w:spacing w:before="0" w:after="0"/>
      </w:pPr>
      <w:r>
        <w:rPr>
          <w:rFonts w:ascii="Arial" w:cs="Arial" w:eastAsia="Arial" w:hAnsi="Arial"/>
          <w:sz w:val="24"/>
          <w:szCs w:val="24"/>
        </w:rPr>
        <w:t xml:space="preserve">These primary care use cases demonstrate Cordance Health's potential to transform clinical decision support across preventive care, chronic disease management, and high-value care delivery. Each use case addresses all three pillars (Economics, Quality &amp; Safety, Population Health), provides clear physician value through reduced cognitive burden and automated workflows, and is measurable with specific targets. The platform's ability to anticipate needs, provide context-aware recommendations, integrate seamlessly into workflow, and coordinate across the care ecosystem positions Cordance Health as a transformative solution for primary care's most pressing challenges.</w:t>
      </w:r>
    </w:p>
    <w:p>
      <w:pPr>
        <w:spacing w:before="0" w:after="0"/>
      </w:pPr>
      <w:r>
        <w:rPr>
          <w:sz w:val="24"/>
          <w:szCs w:val="24"/>
        </w:rPr>
        <w:t xml:space="preserve"/>
      </w:r>
    </w:p>
    <w:p>
      <w:pPr>
        <w:pStyle w:val="Heading3"/>
        <w:spacing w:before="0" w:after="0"/>
      </w:pPr>
      <w:r>
        <w:rPr/>
        <w:t xml:space="preserve">References</w:t>
      </w:r>
    </w:p>
    <w:p>
      <w:pPr>
        <w:spacing w:before="0" w:after="0"/>
      </w:pPr>
      <w:r>
        <w:rPr>
          <w:sz w:val="24"/>
          <w:szCs w:val="24"/>
        </w:rPr>
        <w:t xml:space="preserve"/>
      </w:r>
    </w:p>
    <w:p>
      <w:pPr>
        <w:spacing w:before="0" w:after="0"/>
      </w:pPr>
      <w:r>
        <w:rPr>
          <w:rFonts w:ascii="Arial" w:cs="Arial" w:eastAsia="Arial" w:hAnsi="Arial"/>
          <w:sz w:val="24"/>
          <w:szCs w:val="24"/>
        </w:rPr>
        <w:t xml:space="preserve">[1] Centers for Disease Control and Prevention. Colorectal Cancer Screening. https://www.cdc.gov/colorectal-cancer/screening/index.html</w:t>
      </w:r>
    </w:p>
    <w:p>
      <w:pPr>
        <w:spacing w:before="0" w:after="0"/>
      </w:pPr>
      <w:r>
        <w:rPr>
          <w:sz w:val="24"/>
          <w:szCs w:val="24"/>
        </w:rPr>
        <w:t xml:space="preserve"/>
      </w:r>
    </w:p>
    <w:p>
      <w:pPr>
        <w:spacing w:before="0" w:after="0"/>
      </w:pPr>
      <w:r>
        <w:rPr>
          <w:rFonts w:ascii="Arial" w:cs="Arial" w:eastAsia="Arial" w:hAnsi="Arial"/>
          <w:sz w:val="24"/>
          <w:szCs w:val="24"/>
        </w:rPr>
        <w:t xml:space="preserve">[2] Sabatino SA, et al. Cancer screening test receipt—United States, 2018. MMWR Morb Mortal Wkly Rep. 2021;70(2):29-35. https://www.cdc.gov/mmwr/volumes/70/wr/mm7002a1.htm</w:t>
      </w:r>
    </w:p>
    <w:p>
      <w:pPr>
        <w:spacing w:before="0" w:after="0"/>
      </w:pPr>
      <w:r>
        <w:rPr>
          <w:sz w:val="24"/>
          <w:szCs w:val="24"/>
        </w:rPr>
        <w:t xml:space="preserve"/>
      </w:r>
    </w:p>
    <w:p>
      <w:pPr>
        <w:spacing w:before="0" w:after="0"/>
      </w:pPr>
      <w:r>
        <w:rPr>
          <w:rFonts w:ascii="Arial" w:cs="Arial" w:eastAsia="Arial" w:hAnsi="Arial"/>
          <w:sz w:val="24"/>
          <w:szCs w:val="24"/>
        </w:rPr>
        <w:t xml:space="preserve">[3] Mariotto AB, et al. Medical Care Costs Associated with Cancer Survivorship in the United States. Cancer Epidemiol Biomarkers Prev. 2020;29(7):1304-1312. https://doi.org/10.1158/1055-9965.EPI-19-1534</w:t>
      </w:r>
    </w:p>
    <w:p>
      <w:pPr>
        <w:spacing w:before="0" w:after="0"/>
      </w:pPr>
      <w:r>
        <w:rPr>
          <w:sz w:val="24"/>
          <w:szCs w:val="24"/>
        </w:rPr>
        <w:t xml:space="preserve"/>
      </w:r>
    </w:p>
    <w:p>
      <w:pPr>
        <w:spacing w:before="0" w:after="0"/>
      </w:pPr>
      <w:r>
        <w:rPr>
          <w:rFonts w:ascii="Arial" w:cs="Arial" w:eastAsia="Arial" w:hAnsi="Arial"/>
          <w:sz w:val="24"/>
          <w:szCs w:val="24"/>
        </w:rPr>
        <w:t xml:space="preserve">[4] Doubeni CA, et al. Effectiveness of Screening Colonoscopy in Reducing the Risk of Death From Right and Left Colon Cancer: A Large Community-Based Study. Gut. 2018;67(2):291-298. https://doi.org/10.1136/gutjnl-2016-312712</w:t>
      </w:r>
    </w:p>
    <w:p>
      <w:pPr>
        <w:spacing w:before="0" w:after="0"/>
      </w:pPr>
      <w:r>
        <w:rPr>
          <w:sz w:val="24"/>
          <w:szCs w:val="24"/>
        </w:rPr>
        <w:t xml:space="preserve"/>
      </w:r>
    </w:p>
    <w:p>
      <w:pPr>
        <w:spacing w:before="0" w:after="0"/>
      </w:pPr>
      <w:r>
        <w:rPr>
          <w:rFonts w:ascii="Arial" w:cs="Arial" w:eastAsia="Arial" w:hAnsi="Arial"/>
          <w:sz w:val="24"/>
          <w:szCs w:val="24"/>
        </w:rPr>
        <w:t xml:space="preserve">[5] Maurer DM. Screening for Depression. Am Fam Physician. 2012;85(2):139-144. https://www.aafp.org/pubs/afp/issues/2012/0115/p139.html</w:t>
      </w:r>
    </w:p>
    <w:p>
      <w:pPr>
        <w:spacing w:before="0" w:after="0"/>
      </w:pPr>
      <w:r>
        <w:rPr>
          <w:sz w:val="24"/>
          <w:szCs w:val="24"/>
        </w:rPr>
        <w:t xml:space="preserve"/>
      </w:r>
    </w:p>
    <w:p>
      <w:pPr>
        <w:spacing w:before="0" w:after="0"/>
      </w:pPr>
      <w:r>
        <w:rPr>
          <w:rFonts w:ascii="Arial" w:cs="Arial" w:eastAsia="Arial" w:hAnsi="Arial"/>
          <w:sz w:val="24"/>
          <w:szCs w:val="24"/>
        </w:rPr>
        <w:t xml:space="preserve">[6] American Diabetes Association. Standards of Care in Diabetes—2025. Diabetes Care. 2025;48(Supplement_1). https://doi.org/10.2337/dc25-Sint</w:t>
      </w:r>
    </w:p>
    <w:p>
      <w:pPr>
        <w:spacing w:before="0" w:after="0"/>
      </w:pPr>
      <w:r>
        <w:rPr>
          <w:sz w:val="24"/>
          <w:szCs w:val="24"/>
        </w:rPr>
        <w:t xml:space="preserve"/>
      </w:r>
    </w:p>
    <w:p>
      <w:pPr>
        <w:spacing w:before="0" w:after="0"/>
      </w:pPr>
      <w:r>
        <w:rPr>
          <w:rFonts w:ascii="Arial" w:cs="Arial" w:eastAsia="Arial" w:hAnsi="Arial"/>
          <w:sz w:val="24"/>
          <w:szCs w:val="24"/>
        </w:rPr>
        <w:t xml:space="preserve">[7] Sattar N, et al. Cardiovascular, mortality, and kidney outcomes with GLP-1 receptor agonists in patients with type 2 diabetes: a systematic review and meta-analysis of randomised trials. Lancet Diabetes Endocrinol. 2021;9(10):653-662. https://doi.org/10.1016/S2213-8587(21)00203-5</w:t>
      </w:r>
    </w:p>
    <w:p>
      <w:pPr>
        <w:spacing w:before="0" w:after="0"/>
      </w:pPr>
      <w:r>
        <w:rPr>
          <w:sz w:val="24"/>
          <w:szCs w:val="24"/>
        </w:rPr>
        <w:t xml:space="preserve"/>
      </w:r>
    </w:p>
    <w:p>
      <w:pPr>
        <w:spacing w:before="0" w:after="0"/>
      </w:pPr>
      <w:r>
        <w:rPr>
          <w:rFonts w:ascii="Arial" w:cs="Arial" w:eastAsia="Arial" w:hAnsi="Arial"/>
          <w:sz w:val="24"/>
          <w:szCs w:val="24"/>
        </w:rPr>
        <w:t xml:space="preserve">[8] Chrvala CA, et al. Diabetes self-management education for adults with type 2 diabetes mellitus: A systematic review of the effect on glycemic control. Patient Educ Couns. 2016;99(6):926-943. https://doi.org/10.1016/j.pec.2015.11.003</w:t>
      </w:r>
    </w:p>
    <w:p>
      <w:pPr>
        <w:spacing w:before="0" w:after="0"/>
      </w:pPr>
      <w:r>
        <w:rPr>
          <w:sz w:val="24"/>
          <w:szCs w:val="24"/>
        </w:rPr>
        <w:t xml:space="preserve"/>
      </w:r>
    </w:p>
    <w:p>
      <w:pPr>
        <w:spacing w:before="0" w:after="0"/>
      </w:pPr>
      <w:r>
        <w:rPr>
          <w:rFonts w:ascii="Arial" w:cs="Arial" w:eastAsia="Arial" w:hAnsi="Arial"/>
          <w:sz w:val="24"/>
          <w:szCs w:val="24"/>
        </w:rPr>
        <w:t xml:space="preserve">[9] Sattar N, et al. Cardiovascular, mortality, and kidney outcomes with GLP-1 receptor agonists in patients with type 2 diabetes: a systematic review and meta-analysis of randomised trials. Lancet Diabetes Endocrinol. 2021;9(10):653-662. https://doi.org/10.1016/S2213-8587(21)00203-5</w:t>
      </w:r>
    </w:p>
    <w:p>
      <w:pPr>
        <w:spacing w:before="0" w:after="0"/>
      </w:pPr>
      <w:r>
        <w:rPr>
          <w:sz w:val="24"/>
          <w:szCs w:val="24"/>
        </w:rPr>
        <w:t xml:space="preserve"/>
      </w:r>
    </w:p>
    <w:p>
      <w:pPr>
        <w:spacing w:before="0" w:after="0"/>
      </w:pPr>
      <w:r>
        <w:rPr>
          <w:rFonts w:ascii="Arial" w:cs="Arial" w:eastAsia="Arial" w:hAnsi="Arial"/>
          <w:sz w:val="24"/>
          <w:szCs w:val="24"/>
        </w:rPr>
        <w:t xml:space="preserve">[10] Li Y, et al. All-Cause Costs for Common Chronic Conditions by CKD Stage. Am J Manag Care. 2017;23(8 Suppl):S145-S152. PMID: 28978205</w:t>
      </w:r>
    </w:p>
    <w:p>
      <w:pPr>
        <w:spacing w:before="0" w:after="0"/>
      </w:pPr>
      <w:r>
        <w:rPr>
          <w:sz w:val="24"/>
          <w:szCs w:val="24"/>
        </w:rPr>
        <w:t xml:space="preserve"/>
      </w:r>
    </w:p>
    <w:p>
      <w:pPr>
        <w:spacing w:before="0" w:after="0"/>
      </w:pPr>
      <w:r>
        <w:rPr>
          <w:rFonts w:ascii="Arial" w:cs="Arial" w:eastAsia="Arial" w:hAnsi="Arial"/>
          <w:sz w:val="24"/>
          <w:szCs w:val="24"/>
        </w:rPr>
        <w:t xml:space="preserve">[11] Sattar N, et al. Cardiovascular, mortality, and kidney outcomes with GLP-1 receptor agonists in patients with type 2 diabetes: a systematic review and meta-analysis of randomised trials. Lancet Diabetes Endocrinol. 2021;9(10):653-662. https://doi.org/10.1016/S2213-8587(21)00203-5</w:t>
      </w:r>
    </w:p>
    <w:p>
      <w:pPr>
        <w:spacing w:before="0" w:after="0"/>
      </w:pPr>
      <w:r>
        <w:rPr>
          <w:sz w:val="24"/>
          <w:szCs w:val="24"/>
        </w:rPr>
        <w:t xml:space="preserve"/>
      </w:r>
    </w:p>
    <w:p>
      <w:pPr>
        <w:spacing w:before="0" w:after="0"/>
      </w:pPr>
      <w:r>
        <w:rPr>
          <w:rFonts w:ascii="Arial" w:cs="Arial" w:eastAsia="Arial" w:hAnsi="Arial"/>
          <w:sz w:val="24"/>
          <w:szCs w:val="24"/>
        </w:rPr>
        <w:t xml:space="preserve">[12] McMurray JJV, et al. Dapagliflozin in Patients with Heart Failure and Reduced Ejection Fraction. N Engl J Med. 2019;381(21):1995-2008. https://doi.org/10.1056/NEJMoa1911303</w:t>
      </w:r>
    </w:p>
    <w:p>
      <w:pPr>
        <w:spacing w:before="0" w:after="0"/>
      </w:pPr>
      <w:r>
        <w:rPr>
          <w:sz w:val="24"/>
          <w:szCs w:val="24"/>
        </w:rPr>
        <w:t xml:space="preserve"/>
      </w:r>
    </w:p>
    <w:p>
      <w:pPr>
        <w:spacing w:before="0" w:after="0"/>
      </w:pPr>
      <w:r>
        <w:rPr>
          <w:rFonts w:ascii="Arial" w:cs="Arial" w:eastAsia="Arial" w:hAnsi="Arial"/>
          <w:sz w:val="24"/>
          <w:szCs w:val="24"/>
        </w:rPr>
        <w:t xml:space="preserve">[13] National Eye Institute. Diabetic Retinopathy. https://www.nei.nih.gov/learn-about-eye-health/eye-conditions-and-diseases/diabetic-retinopathy</w:t>
      </w:r>
    </w:p>
    <w:p>
      <w:pPr>
        <w:spacing w:before="0" w:after="0"/>
      </w:pPr>
      <w:r>
        <w:rPr>
          <w:sz w:val="24"/>
          <w:szCs w:val="24"/>
        </w:rPr>
        <w:t xml:space="preserve"/>
      </w:r>
    </w:p>
    <w:p>
      <w:pPr>
        <w:spacing w:before="0" w:after="0"/>
      </w:pPr>
      <w:r>
        <w:rPr>
          <w:rFonts w:ascii="Arial" w:cs="Arial" w:eastAsia="Arial" w:hAnsi="Arial"/>
          <w:sz w:val="24"/>
          <w:szCs w:val="24"/>
        </w:rPr>
        <w:t xml:space="preserve">[14] Centers for Disease Control and Prevention. Chronic Kidney Disease in the United States, 2023. https://www.cdc.gov/ckd</w:t>
      </w:r>
    </w:p>
    <w:p>
      <w:pPr>
        <w:spacing w:before="0" w:after="0"/>
      </w:pPr>
      <w:r>
        <w:rPr>
          <w:sz w:val="24"/>
          <w:szCs w:val="24"/>
        </w:rPr>
        <w:t xml:space="preserve"/>
      </w:r>
    </w:p>
    <w:p>
      <w:pPr>
        <w:spacing w:before="0" w:after="0"/>
      </w:pPr>
      <w:r>
        <w:rPr>
          <w:rFonts w:ascii="Arial" w:cs="Arial" w:eastAsia="Arial" w:hAnsi="Arial"/>
          <w:sz w:val="24"/>
          <w:szCs w:val="24"/>
        </w:rPr>
        <w:t xml:space="preserve">[15] Li Y, et al. All-Cause Costs for Common Chronic Conditions by CKD Stage. Am J Manag Care. 2017;23(8 Suppl):S145-S152. PMID: 28978205</w:t>
      </w:r>
    </w:p>
    <w:p>
      <w:pPr>
        <w:spacing w:before="0" w:after="0"/>
      </w:pPr>
      <w:r>
        <w:rPr>
          <w:sz w:val="24"/>
          <w:szCs w:val="24"/>
        </w:rPr>
        <w:t xml:space="preserve"/>
      </w:r>
    </w:p>
    <w:p>
      <w:pPr>
        <w:spacing w:before="0" w:after="0"/>
      </w:pPr>
      <w:r>
        <w:rPr>
          <w:rFonts w:ascii="Arial" w:cs="Arial" w:eastAsia="Arial" w:hAnsi="Arial"/>
          <w:sz w:val="24"/>
          <w:szCs w:val="24"/>
        </w:rPr>
        <w:t xml:space="preserve">[16] Heerspink HJL, et al. Dapagliflozin in Patients with Chronic Kidney Disease. N Engl J Med. 2020;383(15):1436-1446. https://doi.org/10.1056/NEJMoa2024816</w:t>
      </w:r>
    </w:p>
    <w:p>
      <w:pPr>
        <w:spacing w:before="0" w:after="0"/>
      </w:pPr>
      <w:r>
        <w:rPr>
          <w:sz w:val="24"/>
          <w:szCs w:val="24"/>
        </w:rPr>
        <w:t xml:space="preserve"/>
      </w:r>
    </w:p>
    <w:p>
      <w:pPr>
        <w:spacing w:before="0" w:after="0"/>
      </w:pPr>
      <w:r>
        <w:rPr>
          <w:rFonts w:ascii="Arial" w:cs="Arial" w:eastAsia="Arial" w:hAnsi="Arial"/>
          <w:sz w:val="24"/>
          <w:szCs w:val="24"/>
        </w:rPr>
        <w:t xml:space="preserve">[17] Heerspink HJL, et al. Dapagliflozin in Patients with Chronic Kidney Disease. N Engl J Med. 2020;383(15):1436-1446. https://doi.org/10.1056/NEJMoa2024816</w:t>
      </w:r>
    </w:p>
    <w:p>
      <w:pPr>
        <w:spacing w:before="0" w:after="0"/>
      </w:pPr>
      <w:r>
        <w:rPr>
          <w:sz w:val="24"/>
          <w:szCs w:val="24"/>
        </w:rPr>
        <w:t xml:space="preserve"/>
      </w:r>
    </w:p>
    <w:p>
      <w:pPr>
        <w:spacing w:before="0" w:after="0"/>
      </w:pPr>
      <w:r>
        <w:rPr>
          <w:rFonts w:ascii="Arial" w:cs="Arial" w:eastAsia="Arial" w:hAnsi="Arial"/>
          <w:sz w:val="24"/>
          <w:szCs w:val="24"/>
        </w:rPr>
        <w:t xml:space="preserve">[18] Heerspink HJL, et al. Dapagliflozin in Patients with Chronic Kidney Disease. N Engl J Med. 2020;383(15):1436-1446. https://doi.org/10.1056/NEJMoa2024816</w:t>
      </w:r>
    </w:p>
    <w:p>
      <w:pPr>
        <w:spacing w:before="0" w:after="0"/>
      </w:pPr>
      <w:r>
        <w:rPr>
          <w:sz w:val="24"/>
          <w:szCs w:val="24"/>
        </w:rPr>
        <w:t xml:space="preserve"/>
      </w:r>
    </w:p>
    <w:p>
      <w:pPr>
        <w:spacing w:before="0" w:after="0"/>
      </w:pPr>
      <w:r>
        <w:rPr>
          <w:rFonts w:ascii="Arial" w:cs="Arial" w:eastAsia="Arial" w:hAnsi="Arial"/>
          <w:sz w:val="24"/>
          <w:szCs w:val="24"/>
        </w:rPr>
        <w:t xml:space="preserve">[19] Li Y, et al. All-Cause Costs for Common Chronic Conditions by CKD Stage. Am J Manag Care. 2017;23(8 Suppl):S145-S152. PMID: 28978205</w:t>
      </w:r>
    </w:p>
    <w:p>
      <w:pPr>
        <w:spacing w:before="0" w:after="0"/>
      </w:pPr>
      <w:r>
        <w:rPr>
          <w:sz w:val="24"/>
          <w:szCs w:val="24"/>
        </w:rPr>
        <w:t xml:space="preserve"/>
      </w:r>
    </w:p>
    <w:p>
      <w:pPr>
        <w:spacing w:before="0" w:after="0"/>
      </w:pPr>
      <w:r>
        <w:rPr>
          <w:rFonts w:ascii="Arial" w:cs="Arial" w:eastAsia="Arial" w:hAnsi="Arial"/>
          <w:sz w:val="24"/>
          <w:szCs w:val="24"/>
        </w:rPr>
        <w:t xml:space="preserve">[20] Heerspink HJL, et al. Dapagliflozin in Patients with Chronic Kidney Disease. N Engl J Med. 2020;383(15):1436-1446. https://doi.org/10.1056/NEJMoa2024816</w:t>
      </w:r>
    </w:p>
    <w:p>
      <w:pPr>
        <w:spacing w:before="0" w:after="0"/>
      </w:pPr>
      <w:r>
        <w:rPr>
          <w:sz w:val="24"/>
          <w:szCs w:val="24"/>
        </w:rPr>
        <w:t xml:space="preserve"/>
      </w:r>
    </w:p>
    <w:p>
      <w:pPr>
        <w:spacing w:before="0" w:after="0"/>
      </w:pPr>
      <w:r>
        <w:rPr>
          <w:rFonts w:ascii="Arial" w:cs="Arial" w:eastAsia="Arial" w:hAnsi="Arial"/>
          <w:sz w:val="24"/>
          <w:szCs w:val="24"/>
        </w:rPr>
        <w:t xml:space="preserve">[21] Masnoon N, et al. What is polypharmacy? A systematic review of definitions. BMC Geriatr. 2017;17(1):230. https://doi.org/10.1186/s12877-017-0621-2</w:t>
      </w:r>
    </w:p>
    <w:p>
      <w:pPr>
        <w:spacing w:before="0" w:after="0"/>
      </w:pPr>
      <w:r>
        <w:rPr>
          <w:sz w:val="24"/>
          <w:szCs w:val="24"/>
        </w:rPr>
        <w:t xml:space="preserve"/>
      </w:r>
    </w:p>
    <w:p>
      <w:pPr>
        <w:spacing w:before="0" w:after="0"/>
      </w:pPr>
      <w:r>
        <w:rPr>
          <w:rFonts w:ascii="Arial" w:cs="Arial" w:eastAsia="Arial" w:hAnsi="Arial"/>
          <w:sz w:val="24"/>
          <w:szCs w:val="24"/>
        </w:rPr>
        <w:t xml:space="preserve">[22] American Geriatrics Society Beers Criteria Update Expert Panel. American Geriatrics Society 2023 updated AGS Beers Criteria for potentially inappropriate medication use in older adults. J Am Geriatr Soc. 2023;71(7):2052-2081. https://doi.org/10.1111/jgs.18372</w:t>
      </w:r>
    </w:p>
    <w:p>
      <w:pPr>
        <w:spacing w:before="0" w:after="0"/>
      </w:pPr>
      <w:r>
        <w:rPr>
          <w:sz w:val="24"/>
          <w:szCs w:val="24"/>
        </w:rPr>
        <w:t xml:space="preserve"/>
      </w:r>
    </w:p>
    <w:p>
      <w:pPr>
        <w:spacing w:before="0" w:after="0"/>
      </w:pPr>
      <w:r>
        <w:rPr>
          <w:rFonts w:ascii="Arial" w:cs="Arial" w:eastAsia="Arial" w:hAnsi="Arial"/>
          <w:sz w:val="24"/>
          <w:szCs w:val="24"/>
        </w:rPr>
        <w:t xml:space="preserve">[23] Ruxton K, et al. Drugs with anticholinergic effects and cognitive impairment, falls and all-cause mortality in older adults: A systematic review and meta-analysis. Br J Clin Pharmacol. 2021;87(6):2457-2480. https://doi.org/10.1111/bcp.14617</w:t>
      </w:r>
    </w:p>
    <w:p>
      <w:pPr>
        <w:spacing w:before="0" w:after="0"/>
      </w:pPr>
      <w:r>
        <w:rPr>
          <w:sz w:val="24"/>
          <w:szCs w:val="24"/>
        </w:rPr>
        <w:t xml:space="preserve"/>
      </w:r>
    </w:p>
    <w:p>
      <w:pPr>
        <w:spacing w:before="0" w:after="0"/>
      </w:pPr>
      <w:r>
        <w:rPr>
          <w:rFonts w:ascii="Arial" w:cs="Arial" w:eastAsia="Arial" w:hAnsi="Arial"/>
          <w:sz w:val="24"/>
          <w:szCs w:val="24"/>
        </w:rPr>
        <w:t xml:space="preserve">[24] Bentler SE, et al. The aftermath of hip fracture: discharge placement, functional status change, and mortality. Am J Epidemiol. 2009;170(10):1290-1299. https://doi.org/10.1093/aje/kwp266</w:t>
      </w:r>
    </w:p>
    <w:p>
      <w:pPr>
        <w:spacing w:before="0" w:after="0"/>
      </w:pPr>
      <w:r>
        <w:rPr>
          <w:sz w:val="24"/>
          <w:szCs w:val="24"/>
        </w:rPr>
        <w:t xml:space="preserve"/>
      </w:r>
    </w:p>
    <w:p>
      <w:pPr>
        <w:spacing w:before="0" w:after="0"/>
      </w:pPr>
      <w:r>
        <w:rPr>
          <w:rFonts w:ascii="Arial" w:cs="Arial" w:eastAsia="Arial" w:hAnsi="Arial"/>
          <w:sz w:val="24"/>
          <w:szCs w:val="24"/>
        </w:rPr>
        <w:t xml:space="preserve">[25] American Geriatrics Society Beers Criteria Update Expert Panel. American Geriatrics Society 2023 updated AGS Beers Criteria for potentially inappropriate medication use in older adults. J Am Geriatr Soc. 2023;71(7):2052-2081. https://doi.org/10.1111/jgs.18372</w:t>
      </w:r>
    </w:p>
    <w:p>
      <w:pPr>
        <w:spacing w:before="0" w:after="0"/>
      </w:pPr>
      <w:r>
        <w:rPr>
          <w:sz w:val="24"/>
          <w:szCs w:val="24"/>
        </w:rPr>
        <w:t xml:space="preserve"/>
      </w:r>
    </w:p>
    <w:p>
      <w:pPr>
        <w:spacing w:before="0" w:after="0"/>
      </w:pPr>
      <w:r>
        <w:rPr>
          <w:rFonts w:ascii="Arial" w:cs="Arial" w:eastAsia="Arial" w:hAnsi="Arial"/>
          <w:sz w:val="24"/>
          <w:szCs w:val="24"/>
        </w:rPr>
        <w:t xml:space="preserve">[26] Bentler SE, et al. The aftermath of hip fracture: discharge placement, functional status change, and mortality. Am J Epidemiol. 2009;170(10):1290-1299. https://doi.org/10.1093/aje/kwp266</w:t>
      </w:r>
    </w:p>
    <w:p>
      <w:pPr>
        <w:spacing w:before="0" w:after="0"/>
      </w:pPr>
      <w:r>
        <w:rPr>
          <w:sz w:val="24"/>
          <w:szCs w:val="24"/>
        </w:rPr>
        <w:t xml:space="preserve"/>
      </w:r>
    </w:p>
    <w:p>
      <w:pPr>
        <w:spacing w:before="0" w:after="0"/>
      </w:pPr>
      <w:r>
        <w:rPr>
          <w:rFonts w:ascii="Arial" w:cs="Arial" w:eastAsia="Arial" w:hAnsi="Arial"/>
          <w:sz w:val="24"/>
          <w:szCs w:val="24"/>
        </w:rPr>
        <w:t xml:space="preserve">[27] Budnitz DS, et al. Emergency hospitalizations for adverse drug events in older Americans. N Engl J Med. 2011;365(21):2002-2012. https://doi.org/10.1056/NEJMsa1103053</w:t>
      </w:r>
    </w:p>
    <w:p>
      <w:pPr>
        <w:spacing w:before="0" w:after="0"/>
      </w:pPr>
      <w:r>
        <w:rPr>
          <w:sz w:val="24"/>
          <w:szCs w:val="24"/>
        </w:rPr>
        <w:t xml:space="preserve"/>
      </w:r>
    </w:p>
    <w:p>
      <w:pPr>
        <w:spacing w:before="0" w:after="0"/>
      </w:pPr>
      <w:r>
        <w:rPr>
          <w:rFonts w:ascii="Arial" w:cs="Arial" w:eastAsia="Arial" w:hAnsi="Arial"/>
          <w:sz w:val="24"/>
          <w:szCs w:val="24"/>
        </w:rPr>
        <w:t xml:space="preserve">[28] Ruxton K, et al. Drugs with anticholinergic effects and cognitive impairment, falls and all-cause mortality in older adults: A systematic review and meta-analysis. Br J Clin Pharmacol. 2021;87(6):2457-2480. https://doi.org/10.1111/bcp.14617</w:t>
      </w:r>
    </w:p>
    <w:p>
      <w:pPr>
        <w:spacing w:before="0" w:after="0"/>
      </w:pPr>
      <w:r>
        <w:rPr>
          <w:sz w:val="24"/>
          <w:szCs w:val="24"/>
        </w:rPr>
        <w:t xml:space="preserve"/>
      </w:r>
    </w:p>
    <w:p>
      <w:pPr>
        <w:spacing w:before="0" w:after="0"/>
      </w:pPr>
      <w:r>
        <w:rPr>
          <w:rFonts w:ascii="Arial" w:cs="Arial" w:eastAsia="Arial" w:hAnsi="Arial"/>
          <w:sz w:val="24"/>
          <w:szCs w:val="24"/>
        </w:rPr>
        <w:t xml:space="preserve">[29] Gillespie LD, et al. Interventions for preventing falls in older people living in the community. Cochrane Database Syst Rev. 2012;(9):CD007146. https://doi.org/10.1002/14651858.CD007146.pub3</w:t>
      </w:r>
    </w:p>
    <w:p>
      <w:pPr>
        <w:spacing w:before="0" w:after="0"/>
      </w:pPr>
      <w:r>
        <w:rPr>
          <w:sz w:val="24"/>
          <w:szCs w:val="24"/>
        </w:rPr>
        <w:t xml:space="preserve"/>
      </w:r>
    </w:p>
    <w:p>
      <w:pPr>
        <w:spacing w:before="0" w:after="0"/>
      </w:pPr>
      <w:r>
        <w:rPr>
          <w:rFonts w:ascii="Arial" w:cs="Arial" w:eastAsia="Arial" w:hAnsi="Arial"/>
          <w:sz w:val="24"/>
          <w:szCs w:val="24"/>
        </w:rPr>
        <w:t xml:space="preserve">[30] ASPE. Social Determinants of Health: Evidence Review. US Department of Health and Human Services. https://aspe.hhs.gov/sites/default/files/documents/e2b650cd64cf84aae8ff0fae7474af82/SDOH-Evidence-Review.pdf</w:t>
      </w:r>
    </w:p>
    <w:p>
      <w:pPr>
        <w:spacing w:before="0" w:after="0"/>
      </w:pPr>
      <w:r>
        <w:rPr>
          <w:sz w:val="24"/>
          <w:szCs w:val="24"/>
        </w:rPr>
        <w:t xml:space="preserve"/>
      </w:r>
    </w:p>
    <w:p>
      <w:pPr>
        <w:spacing w:before="0" w:after="0"/>
      </w:pPr>
      <w:r>
        <w:rPr>
          <w:rFonts w:ascii="Arial" w:cs="Arial" w:eastAsia="Arial" w:hAnsi="Arial"/>
          <w:sz w:val="24"/>
          <w:szCs w:val="24"/>
        </w:rPr>
        <w:t xml:space="preserve">[31] Oronce CIA, et al. Association Between State-Level Income Inequality and COVID-19 Cases and Mortality in the USA. J Gen Intern Med. 2020;35(9):2791-2793. https://doi.org/10.1007/s11606-020-05971-3</w:t>
      </w:r>
    </w:p>
    <w:p>
      <w:pPr>
        <w:spacing w:before="0" w:after="0"/>
      </w:pPr>
      <w:r>
        <w:rPr>
          <w:sz w:val="24"/>
          <w:szCs w:val="24"/>
        </w:rPr>
        <w:t xml:space="preserve"/>
      </w:r>
    </w:p>
    <w:p>
      <w:pPr>
        <w:spacing w:before="0" w:after="0"/>
      </w:pPr>
      <w:r>
        <w:rPr>
          <w:rFonts w:ascii="Arial" w:cs="Arial" w:eastAsia="Arial" w:hAnsi="Arial"/>
          <w:sz w:val="24"/>
          <w:szCs w:val="24"/>
        </w:rPr>
        <w:t xml:space="preserve">[32] Billioux A, et al. Standardized Screening for Health-Related Social Needs in Clinical Settings: The Accountable Health Communities Screening Tool. NAM Perspectives. 2017. https://doi.org/10.31478/201705b</w:t>
      </w:r>
    </w:p>
    <w:p>
      <w:pPr>
        <w:spacing w:before="0" w:after="0"/>
      </w:pPr>
      <w:r>
        <w:rPr>
          <w:sz w:val="24"/>
          <w:szCs w:val="24"/>
        </w:rPr>
        <w:t xml:space="preserve"/>
      </w:r>
    </w:p>
    <w:p>
      <w:pPr>
        <w:spacing w:before="0" w:after="0"/>
      </w:pPr>
      <w:r>
        <w:rPr>
          <w:rFonts w:ascii="Arial" w:cs="Arial" w:eastAsia="Arial" w:hAnsi="Arial"/>
          <w:sz w:val="24"/>
          <w:szCs w:val="24"/>
        </w:rPr>
        <w:t xml:space="preserve">[33] Berkowitz SA, et al. Food insecurity and metabolic control among U.S. adults with diabetes. Diabetes Care. 2013;36(10):3093-3099. https://doi.org/10.2337/dc13-0570</w:t>
      </w:r>
    </w:p>
    <w:p>
      <w:pPr>
        <w:spacing w:before="0" w:after="0"/>
      </w:pPr>
      <w:r>
        <w:rPr>
          <w:sz w:val="24"/>
          <w:szCs w:val="24"/>
        </w:rPr>
        <w:t xml:space="preserve"/>
      </w:r>
    </w:p>
    <w:p>
      <w:pPr>
        <w:spacing w:before="0" w:after="0"/>
      </w:pPr>
      <w:r>
        <w:rPr>
          <w:rFonts w:ascii="Arial" w:cs="Arial" w:eastAsia="Arial" w:hAnsi="Arial"/>
          <w:sz w:val="24"/>
          <w:szCs w:val="24"/>
        </w:rPr>
        <w:t xml:space="preserve">[34] Centers for Disease Control and Prevention. Colorectal Cancer Screening. https://www.cdc.gov/colorectal-cancer/screening/index.html</w:t>
      </w:r>
    </w:p>
    <w:p>
      <w:pPr>
        <w:spacing w:before="0" w:after="0"/>
      </w:pPr>
      <w:r>
        <w:rPr>
          <w:sz w:val="24"/>
          <w:szCs w:val="24"/>
        </w:rPr>
        <w:t xml:space="preserve"/>
      </w:r>
    </w:p>
    <w:p>
      <w:pPr>
        <w:spacing w:before="0" w:after="0"/>
      </w:pPr>
      <w:r>
        <w:rPr>
          <w:rFonts w:ascii="Arial" w:cs="Arial" w:eastAsia="Arial" w:hAnsi="Arial"/>
          <w:sz w:val="24"/>
          <w:szCs w:val="24"/>
        </w:rPr>
        <w:t xml:space="preserve">[35] Corley DA, et al. Adenoma Detection Rate and Risk of Colorectal Cancer and Death. N Engl J Med. 2014;370(14):1298-1306. https://doi.org/10.1056/NEJMoa1309086</w:t>
      </w:r>
    </w:p>
    <w:p>
      <w:pPr>
        <w:spacing w:before="0" w:after="0"/>
      </w:pPr>
      <w:r>
        <w:rPr>
          <w:sz w:val="24"/>
          <w:szCs w:val="24"/>
        </w:rPr>
        <w:t xml:space="preserve"/>
      </w:r>
    </w:p>
    <w:p>
      <w:pPr>
        <w:spacing w:before="0" w:after="0"/>
      </w:pPr>
      <w:r>
        <w:rPr>
          <w:rFonts w:ascii="Arial" w:cs="Arial" w:eastAsia="Arial" w:hAnsi="Arial"/>
          <w:sz w:val="24"/>
          <w:szCs w:val="24"/>
        </w:rPr>
        <w:t xml:space="preserve">[36] USPSTF. Screening for Colorectal Cancer: US Preventive Services Task Force Recommendation Statement. JAMA. 2021;325(19):1965-1977. https://doi.org/10.1001/jama.2021.6238</w:t>
      </w:r>
    </w:p>
    <w:p>
      <w:pPr>
        <w:spacing w:before="0" w:after="0"/>
      </w:pPr>
      <w:r>
        <w:rPr>
          <w:sz w:val="24"/>
          <w:szCs w:val="24"/>
        </w:rPr>
        <w:t xml:space="preserve"/>
      </w:r>
    </w:p>
    <w:p>
      <w:pPr>
        <w:spacing w:before="0" w:after="0"/>
      </w:pPr>
      <w:r>
        <w:rPr>
          <w:rFonts w:ascii="Arial" w:cs="Arial" w:eastAsia="Arial" w:hAnsi="Arial"/>
          <w:sz w:val="24"/>
          <w:szCs w:val="24"/>
        </w:rPr>
        <w:t xml:space="preserve">[37] Ladabaum U, et al. Cost-Effectiveness and National Effects of Initiating Colorectal Cancer Screening for Average-Risk Persons at Age 45 Years Instead of 50 Years. Gastroenterology. 2019;157(1):137-148. https://doi.org/10.1053/j.gastro.2019.03.023</w:t>
      </w:r>
    </w:p>
    <w:p>
      <w:pPr>
        <w:spacing w:before="0" w:after="0"/>
      </w:pPr>
      <w:r>
        <w:rPr>
          <w:sz w:val="24"/>
          <w:szCs w:val="24"/>
        </w:rPr>
        <w:t xml:space="preserve"/>
      </w:r>
    </w:p>
    <w:p>
      <w:pPr>
        <w:spacing w:before="0" w:after="0"/>
      </w:pPr>
      <w:r>
        <w:rPr>
          <w:rFonts w:ascii="Arial" w:cs="Arial" w:eastAsia="Arial" w:hAnsi="Arial"/>
          <w:sz w:val="24"/>
          <w:szCs w:val="24"/>
        </w:rPr>
        <w:t xml:space="preserve">[38] Mariotto AB, et al. Medical Care Costs Associated with Cancer Survivorship in the United States. Cancer Epidemiol Biomarkers Prev. 2020;29(7):1304-1312. https://doi.org/10.1158/1055-9965.EPI-19-1534</w:t>
      </w:r>
    </w:p>
    <w:p>
      <w:pPr>
        <w:spacing w:before="0" w:after="0"/>
      </w:pPr>
      <w:r>
        <w:rPr>
          <w:sz w:val="24"/>
          <w:szCs w:val="24"/>
        </w:rPr>
        <w:t xml:space="preserve"/>
      </w:r>
    </w:p>
    <w:p>
      <w:pPr>
        <w:spacing w:before="0" w:after="0"/>
      </w:pPr>
      <w:r>
        <w:rPr>
          <w:rFonts w:ascii="Arial" w:cs="Arial" w:eastAsia="Arial" w:hAnsi="Arial"/>
          <w:sz w:val="24"/>
          <w:szCs w:val="24"/>
        </w:rPr>
        <w:t xml:space="preserve">[39] Doubeni CA, et al. Effectiveness of Screening Colonoscopy in Reducing the Risk of Death From Right and Left Colon Cancer: A Large Community-Based Study. Gut. 2018;67(2):291-298. https://doi.org/10.1136/gutjnl-2016-312712</w:t>
      </w:r>
    </w:p>
    <w:p>
      <w:pPr>
        <w:spacing w:before="0" w:after="0"/>
      </w:pPr>
      <w:r>
        <w:rPr>
          <w:sz w:val="24"/>
          <w:szCs w:val="24"/>
        </w:rPr>
        <w:t xml:space="preserve"/>
      </w:r>
    </w:p>
    <w:p>
      <w:pPr>
        <w:spacing w:before="0" w:after="0"/>
      </w:pPr>
      <w:r>
        <w:rPr>
          <w:rFonts w:ascii="Arial" w:cs="Arial" w:eastAsia="Arial" w:hAnsi="Arial"/>
          <w:sz w:val="24"/>
          <w:szCs w:val="24"/>
        </w:rPr>
        <w:t xml:space="preserve">[40] Emery DJ, et al. Overuse of Magnetic Resonance Imaging. JAMA Intern Med. 2013;173(9):823-825. https://doi.org/10.1001/jamainternmed.2013.3804</w:t>
      </w:r>
    </w:p>
    <w:p>
      <w:pPr>
        <w:spacing w:before="0" w:after="0"/>
      </w:pPr>
      <w:r>
        <w:rPr>
          <w:sz w:val="24"/>
          <w:szCs w:val="24"/>
        </w:rPr>
        <w:t xml:space="preserve"/>
      </w:r>
    </w:p>
    <w:p>
      <w:pPr>
        <w:spacing w:before="0" w:after="0"/>
      </w:pPr>
      <w:r>
        <w:rPr>
          <w:rFonts w:ascii="Arial" w:cs="Arial" w:eastAsia="Arial" w:hAnsi="Arial"/>
          <w:sz w:val="24"/>
          <w:szCs w:val="24"/>
        </w:rPr>
        <w:t xml:space="preserve">[41] Fritz JM, et al. Early Physical Therapy vs Usual Care in Patients With Recent-Onset Low Back Pain: A Randomized Clinical Trial. JAMA. 2015;314(14):1459-1467. https://doi.org/10.1001/jama.2015.11648</w:t>
      </w:r>
    </w:p>
    <w:p>
      <w:pPr>
        <w:spacing w:before="0" w:after="0"/>
      </w:pPr>
      <w:r>
        <w:rPr>
          <w:sz w:val="24"/>
          <w:szCs w:val="24"/>
        </w:rPr>
        <w:t xml:space="preserve"/>
      </w:r>
    </w:p>
    <w:p>
      <w:pPr>
        <w:spacing w:before="0" w:after="0"/>
      </w:pPr>
      <w:r>
        <w:rPr>
          <w:rFonts w:ascii="Arial" w:cs="Arial" w:eastAsia="Arial" w:hAnsi="Arial"/>
          <w:sz w:val="24"/>
          <w:szCs w:val="24"/>
        </w:rPr>
        <w:t xml:space="preserve">[42] Brinjikji W, et al. Systematic literature review of imaging features of spinal degeneration in asymptomatic populations. AJNR Am J Neuroradiol. 2015;36(4):811-816. https://doi.org/10.3174/ajnr.A4173</w:t>
      </w:r>
    </w:p>
    <w:p>
      <w:pPr>
        <w:spacing w:before="0" w:after="0"/>
      </w:pPr>
      <w:r>
        <w:rPr>
          <w:sz w:val="24"/>
          <w:szCs w:val="24"/>
        </w:rPr>
        <w:t xml:space="preserve"/>
      </w:r>
    </w:p>
    <w:p>
      <w:pPr>
        <w:spacing w:before="0" w:after="0"/>
      </w:pPr>
      <w:r>
        <w:rPr>
          <w:rFonts w:ascii="Arial" w:cs="Arial" w:eastAsia="Arial" w:hAnsi="Arial"/>
          <w:sz w:val="24"/>
          <w:szCs w:val="24"/>
        </w:rPr>
        <w:t xml:space="preserve">[43] Chou R, et al. Diagnosis and Treatment of Low Back Pain: A Joint Clinical Practice Guideline from the American College of Physicians and the American Pain Society. Ann Intern Med. 2007;147(7):478-491. https://doi.org/10.7326/0003-4819-147-7-200710020-00006</w:t>
      </w:r>
    </w:p>
    <w:p>
      <w:pPr>
        <w:spacing w:before="0" w:after="0"/>
      </w:pPr>
      <w:r>
        <w:rPr>
          <w:sz w:val="24"/>
          <w:szCs w:val="24"/>
        </w:rPr>
        <w:t xml:space="preserve"/>
      </w:r>
    </w:p>
    <w:p>
      <w:pPr>
        <w:spacing w:before="0" w:after="0"/>
      </w:pPr>
      <w:r>
        <w:rPr>
          <w:rFonts w:ascii="Arial" w:cs="Arial" w:eastAsia="Arial" w:hAnsi="Arial"/>
          <w:sz w:val="24"/>
          <w:szCs w:val="24"/>
        </w:rPr>
        <w:t xml:space="preserve">[44] Brinjikji W, et al. Systematic literature review of imaging features of spinal degeneration in asymptomatic populations. AJNR Am J Neuroradiol. 2015;36(4):811-816. https://doi.org/10.3174/ajnr.A4173</w:t>
      </w:r>
    </w:p>
    <w:p>
      <w:pPr>
        <w:spacing w:before="0" w:after="0"/>
      </w:pPr>
      <w:r>
        <w:rPr>
          <w:sz w:val="24"/>
          <w:szCs w:val="24"/>
        </w:rPr>
        <w:t xml:space="preserve"/>
      </w:r>
    </w:p>
    <w:p>
      <w:pPr>
        <w:spacing w:before="0" w:after="0"/>
      </w:pPr>
      <w:r>
        <w:rPr>
          <w:rFonts w:ascii="Arial" w:cs="Arial" w:eastAsia="Arial" w:hAnsi="Arial"/>
          <w:sz w:val="24"/>
          <w:szCs w:val="24"/>
        </w:rPr>
        <w:t xml:space="preserve">[45] Fritz JM, et al. Early Physical Therapy vs Usual Care in Patients With Recent-Onset Low Back Pain: A Randomized Clinical Trial. JAMA. 2015;314(14):1459-1467. https://doi.org/10.1001/jama.2015.11648</w:t>
      </w:r>
    </w:p>
    <w:p>
      <w:pPr>
        <w:spacing w:before="0" w:after="0"/>
      </w:pPr>
      <w:r>
        <w:rPr>
          <w:sz w:val="24"/>
          <w:szCs w:val="24"/>
        </w:rPr>
        <w:t xml:space="preserve"/>
      </w:r>
    </w:p>
    <w:p>
      <w:pPr>
        <w:spacing w:before="0" w:after="0"/>
      </w:pPr>
      <w:r>
        <w:rPr>
          <w:rFonts w:ascii="Arial" w:cs="Arial" w:eastAsia="Arial" w:hAnsi="Arial"/>
          <w:sz w:val="24"/>
          <w:szCs w:val="24"/>
        </w:rPr>
        <w:t xml:space="preserve">[46] Fritz JM, et al. Early Physical Therapy vs Usual Care in Patients With Recent-Onset Low Back Pain: A Randomized Clinical Trial. JAMA. 2015;314(14):1459-1467. https://doi.org/10.1001/jama.2015.11648</w:t>
      </w:r>
    </w:p>
    <w:p>
      <w:pPr>
        <w:spacing w:before="0" w:after="0"/>
      </w:pPr>
      <w:r>
        <w:rPr>
          <w:sz w:val="24"/>
          <w:szCs w:val="24"/>
        </w:rPr>
        <w:t xml:space="preserve"/>
      </w:r>
    </w:p>
    <w:p>
      <w:pPr>
        <w:spacing w:before="0" w:after="0"/>
      </w:pPr>
      <w:r>
        <w:rPr>
          <w:rFonts w:ascii="Arial" w:cs="Arial" w:eastAsia="Arial" w:hAnsi="Arial"/>
          <w:sz w:val="24"/>
          <w:szCs w:val="24"/>
        </w:rPr>
        <w:t xml:space="preserve">[47] Chou R, et al. Diagnostic Imaging for Low Back Pain: Advice for High-Value Health Care From the American College of Physicians. Ann Intern Med. 2011;154(3):181-189. https://doi.org/10.7326/0003-4819-154-3-201102010-00008</w:t>
      </w:r>
    </w:p>
    <w:p>
      <w:pPr>
        <w:spacing w:before="0" w:after="0"/>
      </w:pPr>
      <w:r>
        <w:rPr>
          <w:sz w:val="24"/>
          <w:szCs w:val="24"/>
        </w:rPr>
        <w:t xml:space="preserve"/>
      </w:r>
    </w:p>
    <w:p>
      <w:pPr>
        <w:spacing w:before="0" w:after="0"/>
      </w:pPr>
      <w:r>
        <w:rPr>
          <w:rFonts w:ascii="Arial" w:cs="Arial" w:eastAsia="Arial" w:hAnsi="Arial"/>
          <w:sz w:val="24"/>
          <w:szCs w:val="24"/>
        </w:rPr>
        <w:t xml:space="preserve">[48] Health Catalyst. 5 Ways to Improve HCC Coding Accuracy and Risk Adjustment. https://www.healthcatalyst.com/learn/insights/5-ways-improve-hcc-coding-accuracy-risk-adjustment</w:t>
      </w:r>
    </w:p>
    <w:p>
      <w:pPr>
        <w:spacing w:before="0" w:after="0"/>
      </w:pPr>
      <w:r>
        <w:rPr>
          <w:sz w:val="24"/>
          <w:szCs w:val="24"/>
        </w:rPr>
        <w:t xml:space="preserve"/>
      </w:r>
    </w:p>
    <w:p>
      <w:pPr>
        <w:spacing w:before="0" w:after="0"/>
      </w:pPr>
      <w:r>
        <w:rPr>
          <w:rFonts w:ascii="Arial" w:cs="Arial" w:eastAsia="Arial" w:hAnsi="Arial"/>
          <w:sz w:val="24"/>
          <w:szCs w:val="24"/>
        </w:rPr>
        <w:t xml:space="preserve">[49] RAAPID Inc. Risk Adjustment Coding Guidelines. https://www.raapidinc.com/blogs/risk-adjustment-coding-guidelines/</w:t>
      </w:r>
    </w:p>
    <w:p>
      <w:pPr>
        <w:spacing w:before="0" w:after="0"/>
      </w:pPr>
      <w:r>
        <w:rPr>
          <w:sz w:val="24"/>
          <w:szCs w:val="24"/>
        </w:rPr>
        <w:t xml:space="preserve"/>
      </w:r>
    </w:p>
    <w:p>
      <w:pPr>
        <w:spacing w:before="0" w:after="0"/>
      </w:pPr>
      <w:r>
        <w:rPr>
          <w:rFonts w:ascii="Arial" w:cs="Arial" w:eastAsia="Arial" w:hAnsi="Arial"/>
          <w:sz w:val="24"/>
          <w:szCs w:val="24"/>
        </w:rPr>
        <w:t xml:space="preserve">[50] MBW Revenue Cycle Management. The ABCs of a Risk Adjustment Factor (RAF) Score in HCC Coding. https://www.mbwrcm.com/the-revenue-cycle-blog/the-abcs-of-a-risk-adjustment-factor-raf-score-in-hcc-coding</w:t>
      </w:r>
    </w:p>
    <w:p>
      <w:pPr>
        <w:spacing w:before="0" w:after="0"/>
      </w:pPr>
      <w:r>
        <w:rPr>
          <w:sz w:val="24"/>
          <w:szCs w:val="24"/>
        </w:rPr>
        <w:t xml:space="preserve"/>
      </w:r>
    </w:p>
    <w:p>
      <w:pPr>
        <w:spacing w:before="0" w:after="0"/>
      </w:pPr>
      <w:r>
        <w:rPr>
          <w:rFonts w:ascii="Arial" w:cs="Arial" w:eastAsia="Arial" w:hAnsi="Arial"/>
          <w:sz w:val="24"/>
          <w:szCs w:val="24"/>
        </w:rPr>
        <w:t xml:space="preserve">[51] AAFP. Risk Adjustment Coding and HCC Coding: Getting Paid for What You Do. Fam Pract Manag. 2016;23(5):24-27. https://www.aafp.org/pubs/fpm/issues/2016/0900/p24.html</w:t>
      </w:r>
    </w:p>
    <w:p>
      <w:pPr>
        <w:spacing w:before="0" w:after="0"/>
      </w:pPr>
      <w:r>
        <w:rPr>
          <w:sz w:val="24"/>
          <w:szCs w:val="24"/>
        </w:rPr>
        <w:t xml:space="preserve"/>
      </w:r>
    </w:p>
    <w:p>
      <w:pPr>
        <w:spacing w:before="0" w:after="0"/>
      </w:pPr>
      <w:r>
        <w:rPr>
          <w:rFonts w:ascii="Arial" w:cs="Arial" w:eastAsia="Arial" w:hAnsi="Arial"/>
          <w:sz w:val="24"/>
          <w:szCs w:val="24"/>
        </w:rPr>
        <w:t xml:space="preserve">[52] Health Catalyst. HCC Risk Adjustment Coding: Allina Health Success Story. https://www.healthcatalyst.com/learn/success-stories/hcc-risk-adjustment-coding-allina-health</w:t>
      </w:r>
    </w:p>
    <w:p>
      <w:pPr>
        <w:spacing w:before="0" w:after="0"/>
      </w:pPr>
      <w:r>
        <w:rPr>
          <w:sz w:val="24"/>
          <w:szCs w:val="24"/>
        </w:rPr>
        <w:t xml:space="preserve"/>
      </w:r>
    </w:p>
    <w:p>
      <w:pPr>
        <w:spacing w:before="0" w:after="0"/>
      </w:pPr>
      <w:r>
        <w:rPr>
          <w:rFonts w:ascii="Arial" w:cs="Arial" w:eastAsia="Arial" w:hAnsi="Arial"/>
          <w:sz w:val="24"/>
          <w:szCs w:val="24"/>
        </w:rPr>
        <w:t xml:space="preserve">[53] RAAPID Inc. Risk Adjustment Coding Guidelines. https://www.raapidinc.com/blogs/risk-adjustment-coding-guidelines/</w:t>
      </w:r>
    </w:p>
    <w:p>
      <w:pPr>
        <w:spacing w:before="0" w:after="0"/>
      </w:pPr>
      <w:r>
        <w:rPr>
          <w:sz w:val="24"/>
          <w:szCs w:val="24"/>
        </w:rPr>
        <w:t xml:space="preserve"/>
      </w:r>
    </w:p>
    <w:p>
      <w:pPr>
        <w:spacing w:before="0" w:after="0"/>
      </w:pPr>
      <w:r>
        <w:rPr>
          <w:rFonts w:ascii="Arial" w:cs="Arial" w:eastAsia="Arial" w:hAnsi="Arial"/>
          <w:sz w:val="24"/>
          <w:szCs w:val="24"/>
        </w:rPr>
        <w:t xml:space="preserve">[54] Fleisher LA, et al. 2014 ACC/AHA Guideline on Perioperative Cardiovascular Evaluation and Management of Patients Undergoing Noncardiac Surgery. J Am Coll Cardiol. 2014;64(22):e77-e137. https://doi.org/10.1016/j.jacc.2014.07.944</w:t>
      </w:r>
    </w:p>
    <w:p>
      <w:pPr>
        <w:spacing w:before="0" w:after="0"/>
      </w:pPr>
      <w:r>
        <w:rPr>
          <w:sz w:val="24"/>
          <w:szCs w:val="24"/>
        </w:rPr>
        <w:t xml:space="preserve"/>
      </w:r>
    </w:p>
    <w:p>
      <w:pPr>
        <w:spacing w:before="0" w:after="0"/>
      </w:pPr>
      <w:r>
        <w:rPr>
          <w:rFonts w:ascii="Arial" w:cs="Arial" w:eastAsia="Arial" w:hAnsi="Arial"/>
          <w:sz w:val="24"/>
          <w:szCs w:val="24"/>
        </w:rPr>
        <w:t xml:space="preserve">[55] Lee TH, et al. Derivation and prospective validation of a simple index for prediction of cardiac risk of major noncardiac surgery. Circulation. 1999;100(10):1043-1049. https://doi.org/10.1161/01.CIR.100.10.1043</w:t>
      </w:r>
    </w:p>
    <w:p>
      <w:pPr>
        <w:spacing w:before="0" w:after="0"/>
      </w:pPr>
      <w:r>
        <w:rPr>
          <w:sz w:val="24"/>
          <w:szCs w:val="24"/>
        </w:rPr>
        <w:t xml:space="preserve"/>
      </w:r>
    </w:p>
    <w:p>
      <w:pPr>
        <w:spacing w:before="0" w:after="0"/>
      </w:pPr>
      <w:r>
        <w:rPr>
          <w:rFonts w:ascii="Arial" w:cs="Arial" w:eastAsia="Arial" w:hAnsi="Arial"/>
          <w:sz w:val="24"/>
          <w:szCs w:val="24"/>
        </w:rPr>
        <w:t xml:space="preserve">[56] Lee TH, et al. Derivation and prospective validation of a simple index for prediction of cardiac risk of major noncardiac surgery. Circulation. 1999;100(10):1043-1049. https://doi.org/10.1161/01.CIR.100.10.1043</w:t>
      </w:r>
    </w:p>
    <w:p>
      <w:pPr>
        <w:spacing w:before="0" w:after="0"/>
      </w:pPr>
      <w:r>
        <w:rPr>
          <w:sz w:val="24"/>
          <w:szCs w:val="24"/>
        </w:rPr>
        <w:t xml:space="preserve"/>
      </w:r>
    </w:p>
    <w:p>
      <w:pPr>
        <w:spacing w:before="0" w:after="0"/>
      </w:pPr>
      <w:r>
        <w:rPr>
          <w:rFonts w:ascii="Arial" w:cs="Arial" w:eastAsia="Arial" w:hAnsi="Arial"/>
          <w:sz w:val="24"/>
          <w:szCs w:val="24"/>
        </w:rPr>
        <w:t xml:space="preserve">[57] Fleisher LA, et al. 2014 ACC/AHA Guideline on Perioperative Cardiovascular Evaluation and Management of Patients Undergoing Noncardiac Surgery. J Am Coll Cardiol. 2014;64(22):e77-e137. https://doi.org/10.1016/j.jacc.2014.07.944</w:t>
      </w:r>
    </w:p>
    <w:p>
      <w:pPr>
        <w:spacing w:before="0" w:after="0"/>
      </w:pPr>
      <w:r>
        <w:rPr>
          <w:sz w:val="24"/>
          <w:szCs w:val="24"/>
        </w:rPr>
        <w:t xml:space="preserve"/>
      </w:r>
    </w:p>
    <w:p>
      <w:pPr>
        <w:spacing w:before="0" w:after="0"/>
      </w:pPr>
      <w:r>
        <w:rPr>
          <w:rFonts w:ascii="Arial" w:cs="Arial" w:eastAsia="Arial" w:hAnsi="Arial"/>
          <w:sz w:val="24"/>
          <w:szCs w:val="24"/>
        </w:rPr>
        <w:t xml:space="preserve">[58] Fleisher LA, et al. 2014 ACC/AHA Guideline on Perioperative Cardiovascular Evaluation and Management of Patients Undergoing Noncardiac Surgery. J Am Coll Cardiol. 2014;64(22):e77-e137. https://doi.org/10.1016/j.jacc.2014.07.944</w:t>
      </w:r>
    </w:p>
    <w:p>
      <w:pPr>
        <w:spacing w:before="0" w:after="0"/>
      </w:pPr>
      <w:r>
        <w:rPr>
          <w:sz w:val="24"/>
          <w:szCs w:val="24"/>
        </w:rPr>
        <w:t xml:space="preserve"/>
      </w:r>
    </w:p>
    <w:p>
      <w:pPr>
        <w:spacing w:before="0" w:after="0"/>
      </w:pPr>
      <w:r>
        <w:rPr>
          <w:rFonts w:ascii="Arial" w:cs="Arial" w:eastAsia="Arial" w:hAnsi="Arial"/>
          <w:sz w:val="24"/>
          <w:szCs w:val="24"/>
        </w:rPr>
        <w:t xml:space="preserve">[59] US Department of Health and Human Services. Fact Sheet: Bringing Lower-Cost Biosimilar Drugs to American Patients. https://www.hhs.gov/press-room/fact-sheet-bringing-lower-cost-biosimilar-drugs-to-american-patients.html</w:t>
      </w:r>
    </w:p>
    <w:p>
      <w:pPr>
        <w:spacing w:before="0" w:after="0"/>
      </w:pPr>
      <w:r>
        <w:rPr>
          <w:sz w:val="24"/>
          <w:szCs w:val="24"/>
        </w:rPr>
        <w:t xml:space="preserve"/>
      </w:r>
    </w:p>
    <w:p>
      <w:pPr>
        <w:spacing w:before="0" w:after="0"/>
      </w:pPr>
      <w:r>
        <w:rPr>
          <w:rFonts w:ascii="Arial" w:cs="Arial" w:eastAsia="Arial" w:hAnsi="Arial"/>
          <w:sz w:val="24"/>
          <w:szCs w:val="24"/>
        </w:rPr>
        <w:t xml:space="preserve">[60] RAND Corporation. Savings from Biosimilar Drugs. https://www.rand.org/content/dam/rand/pubs/perspectives/PE100/PE127/RAND_PE127.pdf</w:t>
      </w:r>
    </w:p>
    <w:p>
      <w:pPr>
        <w:spacing w:before="0" w:after="0"/>
      </w:pPr>
      <w:r>
        <w:rPr>
          <w:sz w:val="24"/>
          <w:szCs w:val="24"/>
        </w:rPr>
        <w:t xml:space="preserve"/>
      </w:r>
    </w:p>
    <w:p>
      <w:pPr>
        <w:spacing w:before="0" w:after="0"/>
      </w:pPr>
      <w:r>
        <w:rPr>
          <w:rFonts w:ascii="Arial" w:cs="Arial" w:eastAsia="Arial" w:hAnsi="Arial"/>
          <w:sz w:val="24"/>
          <w:szCs w:val="24"/>
        </w:rPr>
        <w:t xml:space="preserve">[61] FDA. Biosimilar and Interchangeable Biologics: More Treatment Choices. https://www.fda.gov/consumers/consumer-updates/biosimilar-and-interchangeable-biologics-more-treatment-choices</w:t>
      </w:r>
    </w:p>
    <w:p>
      <w:pPr>
        <w:spacing w:before="0" w:after="0"/>
      </w:pPr>
      <w:r>
        <w:rPr>
          <w:sz w:val="24"/>
          <w:szCs w:val="24"/>
        </w:rPr>
        <w:t xml:space="preserve"/>
      </w:r>
    </w:p>
    <w:p>
      <w:pPr>
        <w:spacing w:before="0" w:after="0"/>
      </w:pPr>
      <w:r>
        <w:rPr>
          <w:rFonts w:ascii="Arial" w:cs="Arial" w:eastAsia="Arial" w:hAnsi="Arial"/>
          <w:sz w:val="24"/>
          <w:szCs w:val="24"/>
        </w:rPr>
        <w:t xml:space="preserve">[62] AJMC. Understanding Interchangeable Biosimilars at the Federal and State Levels. https://www.ajmc.com/view/understanding-interchangeable-biosimilars-at-the-federal-and-state-levels</w:t>
      </w:r>
    </w:p>
    <w:p>
      <w:pPr>
        <w:spacing w:before="0" w:after="0"/>
      </w:pPr>
      <w:r>
        <w:rPr>
          <w:sz w:val="24"/>
          <w:szCs w:val="24"/>
        </w:rPr>
        <w:t xml:space="preserve"/>
      </w:r>
    </w:p>
    <w:p>
      <w:pPr>
        <w:spacing w:before="0" w:after="0"/>
      </w:pPr>
      <w:r>
        <w:rPr>
          <w:rFonts w:ascii="Arial" w:cs="Arial" w:eastAsia="Arial" w:hAnsi="Arial"/>
          <w:sz w:val="24"/>
          <w:szCs w:val="24"/>
        </w:rPr>
        <w:t xml:space="preserve">[63] World Health Organization. Biosimilars: Expanding Access to Essential Biologic Therapies. https://www.who.int/news/item/13-02-2025-biosimilars--expanding-access-to-essential-biologic-therapies</w:t>
      </w:r>
    </w:p>
    <w:p>
      <w:pPr>
        <w:spacing w:before="0" w:after="0"/>
      </w:pPr>
      <w:r>
        <w:rPr>
          <w:sz w:val="24"/>
          <w:szCs w:val="24"/>
        </w:rPr>
        <w:t xml:space="preserve"/>
      </w:r>
    </w:p>
    <w:p>
      <w:pPr>
        <w:spacing w:before="0" w:after="0"/>
      </w:pPr>
      <w:r>
        <w:rPr>
          <w:rFonts w:ascii="Arial" w:cs="Arial" w:eastAsia="Arial" w:hAnsi="Arial"/>
          <w:sz w:val="24"/>
          <w:szCs w:val="24"/>
        </w:rPr>
        <w:t xml:space="preserve">[64] RAND Corporation. Savings from Biosimilar Drugs. https://www.rand.org/content/dam/rand/pubs/perspectives/PE100/PE127/RAND_PE127.pdf</w:t>
      </w:r>
    </w:p>
    <w:p>
      <w:pPr>
        <w:spacing w:before="0" w:after="0"/>
      </w:pPr>
      <w:r>
        <w:rPr>
          <w:sz w:val="24"/>
          <w:szCs w:val="24"/>
        </w:rPr>
        <w:t xml:space="preserve"/>
      </w:r>
    </w:p>
    <w:p>
      <w:pPr>
        <w:spacing w:before="0" w:after="0"/>
      </w:pPr>
      <w:r>
        <w:rPr>
          <w:rFonts w:ascii="Arial" w:cs="Arial" w:eastAsia="Arial" w:hAnsi="Arial"/>
          <w:sz w:val="24"/>
          <w:szCs w:val="24"/>
        </w:rPr>
        <w:t xml:space="preserve">[65] FDA. Biosimilar and Interchangeable Biologics: More Treatment Choices. https://www.fda.gov/consumers/consumer-updates/biosimilar-and-interchangeable-biologics-more-treatment-choices</w:t>
      </w:r>
    </w:p>
    <w:p>
      <w:pPr>
        <w:spacing w:before="0" w:after="0"/>
      </w:pPr>
      <w:r>
        <w:rPr>
          <w:sz w:val="24"/>
          <w:szCs w:val="24"/>
        </w:rPr>
        <w:t xml:space="preserve"/>
      </w:r>
    </w:p>
    <w:p>
      <w:pPr>
        <w:spacing w:before="0" w:after="0"/>
      </w:pPr>
      <w:r>
        <w:rPr>
          <w:rFonts w:ascii="Arial" w:cs="Arial" w:eastAsia="Arial" w:hAnsi="Arial"/>
          <w:sz w:val="24"/>
          <w:szCs w:val="24"/>
        </w:rPr>
        <w:t xml:space="preserve">[66] FDA. Biosimilar and Interchangeable Biologics: More Treatment Choices. https://www.fda.gov/consumers/consumer-updates/biosimilar-and-interchangeable-biologics-more-treatment-choices</w:t>
      </w:r>
    </w:p>
    <w:p>
      <w:pPr>
        <w:spacing w:before="0" w:after="0"/>
      </w:pPr>
      <w:r>
        <w:rPr>
          <w:sz w:val="24"/>
          <w:szCs w:val="24"/>
        </w:rPr>
        <w:t xml:space="preserve"/>
      </w:r>
    </w:p>
    <w:p>
      <w:pPr>
        <w:spacing w:before="0" w:after="0"/>
      </w:pPr>
      <w:r>
        <w:rPr>
          <w:rFonts w:ascii="Arial" w:cs="Arial" w:eastAsia="Arial" w:hAnsi="Arial"/>
          <w:sz w:val="24"/>
          <w:szCs w:val="24"/>
        </w:rPr>
        <w:t xml:space="preserve">[67] AJMC. Understanding Interchangeable Biosimilars at the Federal and State Levels. https://www.ajmc.com/view/understanding-interchangeable-biosimilars-at-the-federal-and-state-levels</w:t>
      </w:r>
    </w:p>
    <w:p>
      <w:pPr>
        <w:spacing w:before="0" w:after="0"/>
      </w:pPr>
      <w:r>
        <w:rPr>
          <w:sz w:val="24"/>
          <w:szCs w:val="24"/>
        </w:rPr>
        <w:t xml:space="preserve"/>
      </w:r>
    </w:p>
    <w:p>
      <w:pPr>
        <w:spacing w:before="0" w:after="0"/>
      </w:pPr>
      <w:r>
        <w:rPr>
          <w:sz w:val="24"/>
          <w:szCs w:val="24"/>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2025-11-23T07:18:28.113Z</dcterms:created>
  <dcterms:modified xsi:type="dcterms:W3CDTF">2025-11-23T07:18:28.114Z</dcterms:modified>
</cp:coreProperties>
</file>

<file path=docProps/custom.xml><?xml version="1.0" encoding="utf-8"?>
<Properties xmlns="http://schemas.openxmlformats.org/officeDocument/2006/custom-properties" xmlns:vt="http://schemas.openxmlformats.org/officeDocument/2006/docPropsVTypes"/>
</file>