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1018A" w14:textId="77777777" w:rsidR="00866706" w:rsidRDefault="00000000">
      <w:pPr>
        <w:pStyle w:val="Heading1"/>
      </w:pPr>
      <w:r>
        <w:t>Commentary on Psalm 61</w:t>
      </w:r>
    </w:p>
    <w:p w14:paraId="1AE4D8E9" w14:textId="77777777" w:rsidR="00866706" w:rsidRDefault="00000000">
      <w:pPr>
        <w:pStyle w:val="Heading2"/>
      </w:pPr>
      <w:r>
        <w:t>Psalm 61</w:t>
      </w:r>
    </w:p>
    <w:tbl>
      <w:tblPr>
        <w:tblW w:w="0" w:type="auto"/>
        <w:tblLook w:val="04A0" w:firstRow="1" w:lastRow="0" w:firstColumn="1" w:lastColumn="0" w:noHBand="0" w:noVBand="1"/>
      </w:tblPr>
      <w:tblGrid>
        <w:gridCol w:w="4680"/>
        <w:gridCol w:w="4680"/>
      </w:tblGrid>
      <w:tr w:rsidR="00866706" w14:paraId="01C4CBD2" w14:textId="77777777">
        <w:tc>
          <w:tcPr>
            <w:tcW w:w="4680" w:type="dxa"/>
          </w:tcPr>
          <w:p w14:paraId="58622AF3" w14:textId="77777777" w:rsidR="00866706" w:rsidRDefault="00000000">
            <w:r>
              <w:rPr>
                <w:b/>
                <w:szCs w:val="24"/>
              </w:rPr>
              <w:t xml:space="preserve">1. </w:t>
            </w:r>
            <w:r>
              <w:rPr>
                <w:sz w:val="26"/>
                <w:rtl/>
              </w:rPr>
              <w:t>לַמְנַצֵּ֬חַ ׀ עַֽל־נְגִינַ֬ת לְדָוִֽד׃</w:t>
            </w:r>
          </w:p>
        </w:tc>
        <w:tc>
          <w:tcPr>
            <w:tcW w:w="4680" w:type="dxa"/>
          </w:tcPr>
          <w:p w14:paraId="491690FB" w14:textId="77777777" w:rsidR="00866706" w:rsidRDefault="00000000">
            <w:r>
              <w:rPr>
                <w:rFonts w:ascii="Cambria" w:hAnsi="Cambria"/>
              </w:rPr>
              <w:t>For the leader; with instrumental music. Of David.</w:t>
            </w:r>
          </w:p>
        </w:tc>
      </w:tr>
      <w:tr w:rsidR="00866706" w14:paraId="3F87F2B3" w14:textId="77777777">
        <w:tc>
          <w:tcPr>
            <w:tcW w:w="4680" w:type="dxa"/>
          </w:tcPr>
          <w:p w14:paraId="75CBFA92" w14:textId="77777777" w:rsidR="00866706" w:rsidRDefault="00000000">
            <w:r>
              <w:rPr>
                <w:b/>
                <w:szCs w:val="24"/>
              </w:rPr>
              <w:t xml:space="preserve">2. </w:t>
            </w:r>
            <w:r>
              <w:rPr>
                <w:sz w:val="26"/>
                <w:rtl/>
              </w:rPr>
              <w:t>שִׁמְעָ֣ה אֱ֭לֹקִים רִנָּתִ֑י הַ֝קְשִׁ֗יבָה תְּפִלָּתִֽי׃</w:t>
            </w:r>
          </w:p>
        </w:tc>
        <w:tc>
          <w:tcPr>
            <w:tcW w:w="4680" w:type="dxa"/>
          </w:tcPr>
          <w:p w14:paraId="2D58B797" w14:textId="77777777" w:rsidR="00866706" w:rsidRDefault="00000000">
            <w:r>
              <w:rPr>
                <w:rFonts w:ascii="Cambria" w:hAnsi="Cambria"/>
              </w:rPr>
              <w:t>Hear my cry, O God,</w:t>
            </w:r>
            <w:r>
              <w:rPr>
                <w:rFonts w:ascii="Cambria" w:hAnsi="Cambria"/>
              </w:rPr>
              <w:br/>
              <w:t>heed my prayer.</w:t>
            </w:r>
          </w:p>
        </w:tc>
      </w:tr>
      <w:tr w:rsidR="00866706" w14:paraId="21918FF8" w14:textId="77777777">
        <w:tc>
          <w:tcPr>
            <w:tcW w:w="4680" w:type="dxa"/>
          </w:tcPr>
          <w:p w14:paraId="5D768482" w14:textId="77777777" w:rsidR="00866706" w:rsidRDefault="00000000">
            <w:r>
              <w:rPr>
                <w:b/>
                <w:szCs w:val="24"/>
              </w:rPr>
              <w:t xml:space="preserve">3. </w:t>
            </w:r>
            <w:r>
              <w:rPr>
                <w:sz w:val="26"/>
                <w:rtl/>
              </w:rPr>
              <w:t>מִקְצֵ֤ה הָאָ֨רֶץ ׀ אֵלֶ֣יךָ אֶ֭קְרָא בַּעֲטֹ֣ף לִבִּ֑י בְּצוּר־יָר֖וּם מִמֶּ֣נִּי תַנְחֵֽנִי׃</w:t>
            </w:r>
          </w:p>
        </w:tc>
        <w:tc>
          <w:tcPr>
            <w:tcW w:w="4680" w:type="dxa"/>
          </w:tcPr>
          <w:p w14:paraId="26C65402" w14:textId="77777777" w:rsidR="00866706" w:rsidRDefault="00000000">
            <w:r>
              <w:rPr>
                <w:rFonts w:ascii="Cambria" w:hAnsi="Cambria"/>
              </w:rPr>
              <w:t>From the end of the earth I call to You;</w:t>
            </w:r>
            <w:r>
              <w:rPr>
                <w:rFonts w:ascii="Cambria" w:hAnsi="Cambria"/>
              </w:rPr>
              <w:br/>
              <w:t>when my heart is faint,</w:t>
            </w:r>
            <w:r>
              <w:rPr>
                <w:rFonts w:ascii="Cambria" w:hAnsi="Cambria"/>
              </w:rPr>
              <w:br/>
              <w:t>You lead me to a rock that is high above me.</w:t>
            </w:r>
          </w:p>
        </w:tc>
      </w:tr>
      <w:tr w:rsidR="00866706" w14:paraId="19F6A074" w14:textId="77777777">
        <w:tc>
          <w:tcPr>
            <w:tcW w:w="4680" w:type="dxa"/>
          </w:tcPr>
          <w:p w14:paraId="684CDC42" w14:textId="77777777" w:rsidR="00866706" w:rsidRDefault="00000000">
            <w:r>
              <w:rPr>
                <w:b/>
                <w:szCs w:val="24"/>
              </w:rPr>
              <w:t xml:space="preserve">4. </w:t>
            </w:r>
            <w:r>
              <w:rPr>
                <w:sz w:val="26"/>
                <w:rtl/>
              </w:rPr>
              <w:t>כִּֽי־הָיִ֣יתָ מַחְסֶ֣ה לִ֑י מִגְדַּל־עֹ֝֗ז מִפְּנֵ֥י אוֹיֵֽב׃</w:t>
            </w:r>
          </w:p>
        </w:tc>
        <w:tc>
          <w:tcPr>
            <w:tcW w:w="4680" w:type="dxa"/>
          </w:tcPr>
          <w:p w14:paraId="67AAAE89" w14:textId="77777777" w:rsidR="00866706" w:rsidRDefault="00000000">
            <w:r>
              <w:rPr>
                <w:rFonts w:ascii="Cambria" w:hAnsi="Cambria"/>
              </w:rPr>
              <w:t>For You have been my refuge,</w:t>
            </w:r>
            <w:r>
              <w:rPr>
                <w:rFonts w:ascii="Cambria" w:hAnsi="Cambria"/>
              </w:rPr>
              <w:br/>
              <w:t>a tower of strength against the enemy.</w:t>
            </w:r>
          </w:p>
        </w:tc>
      </w:tr>
      <w:tr w:rsidR="00866706" w14:paraId="49310993" w14:textId="77777777">
        <w:tc>
          <w:tcPr>
            <w:tcW w:w="4680" w:type="dxa"/>
          </w:tcPr>
          <w:p w14:paraId="25763E16" w14:textId="77777777" w:rsidR="00866706" w:rsidRDefault="00000000">
            <w:r>
              <w:rPr>
                <w:b/>
                <w:szCs w:val="24"/>
              </w:rPr>
              <w:t xml:space="preserve">5. </w:t>
            </w:r>
            <w:r>
              <w:rPr>
                <w:sz w:val="26"/>
                <w:rtl/>
              </w:rPr>
              <w:t>אָג֣וּרָה בְ֭אׇהׇלְךָ עוֹלָמִ֑ים אֶ֥חֱסֶ֨ה בְסֵ֖תֶר כְּנָפֶ֣יךָ סֶּֽלָה׃</w:t>
            </w:r>
          </w:p>
        </w:tc>
        <w:tc>
          <w:tcPr>
            <w:tcW w:w="4680" w:type="dxa"/>
          </w:tcPr>
          <w:p w14:paraId="44389175" w14:textId="77777777" w:rsidR="00866706" w:rsidRDefault="00000000">
            <w:r>
              <w:rPr>
                <w:rFonts w:ascii="Cambria" w:hAnsi="Cambria"/>
              </w:rPr>
              <w:t>O that I might dwell in Your tent forever,</w:t>
            </w:r>
            <w:r>
              <w:rPr>
                <w:rFonts w:ascii="Cambria" w:hAnsi="Cambria"/>
              </w:rPr>
              <w:br/>
              <w:t>take refuge under Your protecting wings. Selah.</w:t>
            </w:r>
          </w:p>
        </w:tc>
      </w:tr>
      <w:tr w:rsidR="00866706" w14:paraId="5FB328B4" w14:textId="77777777">
        <w:tc>
          <w:tcPr>
            <w:tcW w:w="4680" w:type="dxa"/>
          </w:tcPr>
          <w:p w14:paraId="79491E98" w14:textId="77777777" w:rsidR="00866706" w:rsidRDefault="00000000">
            <w:r>
              <w:rPr>
                <w:b/>
                <w:szCs w:val="24"/>
              </w:rPr>
              <w:t xml:space="preserve">6. </w:t>
            </w:r>
            <w:r>
              <w:rPr>
                <w:sz w:val="26"/>
                <w:rtl/>
              </w:rPr>
              <w:t>כִּֽי־אַתָּ֣ה אֱ֭לֹקִים שָׁמַ֣עְתָּ לִנְדָרָ֑י נָתַ֥תָּ יְ֝רֻשַּׁ֗ת יִרְאֵ֥י שְׁמֶֽךָ׃</w:t>
            </w:r>
          </w:p>
        </w:tc>
        <w:tc>
          <w:tcPr>
            <w:tcW w:w="4680" w:type="dxa"/>
          </w:tcPr>
          <w:p w14:paraId="0527B764" w14:textId="77777777" w:rsidR="00866706" w:rsidRDefault="00000000">
            <w:r>
              <w:rPr>
                <w:rFonts w:ascii="Cambria" w:hAnsi="Cambria"/>
              </w:rPr>
              <w:t>O God, You have heard my vows;</w:t>
            </w:r>
            <w:r>
              <w:rPr>
                <w:rFonts w:ascii="Cambria" w:hAnsi="Cambria"/>
              </w:rPr>
              <w:br/>
              <w:t>grant the request of those who fear Your name.</w:t>
            </w:r>
          </w:p>
        </w:tc>
      </w:tr>
      <w:tr w:rsidR="00866706" w14:paraId="418F3C05" w14:textId="77777777">
        <w:tc>
          <w:tcPr>
            <w:tcW w:w="4680" w:type="dxa"/>
          </w:tcPr>
          <w:p w14:paraId="772D7620" w14:textId="77777777" w:rsidR="00866706" w:rsidRDefault="00000000">
            <w:r>
              <w:rPr>
                <w:b/>
                <w:szCs w:val="24"/>
              </w:rPr>
              <w:t xml:space="preserve">7. </w:t>
            </w:r>
            <w:r>
              <w:rPr>
                <w:sz w:val="26"/>
                <w:rtl/>
              </w:rPr>
              <w:t>יָמִ֣ים עַל־יְמֵי־מֶ֣לֶךְ תּוֹסִ֑יף שְׁ֝נוֹתָ֗יו כְּמוֹ־דֹ֥ר וָדֹֽר׃</w:t>
            </w:r>
          </w:p>
        </w:tc>
        <w:tc>
          <w:tcPr>
            <w:tcW w:w="4680" w:type="dxa"/>
          </w:tcPr>
          <w:p w14:paraId="2619A9AE" w14:textId="77777777" w:rsidR="00866706" w:rsidRDefault="00000000">
            <w:r>
              <w:rPr>
                <w:rFonts w:ascii="Cambria" w:hAnsi="Cambria"/>
              </w:rPr>
              <w:t>Add days to the days of the king;</w:t>
            </w:r>
            <w:r>
              <w:rPr>
                <w:rFonts w:ascii="Cambria" w:hAnsi="Cambria"/>
              </w:rPr>
              <w:br/>
              <w:t>may his years extend through generations;</w:t>
            </w:r>
          </w:p>
        </w:tc>
      </w:tr>
      <w:tr w:rsidR="00866706" w14:paraId="0926E23F" w14:textId="77777777">
        <w:tc>
          <w:tcPr>
            <w:tcW w:w="4680" w:type="dxa"/>
          </w:tcPr>
          <w:p w14:paraId="2EFE746B" w14:textId="77777777" w:rsidR="00866706" w:rsidRDefault="00000000">
            <w:r>
              <w:rPr>
                <w:b/>
                <w:szCs w:val="24"/>
              </w:rPr>
              <w:t xml:space="preserve">8. </w:t>
            </w:r>
            <w:r>
              <w:rPr>
                <w:sz w:val="26"/>
                <w:rtl/>
              </w:rPr>
              <w:t>יֵשֵׁ֣ב ע֭וֹלָם לִפְנֵ֣י אֱלֹקִ֑ים חֶ֥סֶד וֶ֝אֱמֶ֗ת מַ֣ן יִנְצְרֻֽהוּ׃</w:t>
            </w:r>
          </w:p>
        </w:tc>
        <w:tc>
          <w:tcPr>
            <w:tcW w:w="4680" w:type="dxa"/>
          </w:tcPr>
          <w:p w14:paraId="72C4F639" w14:textId="77777777" w:rsidR="00866706" w:rsidRDefault="00000000">
            <w:r>
              <w:rPr>
                <w:rFonts w:ascii="Cambria" w:hAnsi="Cambria"/>
              </w:rPr>
              <w:t>may he dwell in God’s presence forever;</w:t>
            </w:r>
            <w:r>
              <w:rPr>
                <w:rFonts w:ascii="Cambria" w:hAnsi="Cambria"/>
              </w:rPr>
              <w:br/>
              <w:t>appoint steadfast love to guard him.</w:t>
            </w:r>
          </w:p>
        </w:tc>
      </w:tr>
      <w:tr w:rsidR="00866706" w14:paraId="04F5C1E4" w14:textId="77777777">
        <w:tc>
          <w:tcPr>
            <w:tcW w:w="4680" w:type="dxa"/>
          </w:tcPr>
          <w:p w14:paraId="33C22FFA" w14:textId="77777777" w:rsidR="00866706" w:rsidRDefault="00000000">
            <w:r>
              <w:rPr>
                <w:b/>
                <w:szCs w:val="24"/>
              </w:rPr>
              <w:t xml:space="preserve">9. </w:t>
            </w:r>
            <w:r>
              <w:rPr>
                <w:sz w:val="26"/>
                <w:rtl/>
              </w:rPr>
              <w:t>כֵּ֤ן אֲזַמְּרָ֣ה שִׁמְךָ֣ לָעַ֑ד לְֽשַׁלְּמִ֥י נְ֝דָרַ֗י י֣וֹם ׀ יֽוֹם׃ {פ}</w:t>
            </w:r>
          </w:p>
        </w:tc>
        <w:tc>
          <w:tcPr>
            <w:tcW w:w="4680" w:type="dxa"/>
          </w:tcPr>
          <w:p w14:paraId="3BB7604A" w14:textId="77777777" w:rsidR="00866706" w:rsidRDefault="00000000">
            <w:r>
              <w:rPr>
                <w:rFonts w:ascii="Cambria" w:hAnsi="Cambria"/>
              </w:rPr>
              <w:t>So I will sing hymns to Your name forever,</w:t>
            </w:r>
            <w:r>
              <w:rPr>
                <w:rFonts w:ascii="Cambria" w:hAnsi="Cambria"/>
              </w:rPr>
              <w:br/>
              <w:t>as I fulfill my vows day after day.</w:t>
            </w:r>
          </w:p>
        </w:tc>
      </w:tr>
    </w:tbl>
    <w:p w14:paraId="631BF47C" w14:textId="77777777" w:rsidR="00866706" w:rsidRDefault="00866706"/>
    <w:p w14:paraId="427F1CC7" w14:textId="77777777" w:rsidR="00866706" w:rsidRDefault="00000000">
      <w:r>
        <w:br w:type="page"/>
      </w:r>
    </w:p>
    <w:p w14:paraId="217FCF11" w14:textId="77777777" w:rsidR="00866706" w:rsidRDefault="00000000">
      <w:pPr>
        <w:pStyle w:val="Heading2"/>
      </w:pPr>
      <w:r>
        <w:lastRenderedPageBreak/>
        <w:t>Introduction</w:t>
      </w:r>
    </w:p>
    <w:p w14:paraId="3F3791AC" w14:textId="77777777" w:rsidR="00866706" w:rsidRDefault="00000000">
      <w:pPr>
        <w:pStyle w:val="BodySans"/>
      </w:pPr>
      <w:r>
        <w:t xml:space="preserve">Read Psalm 61 once with an eye on the clock, and something odd surfaces. The opening — the end of the earth, the fainting heart, the enemy at the gate — contains not a single word for time. No "forever," no "always," no "generation," no "day." Then comes the Selah at the center of the psalm, in verse 5, and the floodgates open: </w:t>
      </w:r>
      <w:r>
        <w:rPr>
          <w:rtl/>
        </w:rPr>
        <w:t>עוֹלָמִים</w:t>
      </w:r>
      <w:r>
        <w:t xml:space="preserve">, "ages" (v.5); </w:t>
      </w:r>
      <w:r>
        <w:rPr>
          <w:rtl/>
        </w:rPr>
        <w:t>דֹר וָדֹר</w:t>
      </w:r>
      <w:r>
        <w:t xml:space="preserve">, "generation and generation" (v.7); </w:t>
      </w:r>
      <w:r>
        <w:rPr>
          <w:rtl/>
        </w:rPr>
        <w:t>עוֹלָם</w:t>
      </w:r>
      <w:r>
        <w:t xml:space="preserve">, "forever" (v.8); and finally </w:t>
      </w:r>
      <w:r>
        <w:rPr>
          <w:rtl/>
        </w:rPr>
        <w:t>לָעַד</w:t>
      </w:r>
      <w:r>
        <w:t xml:space="preserve"> and </w:t>
      </w:r>
      <w:r>
        <w:rPr>
          <w:rtl/>
        </w:rPr>
        <w:t>יוֹם יוֹם</w:t>
      </w:r>
      <w:r>
        <w:t>, "perpetually" and "day by day" (v.9). Every perpetuity word in the poem falls in its back half. The crisis has no clock; the refuge has nothing but. This is not decoration — it is the design. The psalm's whole work is to move a man out of a present so narrow it has no future into a dwelling so secure it is made of nothing but duration.</w:t>
      </w:r>
    </w:p>
    <w:p w14:paraId="51DC4CCC" w14:textId="77777777" w:rsidR="00866706" w:rsidRDefault="00000000">
      <w:pPr>
        <w:pStyle w:val="BodySans"/>
      </w:pPr>
      <w:r>
        <w:t xml:space="preserve">The architecture is compact. A superscription (v.1); a cry from maximal distance (vv.2–3); the ground of confidence and a longing for permanent shelter (vv.4–5); a pivot in which the vows are heard (v.6); an abrupt prayer for the king (vv.7–8); and a closing vow of unending praise (v.9). Across that span the poet builds a ladder of refuge-images, each one higher and more intimate than the last: </w:t>
      </w:r>
      <w:r>
        <w:rPr>
          <w:rtl/>
        </w:rPr>
        <w:t>צוּר</w:t>
      </w:r>
      <w:r>
        <w:t xml:space="preserve">, an open "rock"; </w:t>
      </w:r>
      <w:r>
        <w:rPr>
          <w:rtl/>
        </w:rPr>
        <w:t>מִגְדַּל־עֹז</w:t>
      </w:r>
      <w:r>
        <w:t xml:space="preserve">, an engineered "tower of strength"; </w:t>
      </w:r>
      <w:r>
        <w:rPr>
          <w:rtl/>
        </w:rPr>
        <w:t>אֹהֶל</w:t>
      </w:r>
      <w:r>
        <w:t xml:space="preserve">, an enclosed "tent"; and finally </w:t>
      </w:r>
      <w:r>
        <w:rPr>
          <w:rtl/>
        </w:rPr>
        <w:t>סֵתֶר כְּנָפֶיךָ</w:t>
      </w:r>
      <w:r>
        <w:t>, "the covert of Your wings." The Selah suspends the music at the top of that ladder, at the point of maximum intimacy, just before the poem turns from longing to assurance.</w:t>
      </w:r>
    </w:p>
    <w:p w14:paraId="0B7B1BBC" w14:textId="77777777" w:rsidR="00866706" w:rsidRDefault="00000000">
      <w:pPr>
        <w:pStyle w:val="BodySans"/>
      </w:pPr>
      <w:r>
        <w:t xml:space="preserve">What makes the climb more than a catalog is a paradox planted at its summit. In verse 5 the psalmist does not ask to </w:t>
      </w:r>
      <w:r>
        <w:rPr>
          <w:i/>
        </w:rPr>
        <w:t>settle</w:t>
      </w:r>
      <w:r>
        <w:t xml:space="preserve">. He chooses the verb </w:t>
      </w:r>
      <w:r>
        <w:rPr>
          <w:rtl/>
        </w:rPr>
        <w:t>גּוּר — אָגוּרָה</w:t>
      </w:r>
      <w:r>
        <w:t xml:space="preserve"> (</w:t>
      </w:r>
      <w:r>
        <w:rPr>
          <w:i/>
        </w:rPr>
        <w:t>'ā-GHŪ-rāh</w:t>
      </w:r>
      <w:r>
        <w:t xml:space="preserve">), "let me sojourn" — the root behind </w:t>
      </w:r>
      <w:r>
        <w:rPr>
          <w:rtl/>
        </w:rPr>
        <w:t>גֵּר</w:t>
      </w:r>
      <w:r>
        <w:t xml:space="preserve">, the resident-alien who lives in a land that is not his. He could have said </w:t>
      </w:r>
      <w:r>
        <w:rPr>
          <w:rtl/>
        </w:rPr>
        <w:t>אֵשֵׁב</w:t>
      </w:r>
      <w:r>
        <w:t xml:space="preserve">, "let me dwell," and indeed the king </w:t>
      </w:r>
      <w:r>
        <w:rPr>
          <w:i/>
        </w:rPr>
        <w:t>does</w:t>
      </w:r>
      <w:r>
        <w:t xml:space="preserve"> exactly that in verse 8: </w:t>
      </w:r>
      <w:r>
        <w:rPr>
          <w:rtl/>
        </w:rPr>
        <w:t>יֵשֵׁב עוֹלָם</w:t>
      </w:r>
      <w:r>
        <w:t xml:space="preserve">, "he shall be enthroned forever." But the speaker wants permanent </w:t>
      </w:r>
      <w:r>
        <w:rPr>
          <w:i/>
        </w:rPr>
        <w:t>guest</w:t>
      </w:r>
      <w:r>
        <w:t xml:space="preserve"> status: to be a sojourner, and to sojourn </w:t>
      </w:r>
      <w:r>
        <w:rPr>
          <w:rtl/>
        </w:rPr>
        <w:t>עוֹלָמִים</w:t>
      </w:r>
      <w:r>
        <w:t>, "for ages." The plural is itself unusual — standard Hebrew makes "forever" singular — and the LXX quietly normalizes it back to εἰς τὸν αἰῶνα. The combination is a deliberate contradiction: a verb of temporariness married to a noun of permanence. The alien who never leaves.</w:t>
      </w:r>
    </w:p>
    <w:p w14:paraId="0CE3A4D0" w14:textId="77777777" w:rsidR="00866706" w:rsidRDefault="00000000">
      <w:pPr>
        <w:pStyle w:val="BodySans"/>
      </w:pPr>
      <w:r>
        <w:t xml:space="preserve">That paradox sets up a crux two verses later. In Israelite law the </w:t>
      </w:r>
      <w:r>
        <w:rPr>
          <w:rtl/>
        </w:rPr>
        <w:t>גֵּר</w:t>
      </w:r>
      <w:r>
        <w:t xml:space="preserve"> is precisely the one with no land, no </w:t>
      </w:r>
      <w:r>
        <w:rPr>
          <w:rtl/>
        </w:rPr>
        <w:t>יְרֻשָּׁה</w:t>
      </w:r>
      <w:r>
        <w:t xml:space="preserve">. Yet verse 6 deploys exactly that word: </w:t>
      </w:r>
      <w:r>
        <w:rPr>
          <w:rtl/>
        </w:rPr>
        <w:t>יְרֻשַּׁת יִרְאֵי שְׁמֶךָ</w:t>
      </w:r>
      <w:r>
        <w:t>, "the inheritance of those who fear Your name." The English "grant the request" you find in many translations is a guess; both the Masoretic Text and the Septuagint (κληρονομία, "inheritance") read "inheritance," and Radak resolves the puzzle with elegance:</w:t>
      </w:r>
    </w:p>
    <w:p w14:paraId="143664CE" w14:textId="77777777" w:rsidR="00866706" w:rsidRDefault="00000000">
      <w:pPr>
        <w:pStyle w:val="BodySans"/>
        <w:bidi/>
        <w:ind w:left="432" w:right="432"/>
        <w:jc w:val="right"/>
      </w:pPr>
      <w:r>
        <w:rPr>
          <w:rFonts w:ascii="Times New Roman" w:hAnsi="Times New Roman"/>
          <w:sz w:val="26"/>
        </w:rPr>
        <w:t>אוהל מועד או בית המקדש הוא ירושת יראי ה׳</w:t>
      </w:r>
    </w:p>
    <w:p w14:paraId="05C5F0E1" w14:textId="77777777" w:rsidR="00866706" w:rsidRDefault="00000000">
      <w:pPr>
        <w:pStyle w:val="BodySans"/>
      </w:pPr>
      <w:r>
        <w:t xml:space="preserve">"the Tent of Meeting, or the Temple, is the inheritance of those who fear the Lord." The landless sojourner's inheritance is the dwelling-place itself. The two verses explain each </w:t>
      </w:r>
      <w:r>
        <w:lastRenderedPageBreak/>
        <w:t xml:space="preserve">other — the sojourner-verb of verse 5 and the inheritance-noun of verse 6 are two halves of one theological wager: nearness to God is a possession one holds precisely by </w:t>
      </w:r>
      <w:r>
        <w:rPr>
          <w:i/>
        </w:rPr>
        <w:t>not</w:t>
      </w:r>
      <w:r>
        <w:t xml:space="preserve"> owning it.</w:t>
      </w:r>
    </w:p>
    <w:p w14:paraId="15B6AA81" w14:textId="77777777" w:rsidR="00866706" w:rsidRDefault="00000000">
      <w:pPr>
        <w:pStyle w:val="BodySans"/>
      </w:pPr>
      <w:r>
        <w:t xml:space="preserve">Then the king arrives, with no introduction whatsoever. Verse 7 simply begins </w:t>
      </w:r>
      <w:r>
        <w:rPr>
          <w:rtl/>
        </w:rPr>
        <w:t>יָמִים עַל־יְמֵי־מֶלֶךְ תּוֹסִיף</w:t>
      </w:r>
      <w:r>
        <w:t xml:space="preserve">, "add days to the days of the king," in the third person, with no vocative and no connective. Commentators split: Radak hears </w:t>
      </w:r>
      <w:r>
        <w:rPr>
          <w:rtl/>
        </w:rPr>
        <w:t>מלך המשיח</w:t>
      </w:r>
      <w:r>
        <w:t xml:space="preserve">, "the King Messiah"; Rashi and Metzudat David read it as David speaking of himself — </w:t>
      </w:r>
      <w:r>
        <w:rPr>
          <w:rtl/>
        </w:rPr>
        <w:t>אם נגזר עלי למות בחור</w:t>
      </w:r>
      <w:r>
        <w:t xml:space="preserve">, "if it has been decreed that I die young," then add days until my years reach seventy. But notice what the royal section </w:t>
      </w:r>
      <w:r>
        <w:rPr>
          <w:i/>
        </w:rPr>
        <w:t>does</w:t>
      </w:r>
      <w:r>
        <w:t xml:space="preserve"> structurally. The speaker's longing — agurah olamim, sojourn forever — is realized and surpassed in the king's yeshev olam, enthroned forever. The man who in verse 4 fled </w:t>
      </w:r>
      <w:r>
        <w:rPr>
          <w:rtl/>
        </w:rPr>
        <w:t>מִפְּנֵי אוֹיֵב</w:t>
      </w:r>
      <w:r>
        <w:t xml:space="preserve">, "from the face of the enemy," now sees a king who </w:t>
      </w:r>
      <w:r>
        <w:rPr>
          <w:rtl/>
        </w:rPr>
        <w:t>יֵשֵׁב עוֹלָם לִפְנֵי אֱלֹקִים</w:t>
      </w:r>
      <w:r>
        <w:t xml:space="preserve">, "is enthroned forever before the face of God." The same word, </w:t>
      </w:r>
      <w:r>
        <w:rPr>
          <w:rtl/>
        </w:rPr>
        <w:t>פְּנֵי</w:t>
      </w:r>
      <w:r>
        <w:t>, "face," reverses polarity: the whole psalm is a migration from fleeing a face to dwelling before one. The king is not an intrusion; he is the guarantee. The worshipper's perpetual access is secured inside the king's perpetual enthronement.</w:t>
      </w:r>
    </w:p>
    <w:p w14:paraId="1BB7C446" w14:textId="77777777" w:rsidR="00866706" w:rsidRDefault="00000000">
      <w:pPr>
        <w:pStyle w:val="BodySans"/>
      </w:pPr>
      <w:r>
        <w:t xml:space="preserve">And the king's bodyguards are not soldiers. </w:t>
      </w:r>
      <w:r>
        <w:rPr>
          <w:rtl/>
        </w:rPr>
        <w:t>חֶסֶד וֶאֱמֶת מַן יִנְצְרֻהוּ</w:t>
      </w:r>
      <w:r>
        <w:t xml:space="preserve">, "appoint steadfast love and faithfulness to guard him." Two abstractions are turned into sentinels. This is not unique to our psalm — Proverbs 20:28 says it almost verbatim of royalty: </w:t>
      </w:r>
      <w:r>
        <w:rPr>
          <w:rtl/>
        </w:rPr>
        <w:t>חֶסֶד וֶאֱמֶת יִצְּרוּ־מֶלֶךְ</w:t>
      </w:r>
      <w:r>
        <w:t>, "loyalty and faithfulness guard the king." The poet is drawing on a known maxim about what keeps a throne standing: not walls, but God's own character.</w:t>
      </w:r>
    </w:p>
    <w:p w14:paraId="73F167C0" w14:textId="77777777" w:rsidR="00866706" w:rsidRDefault="00000000">
      <w:pPr>
        <w:pStyle w:val="BodySans"/>
      </w:pPr>
      <w:r>
        <w:t xml:space="preserve">All of which has been building, quietly, toward the last two words. The cosmic cry came </w:t>
      </w:r>
      <w:r>
        <w:rPr>
          <w:rtl/>
        </w:rPr>
        <w:t>מִקְצֵה הָאָרֶץ</w:t>
      </w:r>
      <w:r>
        <w:t xml:space="preserve">, "from the end of the earth" — the farthest reach of </w:t>
      </w:r>
      <w:r>
        <w:rPr>
          <w:i/>
        </w:rPr>
        <w:t>space</w:t>
      </w:r>
      <w:r>
        <w:t xml:space="preserve">. The psalm could have answered that immensity with a matching immensity of time, an eternal instant. Instead it lands on </w:t>
      </w:r>
      <w:r>
        <w:rPr>
          <w:rtl/>
        </w:rPr>
        <w:t>יוֹם יוֹם</w:t>
      </w:r>
      <w:r>
        <w:t xml:space="preserve"> — "day, day," with no conjunction, no preposition, the two bare nouns simply set side by side, the smallest recurring unit there is. The man at the edge of the world is brought home not to a timeless heaven but to a daily habit: paying his vows one ordinary day at a time. Even the superscription may whisper this. The word </w:t>
      </w:r>
      <w:r>
        <w:rPr>
          <w:rtl/>
        </w:rPr>
        <w:t>לַמְנַצֵּחַ</w:t>
      </w:r>
      <w:r>
        <w:t xml:space="preserve"> shares its root, </w:t>
      </w:r>
      <w:r>
        <w:rPr>
          <w:rtl/>
        </w:rPr>
        <w:t>נצח</w:t>
      </w:r>
      <w:r>
        <w:t xml:space="preserve">, with </w:t>
      </w:r>
      <w:r>
        <w:rPr>
          <w:rtl/>
        </w:rPr>
        <w:t>נֶצַח</w:t>
      </w:r>
      <w:r>
        <w:t xml:space="preserve">, "perpetuity" — which may help explain why the LXX read it not as a musical term but as εἰς τέλος, "to the end" — and the psalm's final line brings those two ideas together, music and forever: </w:t>
      </w:r>
      <w:r>
        <w:rPr>
          <w:rtl/>
        </w:rPr>
        <w:t>אֲזַמְּרָה</w:t>
      </w:r>
      <w:r>
        <w:t xml:space="preserve"> (</w:t>
      </w:r>
      <w:r>
        <w:rPr>
          <w:i/>
        </w:rPr>
        <w:t>'a-zam-MRĀH</w:t>
      </w:r>
      <w:r>
        <w:t xml:space="preserve">), "I will sing," with </w:t>
      </w:r>
      <w:r>
        <w:rPr>
          <w:rtl/>
        </w:rPr>
        <w:t>לָעַד</w:t>
      </w:r>
      <w:r>
        <w:t>, "forever."</w:t>
      </w:r>
    </w:p>
    <w:p w14:paraId="0F26250B" w14:textId="77777777" w:rsidR="00866706" w:rsidRDefault="00000000">
      <w:pPr>
        <w:pStyle w:val="BodySans"/>
      </w:pPr>
      <w:r>
        <w:t xml:space="preserve">That is the thing to carry away. Psalm 61 does not rescue its sufferer out of time into eternity. It teaches him to find eternity </w:t>
      </w:r>
      <w:r>
        <w:rPr>
          <w:i/>
        </w:rPr>
        <w:t>inside</w:t>
      </w:r>
      <w:r>
        <w:t xml:space="preserve"> time — to take the unbearable, clockless present of the fainting heart and convert it, by vow and song, into the inexhaustible repetition of each single day.</w:t>
      </w:r>
    </w:p>
    <w:p w14:paraId="4567C6E0" w14:textId="77777777" w:rsidR="00866706" w:rsidRDefault="00000000">
      <w:pPr>
        <w:pStyle w:val="Heading2"/>
      </w:pPr>
      <w:r>
        <w:lastRenderedPageBreak/>
        <w:t>Modern Jewish Liturgical Use</w:t>
      </w:r>
    </w:p>
    <w:p w14:paraId="39455BD6" w14:textId="77777777" w:rsidR="00866706" w:rsidRDefault="00000000">
      <w:pPr>
        <w:pStyle w:val="Heading4"/>
      </w:pPr>
      <w:r>
        <w:t>Full psalm</w:t>
      </w:r>
    </w:p>
    <w:p w14:paraId="34E10020" w14:textId="77777777" w:rsidR="00866706" w:rsidRDefault="00000000">
      <w:pPr>
        <w:pStyle w:val="BodySans"/>
      </w:pPr>
      <w:r>
        <w:t xml:space="preserve">Psalm 61 is not part of the fixed daily, Shabbat, or festival cycle in the major rites; it survives liturgically chiefly through its phrases. The medieval thaumaturgical manual </w:t>
      </w:r>
      <w:r>
        <w:rPr>
          <w:i/>
        </w:rPr>
        <w:t>Shimmush Tehillim</w:t>
      </w:r>
      <w:r>
        <w:t xml:space="preserve"> prescribes reciting the whole psalm seven consecutive times as protection against fear of being alone at night — keyed to the psalm's image of shelter under his wings.</w:t>
      </w:r>
    </w:p>
    <w:p w14:paraId="36CEAE3B" w14:textId="77777777" w:rsidR="00866706" w:rsidRDefault="00000000">
      <w:pPr>
        <w:pStyle w:val="Heading4"/>
      </w:pPr>
      <w:r>
        <w:t>Key verses and phrases</w:t>
      </w:r>
    </w:p>
    <w:p w14:paraId="31FEE8C6" w14:textId="77777777" w:rsidR="00866706" w:rsidRDefault="00000000">
      <w:pPr>
        <w:pStyle w:val="BodySans"/>
      </w:pPr>
      <w:r>
        <w:rPr>
          <w:b/>
          <w:rtl/>
        </w:rPr>
        <w:t>שִׁמְךָ לָעַד</w:t>
      </w:r>
      <w:r>
        <w:rPr>
          <w:b/>
        </w:rPr>
        <w:t>, "Your name forever" (v.9).</w:t>
      </w:r>
      <w:r>
        <w:t xml:space="preserve"> This half-line is absorbed into the great doxologies that frame Scripture-recitation. In the first blessing before the Shema, the Yotzer Or, it appears as </w:t>
      </w:r>
      <w:r>
        <w:rPr>
          <w:rtl/>
        </w:rPr>
        <w:t>יִשְׁתַּבַּח שִׁמְךָ לָעַד מַלְכֵּנוּ</w:t>
      </w:r>
      <w:r>
        <w:t xml:space="preserve">, "may Your name be praised forever, our King," introducing the angelic Kedushah; the same formula hinges the conclusion of Pesukei deZimra in the Yishtabach blessing and crowns the Hallel complex on Seder night. The psalmist's </w:t>
      </w:r>
      <w:r>
        <w:rPr>
          <w:i/>
        </w:rPr>
        <w:t>personal</w:t>
      </w:r>
      <w:r>
        <w:t xml:space="preserve"> vow to sing forever is thus recast as the community's perpetual ascription of praise — a natural extension, since the psalm's own logic already turns private gratitude into ceaseless liturgy.</w:t>
      </w:r>
    </w:p>
    <w:p w14:paraId="1B34B785" w14:textId="77777777" w:rsidR="00866706" w:rsidRDefault="00000000">
      <w:pPr>
        <w:pStyle w:val="BodySans"/>
      </w:pPr>
      <w:r>
        <w:rPr>
          <w:b/>
          <w:rtl/>
        </w:rPr>
        <w:t>כִּי אַתָּה אֱלֹקִים</w:t>
      </w:r>
      <w:r>
        <w:rPr>
          <w:b/>
        </w:rPr>
        <w:t>, "for You, O God" (v.6).</w:t>
      </w:r>
      <w:r>
        <w:t xml:space="preserve"> In the Ashkenazic Rosh Hashanah machzor this kernel is woven into the Kedushat ha-Yom of the Amidah at all services, expanded to</w:t>
      </w:r>
    </w:p>
    <w:p w14:paraId="507116A6" w14:textId="77777777" w:rsidR="00866706" w:rsidRDefault="00000000">
      <w:pPr>
        <w:pStyle w:val="BodySans"/>
        <w:bidi/>
        <w:ind w:left="432" w:right="432"/>
        <w:jc w:val="right"/>
      </w:pPr>
      <w:r>
        <w:rPr>
          <w:rFonts w:ascii="Times New Roman" w:hAnsi="Times New Roman"/>
          <w:sz w:val="26"/>
        </w:rPr>
        <w:t>כִּי אַתָּה אֱלֹקִים אֱמֶת וּדְבָרְךָ אֱמֶת וְקַיָּם לָעַד</w:t>
      </w:r>
    </w:p>
    <w:p w14:paraId="1D7EB406" w14:textId="77777777" w:rsidR="00866706" w:rsidRDefault="00000000">
      <w:pPr>
        <w:pStyle w:val="BodySans"/>
      </w:pPr>
      <w:r>
        <w:t xml:space="preserve">"for You are the God of truth, and Your word is truth and endures forever." The compilers fasten the psalm's confession of a </w:t>
      </w:r>
      <w:r>
        <w:rPr>
          <w:i/>
        </w:rPr>
        <w:t>heard</w:t>
      </w:r>
      <w:r>
        <w:t xml:space="preserve"> God to the Day of Judgment's theme of an enduring, truthful King.</w:t>
      </w:r>
    </w:p>
    <w:p w14:paraId="20CD1C3A" w14:textId="77777777" w:rsidR="00866706" w:rsidRDefault="00000000">
      <w:pPr>
        <w:pStyle w:val="BodySans"/>
      </w:pPr>
      <w:r>
        <w:rPr>
          <w:b/>
          <w:rtl/>
        </w:rPr>
        <w:t>אֵלֶיךָ אֶקְרָא בַּעֲטֹף לִבִּי</w:t>
      </w:r>
      <w:r>
        <w:rPr>
          <w:b/>
        </w:rPr>
        <w:t>, "to You I call when my heart is faint" (v.3).</w:t>
      </w:r>
      <w:r>
        <w:t xml:space="preserve"> In the Hasidic (Nusach Sefard) Seder Birkat Kohanim, recited while the priests chant the blessing during the repetition of the Amidah, this verse joins a chain of </w:t>
      </w:r>
      <w:r>
        <w:rPr>
          <w:rtl/>
        </w:rPr>
        <w:t>אֵלֶיךָ</w:t>
      </w:r>
      <w:r>
        <w:t xml:space="preserve"> and </w:t>
      </w:r>
      <w:r>
        <w:rPr>
          <w:rtl/>
        </w:rPr>
        <w:t>פָּנֶיךָ</w:t>
      </w:r>
      <w:r>
        <w:t xml:space="preserve"> verses. The worshipper's fainting heart "led to a rock higher than I" voices the congregation's inner posture at the very moment they reach for divine blessing.</w:t>
      </w:r>
    </w:p>
    <w:p w14:paraId="77C0B2EF" w14:textId="77777777" w:rsidR="00866706" w:rsidRDefault="00000000">
      <w:pPr>
        <w:pStyle w:val="BodySans"/>
      </w:pPr>
      <w:r>
        <w:rPr>
          <w:b/>
          <w:rtl/>
        </w:rPr>
        <w:t>אֶחֱסֶה בְסֵתֶר כְּנָפֶיךָ</w:t>
      </w:r>
      <w:r>
        <w:rPr>
          <w:b/>
        </w:rPr>
        <w:t>, "I take refuge in the covert of Your wings" (v.5).</w:t>
      </w:r>
      <w:r>
        <w:t xml:space="preserve"> The Rosh Hashanah Shacharit machzor embeds this in the ḥazzan's personal piyyut before the Kedushah — </w:t>
      </w:r>
      <w:r>
        <w:rPr>
          <w:rtl/>
        </w:rPr>
        <w:t>אֶחֱסֶה בְסֵתֶר כְּנָפֶיךָ סֶלָה</w:t>
      </w:r>
      <w:r>
        <w:t xml:space="preserve"> — making the psalm's image of shelter the fulcrum between the cantor's terror and his public task. The same words anchor the memorial prayer </w:t>
      </w:r>
      <w:r>
        <w:rPr>
          <w:rtl/>
        </w:rPr>
        <w:t>קֵל מָלֵא רַחֲמִים</w:t>
      </w:r>
      <w:r>
        <w:t xml:space="preserve">, which shelters the dead </w:t>
      </w:r>
      <w:r>
        <w:rPr>
          <w:rtl/>
        </w:rPr>
        <w:t>הַסְתִּירֵהוּ בְּסֵתֶר כְּנָפֶיךָ לְעוֹלָמִים</w:t>
      </w:r>
      <w:r>
        <w:t xml:space="preserve">, "shelter him in the covert of Your wings forever." Strikingly, the prayer lifts not only the wings but the rare plural </w:t>
      </w:r>
      <w:r>
        <w:rPr>
          <w:rtl/>
        </w:rPr>
        <w:t>עוֹלָמִים</w:t>
      </w:r>
      <w:r>
        <w:t xml:space="preserve"> </w:t>
      </w:r>
      <w:r>
        <w:lastRenderedPageBreak/>
        <w:t>— and the verse's own paradox, the sojourner (</w:t>
      </w:r>
      <w:r>
        <w:rPr>
          <w:rtl/>
        </w:rPr>
        <w:t>אָגוּרָה</w:t>
      </w:r>
      <w:r>
        <w:t>) who dwells forever, maps onto the dead with uncanny fitness: they are the ultimate sojourners who never return, yet abide.</w:t>
      </w:r>
    </w:p>
    <w:p w14:paraId="369D812C" w14:textId="77777777" w:rsidR="00866706" w:rsidRDefault="00000000">
      <w:pPr>
        <w:pStyle w:val="Heading2"/>
      </w:pPr>
      <w:r>
        <w:t>Verse-by-Verse Commentary</w:t>
      </w:r>
    </w:p>
    <w:p w14:paraId="537142AF" w14:textId="77777777" w:rsidR="00866706" w:rsidRDefault="00000000">
      <w:pPr>
        <w:pStyle w:val="Heading3"/>
      </w:pPr>
      <w:r>
        <w:t>Verse 1</w:t>
      </w:r>
    </w:p>
    <w:p w14:paraId="3B181B47" w14:textId="77777777" w:rsidR="00866706" w:rsidRDefault="00000000">
      <w:pPr>
        <w:pStyle w:val="BodySans"/>
      </w:pPr>
      <w:r>
        <w:rPr>
          <w:sz w:val="26"/>
          <w:rtl/>
        </w:rPr>
        <w:t>לַמְנַצֵּ֬חַ ׀ עַֽל־נְגִינַ֬ת לְדָוִֽד׃</w:t>
      </w:r>
    </w:p>
    <w:p w14:paraId="26DB3542" w14:textId="77777777" w:rsidR="00866706" w:rsidRDefault="00000000">
      <w:pPr>
        <w:pStyle w:val="BodySans"/>
      </w:pPr>
      <w:r>
        <w:t xml:space="preserve">The superscription is brief, and two of its words are quietly strange. </w:t>
      </w:r>
      <w:r>
        <w:rPr>
          <w:rtl/>
        </w:rPr>
        <w:t>לַמְנַצֵּחַ</w:t>
      </w:r>
      <w:r>
        <w:t xml:space="preserve">, conventionally "for the leader" or "choirmaster," derives from the root </w:t>
      </w:r>
      <w:r>
        <w:rPr>
          <w:rtl/>
        </w:rPr>
        <w:t>נצח</w:t>
      </w:r>
      <w:r>
        <w:t xml:space="preserve">. Alongside the supervisory sense behind this form stands the related noun </w:t>
      </w:r>
      <w:r>
        <w:rPr>
          <w:rtl/>
        </w:rPr>
        <w:t>נֶצַח</w:t>
      </w:r>
      <w:r>
        <w:t xml:space="preserve">, "perpetuity." The Septuagint did not hear a music director at all; it consistently rendered the word εἰς τέλος, "to the end/completion" — a durational, even eschatological reading. For most psalms that Greek choice looks like a misfire. For this one it is uncannily apt: a poem obsessed with </w:t>
      </w:r>
      <w:r>
        <w:rPr>
          <w:rtl/>
        </w:rPr>
        <w:t>עוֹלָמִים, דֹר וָדֹר</w:t>
      </w:r>
      <w:r>
        <w:t xml:space="preserve">, and </w:t>
      </w:r>
      <w:r>
        <w:rPr>
          <w:rtl/>
        </w:rPr>
        <w:t>לָעַד</w:t>
      </w:r>
      <w:r>
        <w:t xml:space="preserve"> is headed by a word built from the same root as </w:t>
      </w:r>
      <w:r>
        <w:rPr>
          <w:rtl/>
        </w:rPr>
        <w:t>נֶצַח</w:t>
      </w:r>
      <w:r>
        <w:t xml:space="preserve">, and it closes (v.9) on a line that is itself both — </w:t>
      </w:r>
      <w:r>
        <w:rPr>
          <w:rtl/>
        </w:rPr>
        <w:t>אֲזַמְּרָה</w:t>
      </w:r>
      <w:r>
        <w:t xml:space="preserve">, "I will sing," and </w:t>
      </w:r>
      <w:r>
        <w:rPr>
          <w:rtl/>
        </w:rPr>
        <w:t>לָעַד</w:t>
      </w:r>
      <w:r>
        <w:t>, "forever." Whether the poet intended the root-play or merely inherited it, the frame fits the freight.</w:t>
      </w:r>
    </w:p>
    <w:p w14:paraId="4296DCE0" w14:textId="77777777" w:rsidR="00866706" w:rsidRDefault="00000000">
      <w:pPr>
        <w:pStyle w:val="BodySans"/>
      </w:pPr>
      <w:r>
        <w:t xml:space="preserve">The second oddity is </w:t>
      </w:r>
      <w:r>
        <w:rPr>
          <w:rtl/>
        </w:rPr>
        <w:t>עַל־נְגִינַת</w:t>
      </w:r>
      <w:r>
        <w:t xml:space="preserve">, "with stringed music." The expected form is plural </w:t>
      </w:r>
      <w:r>
        <w:rPr>
          <w:rtl/>
        </w:rPr>
        <w:t>בִּנְגִינוֹת</w:t>
      </w:r>
      <w:r>
        <w:t>, as in the headings of Psalms 4, 6, 54, 55, 67, and 76. Here we have a singular construct ending in -</w:t>
      </w:r>
      <w:r>
        <w:rPr>
          <w:rtl/>
        </w:rPr>
        <w:t>ַת</w:t>
      </w:r>
      <w:r>
        <w:t xml:space="preserve"> with nothing to be construct </w:t>
      </w:r>
      <w:r>
        <w:rPr>
          <w:i/>
        </w:rPr>
        <w:t>to</w:t>
      </w:r>
      <w:r>
        <w:t xml:space="preserve">. Meiri treats it as a known grammatical wrinkle — </w:t>
      </w:r>
      <w:r>
        <w:rPr>
          <w:rtl/>
        </w:rPr>
        <w:t>ובא בו התיו שלא בסמיכות</w:t>
      </w:r>
      <w:r>
        <w:t xml:space="preserve">, the taw appears without a construct relationship," comparing </w:t>
      </w:r>
      <w:r>
        <w:rPr>
          <w:rtl/>
        </w:rPr>
        <w:t>מַכַּת בִּלְתִּי סָרָה</w:t>
      </w:r>
      <w:r>
        <w:t xml:space="preserve"> (Isa 14:6). Radak agrees it is simply </w:t>
      </w:r>
      <w:r>
        <w:rPr>
          <w:rtl/>
        </w:rPr>
        <w:t>נְגִינָה</w:t>
      </w:r>
      <w:r>
        <w:t xml:space="preserve"> with an irregular taw, while Ibn Ezra hears a reference to the opening melody of a known song. The likeliest reading is the simplest: a slightly archaic or anomalous form of "stringed accompaniment."</w:t>
      </w:r>
    </w:p>
    <w:p w14:paraId="30A4442F" w14:textId="77777777" w:rsidR="00866706" w:rsidRDefault="00000000">
      <w:pPr>
        <w:pStyle w:val="BodySans"/>
      </w:pPr>
      <w:r>
        <w:rPr>
          <w:rtl/>
        </w:rPr>
        <w:t>לְדָוִד</w:t>
      </w:r>
      <w:r>
        <w:t>, "of David," anchors the psalm to the Davidic corpus; the tradition variously places it in his flight from Saul or, more commonly, his flight from Absalom across the Jordan — one traditional setting for the "end of the earth" of verse 3.</w:t>
      </w:r>
    </w:p>
    <w:p w14:paraId="28D88B81" w14:textId="77777777" w:rsidR="00866706" w:rsidRDefault="00000000">
      <w:pPr>
        <w:pStyle w:val="Heading3"/>
      </w:pPr>
      <w:r>
        <w:t>Verse 2</w:t>
      </w:r>
    </w:p>
    <w:p w14:paraId="166C91D5" w14:textId="77777777" w:rsidR="00866706" w:rsidRDefault="00000000">
      <w:pPr>
        <w:pStyle w:val="BodySans"/>
      </w:pPr>
      <w:r>
        <w:rPr>
          <w:sz w:val="26"/>
          <w:rtl/>
        </w:rPr>
        <w:t>שִׁמְעָ֣ה אֱלֹקִים רִנָּתִ֑י; הַקְשִׁ֗יבָה תְּפִלָּתִֽי׃</w:t>
      </w:r>
    </w:p>
    <w:p w14:paraId="5E23542C" w14:textId="77777777" w:rsidR="00866706" w:rsidRDefault="00000000">
      <w:pPr>
        <w:pStyle w:val="BodySans"/>
      </w:pPr>
      <w:r>
        <w:t xml:space="preserve">The two imperatives are not a flat repetition but a climb. </w:t>
      </w:r>
      <w:r>
        <w:rPr>
          <w:rtl/>
        </w:rPr>
        <w:t>שִׁמְעָה</w:t>
      </w:r>
      <w:r>
        <w:t xml:space="preserve"> (</w:t>
      </w:r>
      <w:r>
        <w:rPr>
          <w:i/>
        </w:rPr>
        <w:t>shim-ʿĀH</w:t>
      </w:r>
      <w:r>
        <w:t xml:space="preserve">), "hear," is the basic verb of perception, here with the lengthened ending of urgent entreaty. </w:t>
      </w:r>
      <w:r>
        <w:rPr>
          <w:rtl/>
        </w:rPr>
        <w:t>הַקְשִׁיבָה</w:t>
      </w:r>
      <w:r>
        <w:t xml:space="preserve">, "give heed," is more demanding — </w:t>
      </w:r>
      <w:r>
        <w:rPr>
          <w:rtl/>
        </w:rPr>
        <w:t>קשב</w:t>
      </w:r>
      <w:r>
        <w:t xml:space="preserve"> implies focused, attentive listening, not mere reception, as in Proverbs 5:1, </w:t>
      </w:r>
      <w:r>
        <w:rPr>
          <w:rtl/>
        </w:rPr>
        <w:t>בְּנִי לְחׇכְמָתִי הַקְשִׁיבָה</w:t>
      </w:r>
      <w:r>
        <w:t>, "my son, attend to my wisdom." The line moves from "register my voice" to "bend your full attention to it."</w:t>
      </w:r>
    </w:p>
    <w:p w14:paraId="0C60F3E1" w14:textId="77777777" w:rsidR="00866706" w:rsidRDefault="00000000">
      <w:pPr>
        <w:pStyle w:val="BodySans"/>
      </w:pPr>
      <w:r>
        <w:lastRenderedPageBreak/>
        <w:t xml:space="preserve">The harder word is </w:t>
      </w:r>
      <w:r>
        <w:rPr>
          <w:rtl/>
        </w:rPr>
        <w:t>רִנָּתִי</w:t>
      </w:r>
      <w:r>
        <w:t xml:space="preserve">, "my cry." </w:t>
      </w:r>
      <w:r>
        <w:rPr>
          <w:rtl/>
        </w:rPr>
        <w:t>רִנָּה</w:t>
      </w:r>
      <w:r>
        <w:t xml:space="preserve"> is most at home as a </w:t>
      </w:r>
      <w:r>
        <w:rPr>
          <w:i/>
        </w:rPr>
        <w:t>shout of joy</w:t>
      </w:r>
      <w:r>
        <w:t xml:space="preserve"> — Psalm 126:2 pairs it with </w:t>
      </w:r>
      <w:r>
        <w:rPr>
          <w:rtl/>
        </w:rPr>
        <w:t>שְׂחוֹק</w:t>
      </w:r>
      <w:r>
        <w:t xml:space="preserve">, "laughter." It is tempting to call its use here, in a petition of distress, a deliberate incongruity, as if joy were smuggled into the lament. But the lexical evidence pulls the surprise down to size: BDB groups </w:t>
      </w:r>
      <w:r>
        <w:rPr>
          <w:rtl/>
        </w:rPr>
        <w:t>רִנָּה</w:t>
      </w:r>
      <w:r>
        <w:t xml:space="preserve"> "in entreaty, supplication, to YHWH" precisely with our verse and with Psalm 17:1 and 88:3 — all paired with </w:t>
      </w:r>
      <w:r>
        <w:rPr>
          <w:rtl/>
        </w:rPr>
        <w:t>תְּפִלָּה</w:t>
      </w:r>
      <w:r>
        <w:t xml:space="preserve">, "prayer." The collocation </w:t>
      </w:r>
      <w:r>
        <w:rPr>
          <w:rtl/>
        </w:rPr>
        <w:t>רִנָּה</w:t>
      </w:r>
      <w:r>
        <w:t xml:space="preserve"> plus </w:t>
      </w:r>
      <w:r>
        <w:rPr>
          <w:rtl/>
        </w:rPr>
        <w:t>תְּפִלָּה</w:t>
      </w:r>
      <w:r>
        <w:t xml:space="preserve"> is simply the conventional diction of formal supplication; Psalm 142:7 uses the very same verb and noun in distress, </w:t>
      </w:r>
      <w:r>
        <w:rPr>
          <w:rtl/>
        </w:rPr>
        <w:t>הַקְשִׁיבָה אֶל רִנָּתִי</w:t>
      </w:r>
      <w:r>
        <w:t xml:space="preserve">. The LXX's δέησις, "supplication," reflects exactly this. What remains genuinely interesting is that </w:t>
      </w:r>
      <w:r>
        <w:rPr>
          <w:rtl/>
        </w:rPr>
        <w:t>רִנָּה</w:t>
      </w:r>
      <w:r>
        <w:t xml:space="preserve"> straddles petition </w:t>
      </w:r>
      <w:r>
        <w:rPr>
          <w:i/>
        </w:rPr>
        <w:t>and</w:t>
      </w:r>
      <w:r>
        <w:t xml:space="preserve"> praise (compare Ps 107:22, where it joins </w:t>
      </w:r>
      <w:r>
        <w:rPr>
          <w:rtl/>
        </w:rPr>
        <w:t>תּוֹדָה</w:t>
      </w:r>
      <w:r>
        <w:t>, "thanksgiving"): the word that opens the cry already leans toward the vow-paying song that ends the psalm.</w:t>
      </w:r>
    </w:p>
    <w:p w14:paraId="7E78B4AF" w14:textId="77777777" w:rsidR="00866706" w:rsidRDefault="00000000">
      <w:pPr>
        <w:pStyle w:val="BodySans"/>
      </w:pPr>
      <w:r>
        <w:t>Ibn Ezra hears a finer distinction in the pairing:</w:t>
      </w:r>
    </w:p>
    <w:p w14:paraId="77B89562" w14:textId="77777777" w:rsidR="00866706" w:rsidRDefault="00000000">
      <w:pPr>
        <w:pStyle w:val="BodySans"/>
        <w:bidi/>
        <w:ind w:left="432" w:right="432"/>
        <w:jc w:val="right"/>
      </w:pPr>
      <w:r>
        <w:rPr>
          <w:rFonts w:ascii="Times New Roman" w:hAnsi="Times New Roman"/>
          <w:sz w:val="26"/>
        </w:rPr>
        <w:t>שמעה רנתי בגלוי ותפלתי בלב, כנגד חנה</w:t>
      </w:r>
    </w:p>
    <w:p w14:paraId="7F47BB85" w14:textId="77777777" w:rsidR="00866706" w:rsidRDefault="00000000">
      <w:pPr>
        <w:pStyle w:val="BodySans"/>
      </w:pPr>
      <w:r>
        <w:t>— "hear my cry, which is aloud, and my prayer, which is in the heart, like Hannah," whose lips moved silently (1 Sam 1:13). Cry and prayer become the audible and the inward, both demanding to be heard.</w:t>
      </w:r>
    </w:p>
    <w:p w14:paraId="7DF1E54F" w14:textId="77777777" w:rsidR="00866706" w:rsidRDefault="00000000">
      <w:pPr>
        <w:pStyle w:val="Heading3"/>
      </w:pPr>
      <w:r>
        <w:t>Verse 3</w:t>
      </w:r>
    </w:p>
    <w:p w14:paraId="43F6FB9D" w14:textId="77777777" w:rsidR="00866706" w:rsidRDefault="00000000">
      <w:pPr>
        <w:pStyle w:val="BodySans"/>
      </w:pPr>
      <w:r>
        <w:rPr>
          <w:sz w:val="26"/>
          <w:rtl/>
        </w:rPr>
        <w:t>מִקְצֵ֤ה הָאָ֨רֶץ ׀ אֵלֶ֣יךָ אֶקְרָא בַּעֲטֹ֣ף לִבִּ֑י; בְּצוּר־יָר֖וּם מִמֶּ֣נִּי תַנְחֵֽנִי׃</w:t>
      </w:r>
    </w:p>
    <w:p w14:paraId="751F8FDF" w14:textId="77777777" w:rsidR="00866706" w:rsidRDefault="00000000">
      <w:pPr>
        <w:pStyle w:val="BodySans"/>
      </w:pPr>
      <w:r>
        <w:rPr>
          <w:rtl/>
        </w:rPr>
        <w:t>מִקְצֵה הָאָרֶץ</w:t>
      </w:r>
      <w:r>
        <w:t>, "from the end of the earth," sets the spatial pole from which the whole psalm departs. Is it literal exile or metaphor? The commentators divide productively. Rashi keeps it concrete and military:</w:t>
      </w:r>
    </w:p>
    <w:p w14:paraId="56DF560C" w14:textId="77777777" w:rsidR="00866706" w:rsidRDefault="00000000">
      <w:pPr>
        <w:pStyle w:val="BodySans"/>
        <w:bidi/>
        <w:ind w:left="432" w:right="432"/>
        <w:jc w:val="right"/>
      </w:pPr>
      <w:r>
        <w:rPr>
          <w:rFonts w:ascii="Times New Roman" w:hAnsi="Times New Roman"/>
          <w:sz w:val="26"/>
        </w:rPr>
        <w:t>אף על פי שאני רחוק מאנשי</w:t>
      </w:r>
    </w:p>
    <w:p w14:paraId="50F4E3E6" w14:textId="77777777" w:rsidR="00866706" w:rsidRDefault="00000000">
      <w:pPr>
        <w:pStyle w:val="BodySans"/>
      </w:pPr>
      <w:r>
        <w:t xml:space="preserve">"although I am far from my men, whom I send against my enemies." Ibn Ezra names a place — </w:t>
      </w:r>
      <w:r>
        <w:rPr>
          <w:rtl/>
        </w:rPr>
        <w:t>צֹר</w:t>
      </w:r>
      <w:r>
        <w:t>, Tyre — as a concrete geographic referent. Radak allows both David in Philistine exile and every Israelite "from his lands of exile." Metzudat David reads it as the soul straining against the very limits of the physical world. The phrase is built to hold all of these: the farthest edge, wherever and whatever it is.</w:t>
      </w:r>
    </w:p>
    <w:p w14:paraId="5DD7CAB7" w14:textId="77777777" w:rsidR="00866706" w:rsidRDefault="00000000">
      <w:pPr>
        <w:pStyle w:val="BodySans"/>
      </w:pPr>
      <w:r>
        <w:rPr>
          <w:rtl/>
        </w:rPr>
        <w:t>בַּעֲטֹף לִבִּי</w:t>
      </w:r>
      <w:r>
        <w:t xml:space="preserve">, "when my heart faints," exploits a root with two faces. </w:t>
      </w:r>
      <w:r>
        <w:rPr>
          <w:rtl/>
        </w:rPr>
        <w:t>עטף</w:t>
      </w:r>
      <w:r>
        <w:t xml:space="preserve"> means both "grow feeble, swoon" and "wrap, envelop" (Klein lists them as related senses). The faint heart is also a </w:t>
      </w:r>
      <w:r>
        <w:rPr>
          <w:i/>
        </w:rPr>
        <w:t>shrouded</w:t>
      </w:r>
      <w:r>
        <w:t xml:space="preserve"> heart — folded in on itself, covered over by distress. Radak glosses </w:t>
      </w:r>
      <w:r>
        <w:rPr>
          <w:rtl/>
        </w:rPr>
        <w:t>רבוי התפלה בצרה תקרא עטיפה</w:t>
      </w:r>
      <w:r>
        <w:t xml:space="preserve">, "an overflow of prayer in trouble is called 'enwrapping.'" This dark envelopment is answered later by a benign one: the same conceptual move — being closed in — flips from threat to shelter when the psalmist asks to hide </w:t>
      </w:r>
      <w:r>
        <w:rPr>
          <w:rtl/>
        </w:rPr>
        <w:t>בְּסֵתֶר כְּנָפֶיךָ</w:t>
      </w:r>
      <w:r>
        <w:t xml:space="preserve">, "in the </w:t>
      </w:r>
      <w:r>
        <w:lastRenderedPageBreak/>
        <w:t>covert of Your wings" (v.5). The heart wrapped in fear becomes the man wrapped in protection.</w:t>
      </w:r>
    </w:p>
    <w:p w14:paraId="3A88B85B" w14:textId="77777777" w:rsidR="00866706" w:rsidRDefault="00000000">
      <w:pPr>
        <w:pStyle w:val="BodySans"/>
      </w:pPr>
      <w:r>
        <w:t xml:space="preserve">The last clause is dense: </w:t>
      </w:r>
      <w:r>
        <w:rPr>
          <w:rtl/>
        </w:rPr>
        <w:t>בְּצוּר־יָרוּם מִמֶּנִּי תַנְחֵנִי</w:t>
      </w:r>
      <w:r>
        <w:t xml:space="preserve">. The rock is defined not by firmness but by </w:t>
      </w:r>
      <w:r>
        <w:rPr>
          <w:i/>
        </w:rPr>
        <w:t>height</w:t>
      </w:r>
      <w:r>
        <w:t xml:space="preserve"> — </w:t>
      </w:r>
      <w:r>
        <w:rPr>
          <w:rtl/>
        </w:rPr>
        <w:t>יָרוּם מִמֶּנִּי</w:t>
      </w:r>
      <w:r>
        <w:t xml:space="preserve">, "higher than I," i.e., beyond my reach. Rashi reads the rock allegorically as an enemy </w:t>
      </w:r>
      <w:r>
        <w:rPr>
          <w:rtl/>
        </w:rPr>
        <w:t>רם וחזק ממני</w:t>
      </w:r>
      <w:r>
        <w:t xml:space="preserve">, "higher and stronger than I," requiring divine help to overcome. Either way the inaccessibility is the point: the refuge cannot be climbed to alone, so the petition </w:t>
      </w:r>
      <w:r>
        <w:rPr>
          <w:rtl/>
        </w:rPr>
        <w:t>תַנְחֵנִי</w:t>
      </w:r>
      <w:r>
        <w:t xml:space="preserve">, "lead me," is not optional but constitutive. Listen to the sound: mim-MEN-niy ... than-ḤĒ-niy. The two words rhyme on the suffix -niy, "me." The same "me" that measures the unbridgeable gap (the rock rises beyond </w:t>
      </w:r>
      <w:r>
        <w:rPr>
          <w:i/>
        </w:rPr>
        <w:t>me</w:t>
      </w:r>
      <w:r>
        <w:t>) is the "me" that is led across it — sound binding the problem to its solution inside one colon. The LXX converts the plea into an accomplished fact: ἐν πέτρᾳ ὕψωσάς με, "on a rock You raised me up."</w:t>
      </w:r>
    </w:p>
    <w:p w14:paraId="2A1547C9" w14:textId="77777777" w:rsidR="00866706" w:rsidRDefault="00000000">
      <w:pPr>
        <w:pStyle w:val="Heading3"/>
      </w:pPr>
      <w:r>
        <w:t>Verse 4</w:t>
      </w:r>
    </w:p>
    <w:p w14:paraId="0D6FC3DD" w14:textId="77777777" w:rsidR="00866706" w:rsidRDefault="00000000">
      <w:pPr>
        <w:pStyle w:val="BodySans"/>
      </w:pPr>
      <w:r>
        <w:rPr>
          <w:sz w:val="26"/>
          <w:rtl/>
        </w:rPr>
        <w:t>כִּֽי־הָיִ֣יתָ מַחְסֶ֣ה לִ֑י; מִגְדַּל־עֹ֝ז מִפְּנֵ֥י אוֹיֵֽב׃</w:t>
      </w:r>
    </w:p>
    <w:p w14:paraId="13B9A099" w14:textId="77777777" w:rsidR="00866706" w:rsidRDefault="00000000">
      <w:pPr>
        <w:pStyle w:val="BodySans"/>
      </w:pPr>
      <w:r>
        <w:t xml:space="preserve">The </w:t>
      </w:r>
      <w:r>
        <w:rPr>
          <w:rtl/>
        </w:rPr>
        <w:t>כִּי</w:t>
      </w:r>
      <w:r>
        <w:t xml:space="preserve">, "for," does the classic work of the lament: it grounds present petition in past experience. Radak: </w:t>
      </w:r>
      <w:r>
        <w:rPr>
          <w:rtl/>
        </w:rPr>
        <w:t>פעמים רבות היית מחסה לי</w:t>
      </w:r>
      <w:r>
        <w:t xml:space="preserve">, "many times You have been a refuge for me, therefore I will call to You." The verb </w:t>
      </w:r>
      <w:r>
        <w:rPr>
          <w:rtl/>
        </w:rPr>
        <w:t>הָיִיתָ</w:t>
      </w:r>
      <w:r>
        <w:t xml:space="preserve">, "You have been," is the hinge between memory and hope — and it sets up a deliberate root-echo, because </w:t>
      </w:r>
      <w:r>
        <w:rPr>
          <w:rtl/>
        </w:rPr>
        <w:t>מַחְסֶה</w:t>
      </w:r>
      <w:r>
        <w:t xml:space="preserve">, "refuge" (root </w:t>
      </w:r>
      <w:r>
        <w:rPr>
          <w:rtl/>
        </w:rPr>
        <w:t>חסה</w:t>
      </w:r>
      <w:r>
        <w:t xml:space="preserve">), returns in the next verse as </w:t>
      </w:r>
      <w:r>
        <w:rPr>
          <w:rtl/>
        </w:rPr>
        <w:t>אֶחֱסֶה</w:t>
      </w:r>
      <w:r>
        <w:t xml:space="preserve">, "let me take refuge." The shelter once </w:t>
      </w:r>
      <w:r>
        <w:rPr>
          <w:i/>
        </w:rPr>
        <w:t>experienced</w:t>
      </w:r>
      <w:r>
        <w:t xml:space="preserve"> becomes the shelter now </w:t>
      </w:r>
      <w:r>
        <w:rPr>
          <w:i/>
        </w:rPr>
        <w:t>longed for</w:t>
      </w:r>
      <w:r>
        <w:t xml:space="preserve">. The LXX flattens this by rendering </w:t>
      </w:r>
      <w:r>
        <w:rPr>
          <w:rtl/>
        </w:rPr>
        <w:t>מַחְסֶה</w:t>
      </w:r>
      <w:r>
        <w:t xml:space="preserve"> as ἐλπίς, "hope," trading a place for an abstraction.</w:t>
      </w:r>
    </w:p>
    <w:p w14:paraId="5352C09B" w14:textId="77777777" w:rsidR="00866706" w:rsidRDefault="00000000">
      <w:pPr>
        <w:pStyle w:val="BodySans"/>
      </w:pPr>
      <w:r>
        <w:t xml:space="preserve">The parallel line escalates: from </w:t>
      </w:r>
      <w:r>
        <w:rPr>
          <w:rtl/>
        </w:rPr>
        <w:t>מַחְסֶה</w:t>
      </w:r>
      <w:r>
        <w:t xml:space="preserve">, a generic shelter, to </w:t>
      </w:r>
      <w:r>
        <w:rPr>
          <w:rtl/>
        </w:rPr>
        <w:t>מִגְדַּל־עֹז</w:t>
      </w:r>
      <w:r>
        <w:t xml:space="preserve">, a "tower of strength." The construct is noun-on-noun, not adjective — not "a strong tower" but a tower that </w:t>
      </w:r>
      <w:r>
        <w:rPr>
          <w:i/>
        </w:rPr>
        <w:t>is</w:t>
      </w:r>
      <w:r>
        <w:t xml:space="preserve"> strength. This idiom is nearly unique. Outside our psalm it appears only twice: at Judges 9:51, a literal fortified tower, and at Proverbs 18:10, where it is given a definition — </w:t>
      </w:r>
      <w:r>
        <w:rPr>
          <w:rtl/>
        </w:rPr>
        <w:t>מִגְדַּל־עֹז שֵׁם ה׳</w:t>
      </w:r>
      <w:r>
        <w:t>, "the name of the LORD is a tower of strength; the righteous runs into it and is safe." That parallel may quietly govern the whole psalm. The God who is the speaker's "tower of strength" here (v.4) becomes, two verses on, the "name" that the God-fearers inherit (</w:t>
      </w:r>
      <w:r>
        <w:rPr>
          <w:rtl/>
        </w:rPr>
        <w:t>יִרְאֵי שְׁמֶךָ</w:t>
      </w:r>
      <w:r>
        <w:t>, v.6) and that the psalmist sings forever (</w:t>
      </w:r>
      <w:r>
        <w:rPr>
          <w:rtl/>
        </w:rPr>
        <w:t>אֲזַמְּרָה שִׁמְךָ</w:t>
      </w:r>
      <w:r>
        <w:t>, v.9). On the Proverbs reading, the tower of refuge and the Name of praise are the same fortress.</w:t>
      </w:r>
    </w:p>
    <w:p w14:paraId="28B3EEE6" w14:textId="77777777" w:rsidR="00866706" w:rsidRDefault="00000000">
      <w:pPr>
        <w:pStyle w:val="BodySans"/>
      </w:pPr>
      <w:r>
        <w:rPr>
          <w:rtl/>
        </w:rPr>
        <w:t>מִפְּנֵי אוֹיֵב</w:t>
      </w:r>
      <w:r>
        <w:t xml:space="preserve">, "from the face of the enemy," names the threat with a frontal, advancing menace. The enemy is anonymous — no article, no suffix — a collective force rather than a named foe. And the preposition is loaded: </w:t>
      </w:r>
      <w:r>
        <w:rPr>
          <w:rtl/>
        </w:rPr>
        <w:t>מִפְּנֵי</w:t>
      </w:r>
      <w:r>
        <w:t xml:space="preserve">, "from the face of," will be answered in verse 8 by </w:t>
      </w:r>
      <w:r>
        <w:rPr>
          <w:rtl/>
        </w:rPr>
        <w:t>לִפְנֵי אֱלֹקִים</w:t>
      </w:r>
      <w:r>
        <w:t>, "before the face of God." The psalm's deepest movement is encoded in that single shifting preposition: from fleeing a face to dwelling before one.</w:t>
      </w:r>
    </w:p>
    <w:p w14:paraId="19E0B94F" w14:textId="77777777" w:rsidR="00866706" w:rsidRDefault="00000000">
      <w:pPr>
        <w:pStyle w:val="BodySans"/>
      </w:pPr>
      <w:r>
        <w:lastRenderedPageBreak/>
        <w:t xml:space="preserve">The fusion of god and fortress is old. The chorus of Theban women in Aeschylus' </w:t>
      </w:r>
      <w:r>
        <w:rPr>
          <w:i/>
        </w:rPr>
        <w:t>Seven Against Thebes</w:t>
      </w:r>
      <w:r>
        <w:t xml:space="preserve"> (467 BCE), watching an army mass against their walls, prays in the same architectural idiom: ἰὼ παναλκεῖς θεοί ... γᾶς τᾶσδέ πυργοφύλακες, πόλιν δορίπονον μὴ προδῶθ᾽, "O all-powerful gods ... guardians of the towers of this land, do not betray our spear-burdened city." The image is identical — deity as keeper of the tower — but the mood is opposite. The Theban women pray in present terror, the outcome unknown; the psalmist speaks in the settled past tense, </w:t>
      </w:r>
      <w:r>
        <w:rPr>
          <w:rtl/>
        </w:rPr>
        <w:t>כִּי הָיִיתָ</w:t>
      </w:r>
      <w:r>
        <w:t xml:space="preserve">, "for You </w:t>
      </w:r>
      <w:r>
        <w:rPr>
          <w:i/>
        </w:rPr>
        <w:t>have been</w:t>
      </w:r>
      <w:r>
        <w:t xml:space="preserve"> my refuge." The same metaphor carries panic in Aeschylus and confidence in the psalm, and the difference is the covenant memory standing behind the Hebrew verb.</w:t>
      </w:r>
    </w:p>
    <w:p w14:paraId="5D31D7AD" w14:textId="77777777" w:rsidR="00866706" w:rsidRDefault="00000000">
      <w:pPr>
        <w:pStyle w:val="Heading3"/>
      </w:pPr>
      <w:r>
        <w:t>Verse 5</w:t>
      </w:r>
    </w:p>
    <w:p w14:paraId="5C2BE8BB" w14:textId="77777777" w:rsidR="00866706" w:rsidRDefault="00000000">
      <w:pPr>
        <w:pStyle w:val="BodySans"/>
      </w:pPr>
      <w:r>
        <w:rPr>
          <w:sz w:val="26"/>
          <w:rtl/>
        </w:rPr>
        <w:t>אָג֣וּרָה בְ֭אׇהׇלְךָ עוֹלָמִ֑ים; אֶ֥חֱסֶ֨ה בְסֵ֖תֶר כְּנָפֶ֣יךָ סֶּֽלָה׃</w:t>
      </w:r>
    </w:p>
    <w:p w14:paraId="1B8C2275" w14:textId="77777777" w:rsidR="00866706" w:rsidRDefault="00000000">
      <w:pPr>
        <w:pStyle w:val="BodySans"/>
      </w:pPr>
      <w:r>
        <w:t xml:space="preserve">Here is the summit of the shelter-ladder and the paradox at its peak. The verb </w:t>
      </w:r>
      <w:r>
        <w:rPr>
          <w:rtl/>
        </w:rPr>
        <w:t>אָגוּרָה</w:t>
      </w:r>
      <w:r>
        <w:t xml:space="preserve"> is from </w:t>
      </w:r>
      <w:r>
        <w:rPr>
          <w:rtl/>
        </w:rPr>
        <w:t>גּוּר</w:t>
      </w:r>
      <w:r>
        <w:t xml:space="preserve">, "to sojourn as a resident-alien" — the root of </w:t>
      </w:r>
      <w:r>
        <w:rPr>
          <w:rtl/>
        </w:rPr>
        <w:t>גֵּר</w:t>
      </w:r>
      <w:r>
        <w:t xml:space="preserve">, the stranger who lives in a land not his own. The psalmist does not ask to </w:t>
      </w:r>
      <w:r>
        <w:rPr>
          <w:i/>
        </w:rPr>
        <w:t>settle</w:t>
      </w:r>
      <w:r>
        <w:t xml:space="preserve">; he asks to be a permanent guest, and to be one </w:t>
      </w:r>
      <w:r>
        <w:rPr>
          <w:rtl/>
        </w:rPr>
        <w:t>עוֹלָמִים</w:t>
      </w:r>
      <w:r>
        <w:t xml:space="preserve"> — a plural "ages/eternities" where Hebrew normally uses the singular. Radak reads </w:t>
      </w:r>
      <w:r>
        <w:rPr>
          <w:rtl/>
        </w:rPr>
        <w:t>עולמים</w:t>
      </w:r>
      <w:r>
        <w:t xml:space="preserve"> simply as </w:t>
      </w:r>
      <w:r>
        <w:rPr>
          <w:rtl/>
        </w:rPr>
        <w:t>זמנים ארוכים</w:t>
      </w:r>
      <w:r>
        <w:t>, "long stretches of time," but the strain between the verb and the noun is the engine: a word of impermanence yoked to a word of permanence, "the alien who never leaves." The LXX's παροικήσω, "I will dwell as a resident alien," catches the sojourner-sense exactly — even as it normalizes the plural to εἰς τὸν αἰῶνα.</w:t>
      </w:r>
    </w:p>
    <w:p w14:paraId="6A1291C8" w14:textId="77777777" w:rsidR="00866706" w:rsidRDefault="00000000">
      <w:pPr>
        <w:pStyle w:val="BodySans"/>
      </w:pPr>
      <w:r>
        <w:t>The Talmud (Bekhorot 31b), quoted by Torah Temimah, was troubled by the impossible literalism:</w:t>
      </w:r>
    </w:p>
    <w:p w14:paraId="656F9719" w14:textId="77777777" w:rsidR="00866706" w:rsidRDefault="00000000">
      <w:pPr>
        <w:pStyle w:val="BodySans"/>
        <w:bidi/>
        <w:ind w:left="432" w:right="432"/>
        <w:jc w:val="right"/>
      </w:pPr>
      <w:r>
        <w:rPr>
          <w:rFonts w:ascii="Times New Roman" w:hAnsi="Times New Roman"/>
          <w:sz w:val="26"/>
        </w:rPr>
        <w:t>וכי אפשר לאדם לגור בשני עולמים</w:t>
      </w:r>
    </w:p>
    <w:p w14:paraId="05047413" w14:textId="77777777" w:rsidR="00866706" w:rsidRDefault="00000000">
      <w:pPr>
        <w:pStyle w:val="BodySans"/>
      </w:pPr>
      <w:r>
        <w:t>? — "can a person dwell in two worlds?" — and answered that David prayed</w:t>
      </w:r>
    </w:p>
    <w:p w14:paraId="16E5B627" w14:textId="77777777" w:rsidR="00866706" w:rsidRDefault="00000000">
      <w:pPr>
        <w:pStyle w:val="BodySans"/>
        <w:bidi/>
        <w:ind w:left="432" w:right="432"/>
        <w:jc w:val="right"/>
      </w:pPr>
      <w:r>
        <w:rPr>
          <w:rFonts w:ascii="Times New Roman" w:hAnsi="Times New Roman"/>
          <w:sz w:val="26"/>
        </w:rPr>
        <w:t>יאמרו דבר שמועה מפי בעולם הזה</w:t>
      </w:r>
    </w:p>
    <w:p w14:paraId="0589A0F5" w14:textId="77777777" w:rsidR="00866706" w:rsidRDefault="00000000">
      <w:pPr>
        <w:pStyle w:val="BodySans"/>
      </w:pPr>
      <w:r>
        <w:t xml:space="preserve">"that they should report a teaching in my name in this world," for the lips of a scholar so quoted murmur in the grave. Meiri reads the whole verse of the world to come: </w:t>
      </w:r>
      <w:r>
        <w:rPr>
          <w:rtl/>
        </w:rPr>
        <w:t>ואהלך משל על גן עדן</w:t>
      </w:r>
      <w:r>
        <w:t>, "'Your tent' is a figure for the Garden of Eden."</w:t>
      </w:r>
    </w:p>
    <w:p w14:paraId="0BF07F9E" w14:textId="77777777" w:rsidR="00866706" w:rsidRDefault="00000000">
      <w:pPr>
        <w:pStyle w:val="BodySans"/>
      </w:pPr>
      <w:r>
        <w:rPr>
          <w:rtl/>
        </w:rPr>
        <w:t>בְסֵתֶר כְּנָפֶיךָ</w:t>
      </w:r>
      <w:r>
        <w:t xml:space="preserve">, "in the covert of Your wings," is more enclosed than the more common </w:t>
      </w:r>
      <w:r>
        <w:rPr>
          <w:rtl/>
        </w:rPr>
        <w:t>בְּצֵל</w:t>
      </w:r>
      <w:r>
        <w:t xml:space="preserve">, "in the </w:t>
      </w:r>
      <w:r>
        <w:rPr>
          <w:i/>
        </w:rPr>
        <w:t>shadow</w:t>
      </w:r>
      <w:r>
        <w:t xml:space="preserve"> of Your wings" (Pss 17:8; 57:2; 63:8). </w:t>
      </w:r>
      <w:r>
        <w:rPr>
          <w:rtl/>
        </w:rPr>
        <w:t>סֵתֶר</w:t>
      </w:r>
      <w:r>
        <w:t xml:space="preserve"> is a hidden interior recess, not merely shade. The Selah falls precisely here, at the most intimate rung of the ladder, suspending the music at the point of maximum nearness before the pivot to assurance.</w:t>
      </w:r>
    </w:p>
    <w:p w14:paraId="245C951C" w14:textId="77777777" w:rsidR="00866706" w:rsidRDefault="00000000">
      <w:pPr>
        <w:pStyle w:val="BodySans"/>
      </w:pPr>
      <w:r>
        <w:t xml:space="preserve">Two distant poets sharpen the verse from opposite sides. The pre-Islamic master Imru' al-Qais opens his </w:t>
      </w:r>
      <w:r>
        <w:rPr>
          <w:i/>
        </w:rPr>
        <w:t>Muʿallaqa</w:t>
      </w:r>
      <w:r>
        <w:t xml:space="preserve"> (6th c.) — the most famous of the "suspended odes" — by halting </w:t>
      </w:r>
      <w:r>
        <w:lastRenderedPageBreak/>
        <w:t xml:space="preserve">at an abandoned campsite to weep: </w:t>
      </w:r>
      <w:r>
        <w:rPr>
          <w:rtl/>
        </w:rPr>
        <w:t>قِفَا</w:t>
      </w:r>
      <w:r>
        <w:t xml:space="preserve"> </w:t>
      </w:r>
      <w:r>
        <w:rPr>
          <w:rtl/>
        </w:rPr>
        <w:t>نَبْكِ</w:t>
      </w:r>
      <w:r>
        <w:t xml:space="preserve"> </w:t>
      </w:r>
      <w:r>
        <w:rPr>
          <w:rtl/>
        </w:rPr>
        <w:t>مِنْ</w:t>
      </w:r>
      <w:r>
        <w:t xml:space="preserve"> </w:t>
      </w:r>
      <w:r>
        <w:rPr>
          <w:rtl/>
        </w:rPr>
        <w:t>ذِكْرَى</w:t>
      </w:r>
      <w:r>
        <w:t xml:space="preserve"> </w:t>
      </w:r>
      <w:r>
        <w:rPr>
          <w:rtl/>
        </w:rPr>
        <w:t>حَبِيبٍ</w:t>
      </w:r>
      <w:r>
        <w:t xml:space="preserve"> </w:t>
      </w:r>
      <w:r>
        <w:rPr>
          <w:rtl/>
        </w:rPr>
        <w:t>ومَنْزِلِ</w:t>
      </w:r>
      <w:r>
        <w:t xml:space="preserve"> ... </w:t>
      </w:r>
      <w:r>
        <w:rPr>
          <w:rtl/>
        </w:rPr>
        <w:t>لَمْ</w:t>
      </w:r>
      <w:r>
        <w:t xml:space="preserve"> </w:t>
      </w:r>
      <w:r>
        <w:rPr>
          <w:rtl/>
        </w:rPr>
        <w:t>يَعْفُ</w:t>
      </w:r>
      <w:r>
        <w:t xml:space="preserve"> </w:t>
      </w:r>
      <w:r>
        <w:rPr>
          <w:rtl/>
        </w:rPr>
        <w:t>رَسْمُها</w:t>
      </w:r>
      <w:r>
        <w:t xml:space="preserve">, "Halt, let us weep at the memory of a beloved and a dwelling ... whose traces are not yet effaced." For him the tent is the very emblem of impermanence — habitation reduced to a wind-scoured outline. Psalm 61 takes that same nomadic shelter and defiantly makes it eternal: </w:t>
      </w:r>
      <w:r>
        <w:rPr>
          <w:rtl/>
        </w:rPr>
        <w:t>אָגוּרָה בְאׇהׇלְךָ עוֹלָמִים</w:t>
      </w:r>
      <w:r>
        <w:t xml:space="preserve">. From the other side, Gabriela Mistral's lullaby </w:t>
      </w:r>
      <w:r>
        <w:rPr>
          <w:i/>
        </w:rPr>
        <w:t>Apegado a mí</w:t>
      </w:r>
      <w:r>
        <w:t xml:space="preserve"> (1924) hears the maternal warmth latent in the wing: velloncito de mi carne, / que en mi entraña yo tejí ... ¡duérmete apegado a mí!, "little fleece of my flesh, that I wove in my womb ... sleep close to me!" The wing-image is not a fortress but a body; the diminutives expose the vulnerability the metaphor shelters — exactly the move from the tower's strength (v.4) to the wing's tenderness (v.5).</w:t>
      </w:r>
    </w:p>
    <w:p w14:paraId="0ED11C4E" w14:textId="77777777" w:rsidR="00866706" w:rsidRDefault="00000000">
      <w:pPr>
        <w:pStyle w:val="Heading3"/>
      </w:pPr>
      <w:r>
        <w:t>Verse 6</w:t>
      </w:r>
    </w:p>
    <w:p w14:paraId="07379A9B" w14:textId="77777777" w:rsidR="00866706" w:rsidRDefault="00000000">
      <w:pPr>
        <w:pStyle w:val="BodySans"/>
      </w:pPr>
      <w:r>
        <w:rPr>
          <w:sz w:val="26"/>
          <w:rtl/>
        </w:rPr>
        <w:t>כִּֽי־אַתָּ֣ה אֱלֹקִים שָׁמַ֣עְתָּ לִנְדָרָ֑י; נָתַ֥תָּ יְ֝רֻשַּׁ֗ת יִרְאֵ֥י שְׁמֶֽךָ׃</w:t>
      </w:r>
    </w:p>
    <w:p w14:paraId="7B32DD9C" w14:textId="77777777" w:rsidR="00866706" w:rsidRDefault="00000000">
      <w:pPr>
        <w:pStyle w:val="BodySans"/>
      </w:pPr>
      <w:r>
        <w:t xml:space="preserve">A second </w:t>
      </w:r>
      <w:r>
        <w:rPr>
          <w:rtl/>
        </w:rPr>
        <w:t>כִּי</w:t>
      </w:r>
      <w:r>
        <w:t xml:space="preserve">, parallel to verse 4, but now the ground is not past </w:t>
      </w:r>
      <w:r>
        <w:rPr>
          <w:i/>
        </w:rPr>
        <w:t>refuge</w:t>
      </w:r>
      <w:r>
        <w:t xml:space="preserve"> but past </w:t>
      </w:r>
      <w:r>
        <w:rPr>
          <w:i/>
        </w:rPr>
        <w:t>hearing</w:t>
      </w:r>
      <w:r>
        <w:t xml:space="preserve">: </w:t>
      </w:r>
      <w:r>
        <w:rPr>
          <w:rtl/>
        </w:rPr>
        <w:t>שָׁמַעְתָּ לִנְדָרָי</w:t>
      </w:r>
      <w:r>
        <w:t xml:space="preserve">, "You have heard my vows." The perfect tense turns the petition into assurance — the lament's trust-pivot. The construction </w:t>
      </w:r>
      <w:r>
        <w:rPr>
          <w:rtl/>
        </w:rPr>
        <w:t>שמע</w:t>
      </w:r>
      <w:r>
        <w:t xml:space="preserve"> with the preposition </w:t>
      </w:r>
      <w:r>
        <w:rPr>
          <w:rtl/>
        </w:rPr>
        <w:t>ל</w:t>
      </w:r>
      <w:r>
        <w:t xml:space="preserve"> (rather than the object marker) is the listening of </w:t>
      </w:r>
      <w:r>
        <w:rPr>
          <w:i/>
        </w:rPr>
        <w:t>compliance</w:t>
      </w:r>
      <w:r>
        <w:t xml:space="preserve">, as in </w:t>
      </w:r>
      <w:r>
        <w:rPr>
          <w:rtl/>
        </w:rPr>
        <w:t>שמע לקול</w:t>
      </w:r>
      <w:r>
        <w:t xml:space="preserve">, "heed the voice"; God has not merely registered the vows but acted on them. The </w:t>
      </w:r>
      <w:r>
        <w:rPr>
          <w:rtl/>
        </w:rPr>
        <w:t>נְדָרִים</w:t>
      </w:r>
      <w:r>
        <w:t xml:space="preserve">, "vows," open an envelope closed in verse 9 by </w:t>
      </w:r>
      <w:r>
        <w:rPr>
          <w:rtl/>
        </w:rPr>
        <w:t>לְשַׁלְּמִי נְדָרַי</w:t>
      </w:r>
      <w:r>
        <w:t>, "as I fulfill my vows": vows heard, vows paid, framing the resolution.</w:t>
      </w:r>
    </w:p>
    <w:p w14:paraId="696C9771" w14:textId="77777777" w:rsidR="00866706" w:rsidRDefault="00000000">
      <w:pPr>
        <w:pStyle w:val="BodySans"/>
      </w:pPr>
      <w:r>
        <w:t xml:space="preserve">The second half is the psalm's notorious crux. </w:t>
      </w:r>
      <w:r>
        <w:rPr>
          <w:rtl/>
        </w:rPr>
        <w:t>יְרֻשַּׁת</w:t>
      </w:r>
      <w:r>
        <w:t xml:space="preserve"> is the construct of </w:t>
      </w:r>
      <w:r>
        <w:rPr>
          <w:rtl/>
        </w:rPr>
        <w:t>יְרֻשָּׁה</w:t>
      </w:r>
      <w:r>
        <w:t xml:space="preserve">, "inheritance, possession" (root </w:t>
      </w:r>
      <w:r>
        <w:rPr>
          <w:rtl/>
        </w:rPr>
        <w:t>ירש</w:t>
      </w:r>
      <w:r>
        <w:t xml:space="preserve">), used overwhelmingly of </w:t>
      </w:r>
      <w:r>
        <w:rPr>
          <w:i/>
        </w:rPr>
        <w:t>land</w:t>
      </w:r>
      <w:r>
        <w:t xml:space="preserve"> — Deuteronomy 2:5, Joshua 1:15. The popular English "grant the request" rests on an emendation to </w:t>
      </w:r>
      <w:r>
        <w:rPr>
          <w:rtl/>
        </w:rPr>
        <w:t>אֲרֶשֶׁת</w:t>
      </w:r>
      <w:r>
        <w:t>, "request" (compare Ps 21:3), but both the Masoretic Text and the LXX (κληρονομία, "inheritance") read "inheritance," which makes the emendation hard to justify. Read straight, the verse says God "gave the inheritance of those who fear Your name."</w:t>
      </w:r>
    </w:p>
    <w:p w14:paraId="05FAA7F1" w14:textId="77777777" w:rsidR="00866706" w:rsidRDefault="00000000">
      <w:pPr>
        <w:pStyle w:val="BodySans"/>
      </w:pPr>
      <w:r>
        <w:t xml:space="preserve">This solves a problem raised one verse earlier. A </w:t>
      </w:r>
      <w:r>
        <w:rPr>
          <w:rtl/>
        </w:rPr>
        <w:t>גֵּר</w:t>
      </w:r>
      <w:r>
        <w:t xml:space="preserve">, the sojourner the psalmist longed to be (v.5), is by law the one with </w:t>
      </w:r>
      <w:r>
        <w:rPr>
          <w:i/>
        </w:rPr>
        <w:t>no</w:t>
      </w:r>
      <w:r>
        <w:t xml:space="preserve"> </w:t>
      </w:r>
      <w:r>
        <w:rPr>
          <w:rtl/>
        </w:rPr>
        <w:t>יְרֻשָּׁה</w:t>
      </w:r>
      <w:r>
        <w:t xml:space="preserve"> — no land-portion. Yet here the God-fearers have exactly that. Radak ties the knot:</w:t>
      </w:r>
    </w:p>
    <w:p w14:paraId="7C096C83" w14:textId="77777777" w:rsidR="00866706" w:rsidRDefault="00000000">
      <w:pPr>
        <w:pStyle w:val="BodySans"/>
        <w:bidi/>
        <w:ind w:left="432" w:right="432"/>
        <w:jc w:val="right"/>
      </w:pPr>
      <w:r>
        <w:rPr>
          <w:rFonts w:ascii="Times New Roman" w:hAnsi="Times New Roman"/>
          <w:sz w:val="26"/>
        </w:rPr>
        <w:t>אוהל מועד או בית המקדש הוא ירושת יראי ה׳</w:t>
      </w:r>
    </w:p>
    <w:p w14:paraId="1094E4FD" w14:textId="77777777" w:rsidR="00866706" w:rsidRDefault="00000000">
      <w:pPr>
        <w:pStyle w:val="BodySans"/>
      </w:pPr>
      <w:r>
        <w:t xml:space="preserve">"the Tent of Meeting or the Temple is the inheritance of those who fear the Lord" — the sanctuary-access of verse 5 </w:t>
      </w:r>
      <w:r>
        <w:rPr>
          <w:i/>
        </w:rPr>
        <w:t>is</w:t>
      </w:r>
      <w:r>
        <w:t xml:space="preserve"> the inheritance of verse 6. The landless guest's inheritance is the dwelling he is permitted to sojourn in. Ibn Ezra makes the same identification spatially:</w:t>
      </w:r>
    </w:p>
    <w:p w14:paraId="3B217A14" w14:textId="77777777" w:rsidR="00866706" w:rsidRDefault="00000000">
      <w:pPr>
        <w:pStyle w:val="BodySans"/>
        <w:bidi/>
        <w:ind w:left="432" w:right="432"/>
        <w:jc w:val="right"/>
      </w:pPr>
      <w:r>
        <w:rPr>
          <w:rFonts w:ascii="Times New Roman" w:hAnsi="Times New Roman"/>
          <w:sz w:val="26"/>
        </w:rPr>
        <w:lastRenderedPageBreak/>
        <w:t>שאדור בארץ ישראל שנתת ירושה ליראי שמך</w:t>
      </w:r>
    </w:p>
    <w:p w14:paraId="0E5525A3" w14:textId="77777777" w:rsidR="00866706" w:rsidRDefault="00000000">
      <w:pPr>
        <w:pStyle w:val="BodySans"/>
      </w:pPr>
      <w:r>
        <w:t xml:space="preserve">"that I may dwell in the Land of Israel, which You gave as an inheritance to those who fear Your name." Note, too, the sudden widening of the lens: from "my vows," fiercely first-person, to the collective </w:t>
      </w:r>
      <w:r>
        <w:rPr>
          <w:rtl/>
        </w:rPr>
        <w:t>יִרְאֵי שְׁמֶךָ</w:t>
      </w:r>
      <w:r>
        <w:t>, "those who fear Your name." The individual's deliverance is folded into a whole community defined by reverence.</w:t>
      </w:r>
    </w:p>
    <w:p w14:paraId="7391A5EB" w14:textId="77777777" w:rsidR="00866706" w:rsidRDefault="00000000">
      <w:pPr>
        <w:pStyle w:val="Heading3"/>
      </w:pPr>
      <w:r>
        <w:t>Verse 7</w:t>
      </w:r>
    </w:p>
    <w:p w14:paraId="3597220E" w14:textId="77777777" w:rsidR="00866706" w:rsidRDefault="00000000">
      <w:pPr>
        <w:pStyle w:val="BodySans"/>
      </w:pPr>
      <w:r>
        <w:rPr>
          <w:sz w:val="26"/>
          <w:rtl/>
        </w:rPr>
        <w:t>יָמִ֣ים עַל־יְמֵי־מֶ֣לֶךְ תּוֹסִ֑יף; שְׁ֝נוֹתָ֗יו כְּמוֹ־דֹ֥ר וָדֹֽר׃</w:t>
      </w:r>
    </w:p>
    <w:p w14:paraId="02024C54" w14:textId="77777777" w:rsidR="00866706" w:rsidRDefault="00000000">
      <w:pPr>
        <w:pStyle w:val="BodySans"/>
      </w:pPr>
      <w:r>
        <w:t xml:space="preserve">The king walks in unannounced — no vocative, no particle, just </w:t>
      </w:r>
      <w:r>
        <w:rPr>
          <w:rtl/>
        </w:rPr>
        <w:t>מֶלֶךְ</w:t>
      </w:r>
      <w:r>
        <w:t>, "king," in the third person where a moment ago we had first-person prayer. The seam is the psalm's most debated. Rashi keeps the speaker constant, reading David praying for himself:</w:t>
      </w:r>
    </w:p>
    <w:p w14:paraId="2D36F2CE" w14:textId="77777777" w:rsidR="00866706" w:rsidRDefault="00000000">
      <w:pPr>
        <w:pStyle w:val="BodySans"/>
        <w:bidi/>
        <w:ind w:left="432" w:right="432"/>
        <w:jc w:val="right"/>
      </w:pPr>
      <w:r>
        <w:rPr>
          <w:rFonts w:ascii="Times New Roman" w:hAnsi="Times New Roman"/>
          <w:sz w:val="26"/>
        </w:rPr>
        <w:t>אם נגזר עלי למות בחור, הוסיף ימים על ימי</w:t>
      </w:r>
    </w:p>
    <w:p w14:paraId="300D9CD6" w14:textId="77777777" w:rsidR="00866706" w:rsidRDefault="00000000">
      <w:pPr>
        <w:pStyle w:val="BodySans"/>
      </w:pPr>
      <w:r>
        <w:t xml:space="preserve">"if it was decreed that I die young, add days to my days," until his years reach the generational span of seventy. Metzudat David agrees the king is the speaker referring to himself. Radak goes eschatological: </w:t>
      </w:r>
      <w:r>
        <w:rPr>
          <w:rtl/>
        </w:rPr>
        <w:t>המלך הוא מלך המשיח</w:t>
      </w:r>
      <w:r>
        <w:t xml:space="preserve">, "the king is the King Messiah." The Targum makes this explicit, glossing the verse with the days of </w:t>
      </w:r>
      <w:r>
        <w:rPr>
          <w:rtl/>
        </w:rPr>
        <w:t>מלכא משיחא</w:t>
      </w:r>
      <w:r>
        <w:t>, the King Messiah, and the world to come.</w:t>
      </w:r>
    </w:p>
    <w:p w14:paraId="1546799D" w14:textId="77777777" w:rsidR="00866706" w:rsidRDefault="00000000">
      <w:pPr>
        <w:pStyle w:val="BodySans"/>
      </w:pPr>
      <w:r>
        <w:t xml:space="preserve">The phrase </w:t>
      </w:r>
      <w:r>
        <w:rPr>
          <w:rtl/>
        </w:rPr>
        <w:t>יָמִים עַל־יְמֵי</w:t>
      </w:r>
      <w:r>
        <w:t xml:space="preserve">, "days upon the days," is a royal longevity-blessing; compare 1 Kings 1:31, </w:t>
      </w:r>
      <w:r>
        <w:rPr>
          <w:rtl/>
        </w:rPr>
        <w:t>יְחִי אֲדֹנִי הַמֶּלֶךְ דָּוִד לְעֹלָם</w:t>
      </w:r>
      <w:r>
        <w:t xml:space="preserve">, "may my lord King David live forever." The verb </w:t>
      </w:r>
      <w:r>
        <w:rPr>
          <w:rtl/>
        </w:rPr>
        <w:t>תּוֹסִיף</w:t>
      </w:r>
      <w:r>
        <w:t xml:space="preserve">, "You will add," is second person: this is still a prayer </w:t>
      </w:r>
      <w:r>
        <w:rPr>
          <w:i/>
        </w:rPr>
        <w:t>to God</w:t>
      </w:r>
      <w:r>
        <w:t xml:space="preserve">, who alone grants the increase — the very point a Horatian court-poet blurs. The key word is the simile-marker </w:t>
      </w:r>
      <w:r>
        <w:rPr>
          <w:rtl/>
        </w:rPr>
        <w:t>כְּמוֹ</w:t>
      </w:r>
      <w:r>
        <w:t xml:space="preserve">. The king's years should be </w:t>
      </w:r>
      <w:r>
        <w:rPr>
          <w:i/>
        </w:rPr>
        <w:t>like</w:t>
      </w:r>
      <w:r>
        <w:t xml:space="preserve"> </w:t>
      </w:r>
      <w:r>
        <w:rPr>
          <w:rtl/>
        </w:rPr>
        <w:t>דֹר וָדֹר</w:t>
      </w:r>
      <w:r>
        <w:t xml:space="preserve">, "generation and generation" — not identified with absolute eternity. Malbim presses the arithmetic almost to vertigo: each remaining year should stretch </w:t>
      </w:r>
      <w:r>
        <w:rPr>
          <w:rtl/>
        </w:rPr>
        <w:t>כמו דור</w:t>
      </w:r>
      <w:r>
        <w:t xml:space="preserve">, "like a generation" of seventy, so that ten years become ten generations. The simile is doing careful theological work: it gestures at dynastic perpetuity while preserving the king's mortality. He is not eternal; his years are merely </w:t>
      </w:r>
      <w:r>
        <w:rPr>
          <w:i/>
        </w:rPr>
        <w:t>as if</w:t>
      </w:r>
      <w:r>
        <w:t xml:space="preserve"> generations.</w:t>
      </w:r>
    </w:p>
    <w:p w14:paraId="4BB43488" w14:textId="77777777" w:rsidR="00866706" w:rsidRDefault="00000000">
      <w:pPr>
        <w:pStyle w:val="BodySans"/>
      </w:pPr>
      <w:r>
        <w:t xml:space="preserve">Horace's </w:t>
      </w:r>
      <w:r>
        <w:rPr>
          <w:i/>
        </w:rPr>
        <w:t>Odes</w:t>
      </w:r>
      <w:r>
        <w:t xml:space="preserve"> IV.5 (c. 13 BCE), composed to summon Augustus home, performs the same turn from private feeling to public intercession for the ruler's endurance: lucem redde tuae, dux bone, patriae: / instar veris enim vultus ubi tuus / adfulsit populo, "Restore the light to your country, good leader: for when your face, like the spring, has shone upon the people..." The structural parallel is exact — both poems link the ruler's continued presence to the life of the whole people. The theological gap is the lesson. Horace nearly </w:t>
      </w:r>
      <w:r>
        <w:rPr>
          <w:i/>
        </w:rPr>
        <w:t>identifies</w:t>
      </w:r>
      <w:r>
        <w:t xml:space="preserve"> the prince with the source of civic light; the psalm keeps the hierarchy spotless: it is God who </w:t>
      </w:r>
      <w:r>
        <w:rPr>
          <w:rtl/>
        </w:rPr>
        <w:t>תּוֹסִיף</w:t>
      </w:r>
      <w:r>
        <w:t>, "adds," days, and the king who merely receives them.</w:t>
      </w:r>
    </w:p>
    <w:p w14:paraId="5B501D98" w14:textId="77777777" w:rsidR="00866706" w:rsidRDefault="00000000">
      <w:pPr>
        <w:pStyle w:val="Heading3"/>
      </w:pPr>
      <w:r>
        <w:lastRenderedPageBreak/>
        <w:t>Verse 8</w:t>
      </w:r>
    </w:p>
    <w:p w14:paraId="2B8C4868" w14:textId="77777777" w:rsidR="00866706" w:rsidRDefault="00000000">
      <w:pPr>
        <w:pStyle w:val="BodySans"/>
      </w:pPr>
      <w:r>
        <w:rPr>
          <w:sz w:val="26"/>
          <w:rtl/>
        </w:rPr>
        <w:t>יֵשֵׁ֣ב ע֭וֹלָם לִפְנֵ֣י אֱלֹקִ֑ים; חֶ֥סֶד וֶ֝אֱמֶ֗ת מַ֣ן יִנְצְרֻֽהוּ׃</w:t>
      </w:r>
    </w:p>
    <w:p w14:paraId="3FC27EBF" w14:textId="77777777" w:rsidR="00866706" w:rsidRDefault="00000000">
      <w:pPr>
        <w:pStyle w:val="BodySans"/>
      </w:pPr>
      <w:r>
        <w:rPr>
          <w:rtl/>
        </w:rPr>
        <w:t>יֵשֵׁב עוֹלָם</w:t>
      </w:r>
      <w:r>
        <w:t xml:space="preserve">, "he shall be enthroned forever," uses </w:t>
      </w:r>
      <w:r>
        <w:rPr>
          <w:rtl/>
        </w:rPr>
        <w:t>ישב</w:t>
      </w:r>
      <w:r>
        <w:t xml:space="preserve"> — the verb of permanent, settled dwelling, often royal enthronement (</w:t>
      </w:r>
      <w:r>
        <w:rPr>
          <w:rtl/>
        </w:rPr>
        <w:t>ישב על כסא</w:t>
      </w:r>
      <w:r>
        <w:t xml:space="preserve">, "sit on the throne"). The contrast with the speaker's </w:t>
      </w:r>
      <w:r>
        <w:rPr>
          <w:rtl/>
        </w:rPr>
        <w:t>אָגוּרָה</w:t>
      </w:r>
      <w:r>
        <w:t xml:space="preserve"> (v.5) is exact and deliberate: the worshipper aspires to </w:t>
      </w:r>
      <w:r>
        <w:rPr>
          <w:i/>
        </w:rPr>
        <w:t>sojourn</w:t>
      </w:r>
      <w:r>
        <w:t xml:space="preserve"> forever; the king </w:t>
      </w:r>
      <w:r>
        <w:rPr>
          <w:i/>
        </w:rPr>
        <w:t>sits</w:t>
      </w:r>
      <w:r>
        <w:t xml:space="preserve"> forever. The speaker's guest-status is realized and exceeded in the king's enthronement. And </w:t>
      </w:r>
      <w:r>
        <w:rPr>
          <w:rtl/>
        </w:rPr>
        <w:t>לִפְנֵי אֱלֹקִים</w:t>
      </w:r>
      <w:r>
        <w:t xml:space="preserve">, "before the face of God," closes the great inversion begun in verse 4: the man who fled </w:t>
      </w:r>
      <w:r>
        <w:rPr>
          <w:rtl/>
        </w:rPr>
        <w:t>מִפְּנֵי אוֹיֵב</w:t>
      </w:r>
      <w:r>
        <w:t xml:space="preserve">, "from the enemy's face," ends with a king installed permanently before God's face. To "sit before" a sovereign is courtly idiom for privileged access — like Esther 1:14's </w:t>
      </w:r>
      <w:r>
        <w:rPr>
          <w:rtl/>
        </w:rPr>
        <w:t>רֹאֵי פְּנֵי הַמֶּלֶךְ</w:t>
      </w:r>
      <w:r>
        <w:t>, "those who saw the king's face," the inner circle of the realm.</w:t>
      </w:r>
    </w:p>
    <w:p w14:paraId="23852B5F" w14:textId="77777777" w:rsidR="00866706" w:rsidRDefault="00000000">
      <w:pPr>
        <w:pStyle w:val="BodySans"/>
      </w:pPr>
      <w:r>
        <w:t xml:space="preserve">Then the bodyguards: </w:t>
      </w:r>
      <w:r>
        <w:rPr>
          <w:rtl/>
        </w:rPr>
        <w:t>חֶסֶד וֶאֱמֶת מַן יִנְצְרֻהוּ</w:t>
      </w:r>
      <w:r>
        <w:t xml:space="preserve">, "may steadfast love and faithfulness guard him." Two covenant-abstractions become active sentinels. The micro-temptation is to call this a singular invention, but it is a royal wisdom-topos. Proverbs 20:28 says it almost word for word: </w:t>
      </w:r>
      <w:r>
        <w:rPr>
          <w:rtl/>
        </w:rPr>
        <w:t>חֶסֶד וֶאֱמֶת יִצְּרוּ־מֶלֶךְ</w:t>
      </w:r>
      <w:r>
        <w:t xml:space="preserve">, "loyalty and faithfulness guard </w:t>
      </w:r>
      <w:r>
        <w:rPr>
          <w:i/>
        </w:rPr>
        <w:t>the king</w:t>
      </w:r>
      <w:r>
        <w:t xml:space="preserve">" — the exact configuration here, king plus the same pair plus the root </w:t>
      </w:r>
      <w:r>
        <w:rPr>
          <w:rtl/>
        </w:rPr>
        <w:t>נצר</w:t>
      </w:r>
      <w:r>
        <w:t xml:space="preserve">. Psalm 40:12 applies it to the individual: </w:t>
      </w:r>
      <w:r>
        <w:rPr>
          <w:rtl/>
        </w:rPr>
        <w:t>חַסְדְּךָ וַאֲמִתְּךָ תָּמִיד יִצְּרוּנִי</w:t>
      </w:r>
      <w:r>
        <w:t>, "Your steadfast love and faithfulness shall continually preserve me." The psalm is invoking a known maxim: a throne is kept not by walls but by God's character.</w:t>
      </w:r>
    </w:p>
    <w:p w14:paraId="46DDA803" w14:textId="77777777" w:rsidR="00866706" w:rsidRDefault="00000000">
      <w:pPr>
        <w:pStyle w:val="BodySans"/>
      </w:pPr>
      <w:r>
        <w:rPr>
          <w:rtl/>
        </w:rPr>
        <w:t>מַן</w:t>
      </w:r>
      <w:r>
        <w:t xml:space="preserve"> is the genuine philological oddity. It may be an Aramaism for </w:t>
      </w:r>
      <w:r>
        <w:rPr>
          <w:rtl/>
        </w:rPr>
        <w:t>מִי</w:t>
      </w:r>
      <w:r>
        <w:t xml:space="preserve">, "who" (compare Daniel 3:15), or an archaic form cognate with Ugaritic </w:t>
      </w:r>
      <w:r>
        <w:rPr>
          <w:i/>
        </w:rPr>
        <w:t>mn</w:t>
      </w:r>
      <w:r>
        <w:t xml:space="preserve"> — either way a mark of nonstandard or poetic register. The traditional commentators read it differently: as a verb of </w:t>
      </w:r>
      <w:r>
        <w:rPr>
          <w:i/>
        </w:rPr>
        <w:t>appointing</w:t>
      </w:r>
      <w:r>
        <w:t>. Rashi:</w:t>
      </w:r>
    </w:p>
    <w:p w14:paraId="40836663" w14:textId="77777777" w:rsidR="00866706" w:rsidRDefault="00000000">
      <w:pPr>
        <w:pStyle w:val="BodySans"/>
        <w:bidi/>
        <w:ind w:left="432" w:right="432"/>
        <w:jc w:val="right"/>
      </w:pPr>
      <w:r>
        <w:rPr>
          <w:rFonts w:ascii="Times New Roman" w:hAnsi="Times New Roman"/>
          <w:sz w:val="26"/>
        </w:rPr>
        <w:t>מן — הזמנה, כמו וימן ה׳ קיקיון</w:t>
      </w:r>
    </w:p>
    <w:p w14:paraId="0BFBC201" w14:textId="77777777" w:rsidR="00866706" w:rsidRDefault="00000000">
      <w:pPr>
        <w:pStyle w:val="BodySans"/>
      </w:pPr>
      <w:r>
        <w:t>"</w:t>
      </w:r>
      <w:r>
        <w:rPr>
          <w:i/>
        </w:rPr>
        <w:t>man</w:t>
      </w:r>
      <w:r>
        <w:t xml:space="preserve"> means appointment, as in 'and the LORD appointed (</w:t>
      </w:r>
      <w:r>
        <w:rPr>
          <w:rtl/>
        </w:rPr>
        <w:t>וַיְמַן</w:t>
      </w:r>
      <w:r>
        <w:t xml:space="preserve">) a gourd' (Jonah 4:6)" — so, "appoint steadfast love and faithfulness to guard him." Ibn Ezra and Meiri concur. The LXX read </w:t>
      </w:r>
      <w:r>
        <w:rPr>
          <w:rtl/>
        </w:rPr>
        <w:t>מַן</w:t>
      </w:r>
      <w:r>
        <w:t xml:space="preserve"> as </w:t>
      </w:r>
      <w:r>
        <w:rPr>
          <w:rtl/>
        </w:rPr>
        <w:t>מִי</w:t>
      </w:r>
      <w:r>
        <w:t xml:space="preserve">, "who," and then — tellingly — swapped the verb, producing τὸ ἔλεος αὐτοῦ καὶ τὴν ἀλήθειαν αὐτοῦ τίς ἐκζητήσει, "his mercy and truth, who will seek out?" That double shift — interrogative </w:t>
      </w:r>
      <w:r>
        <w:rPr>
          <w:i/>
        </w:rPr>
        <w:t>plus</w:t>
      </w:r>
      <w:r>
        <w:t xml:space="preserve"> "seek" instead of "guard" — reads as though the translator no longer recognized the royal-guardian idiom. Once you know Proverbs 20:28, the Greek reads like a man translating a proverb he no longer recognizes.</w:t>
      </w:r>
    </w:p>
    <w:p w14:paraId="544E5244" w14:textId="77777777" w:rsidR="00866706" w:rsidRDefault="00000000">
      <w:pPr>
        <w:pStyle w:val="BodySans"/>
      </w:pPr>
      <w:r>
        <w:t xml:space="preserve">Torah Temimah preserves a charming halachic turn (Eruvin 85b): Rava bar Mari took </w:t>
      </w:r>
      <w:r>
        <w:rPr>
          <w:rtl/>
        </w:rPr>
        <w:t>יֵשֵׁב עוֹלָם לִפְנֵי אֱלֹקִים</w:t>
      </w:r>
      <w:r>
        <w:t xml:space="preserve"> to mean one merits enduring standing before God </w:t>
      </w:r>
      <w:r>
        <w:rPr>
          <w:i/>
        </w:rPr>
        <w:t>when</w:t>
      </w:r>
      <w:r>
        <w:t xml:space="preserve"> "steadfast love and truth" — read as feeding the poor — guard him, making the verse a warrant for honoring generous benefactors.</w:t>
      </w:r>
    </w:p>
    <w:p w14:paraId="5BB6D37E" w14:textId="77777777" w:rsidR="00866706" w:rsidRDefault="00000000">
      <w:pPr>
        <w:pStyle w:val="Heading3"/>
      </w:pPr>
      <w:r>
        <w:lastRenderedPageBreak/>
        <w:t>Verse 9</w:t>
      </w:r>
    </w:p>
    <w:p w14:paraId="0FDC6BFB" w14:textId="77777777" w:rsidR="00866706" w:rsidRDefault="00000000">
      <w:pPr>
        <w:pStyle w:val="BodySans"/>
      </w:pPr>
      <w:r>
        <w:rPr>
          <w:sz w:val="26"/>
          <w:rtl/>
        </w:rPr>
        <w:t>כֵּ֤ן אֲזַמְּרָ֣ה שִׁמְךָ֣ לָעַ֑ד; לְֽשַׁלְּמִ֥י נְ֝דָרַ֗י י֣וֹם ׀ יֽוֹם׃</w:t>
      </w:r>
    </w:p>
    <w:p w14:paraId="1627428B" w14:textId="77777777" w:rsidR="00866706" w:rsidRDefault="00000000">
      <w:pPr>
        <w:pStyle w:val="BodySans"/>
      </w:pPr>
      <w:r>
        <w:t xml:space="preserve">The closing </w:t>
      </w:r>
      <w:r>
        <w:rPr>
          <w:rtl/>
        </w:rPr>
        <w:t>כֵּן</w:t>
      </w:r>
      <w:r>
        <w:t xml:space="preserve">, "so, thus," is consequential: the praise flows </w:t>
      </w:r>
      <w:r>
        <w:rPr>
          <w:i/>
        </w:rPr>
        <w:t>from</w:t>
      </w:r>
      <w:r>
        <w:t xml:space="preserve"> what precedes — both the personal assurance and the royal intercession. Metzudat David draws the logic out:</w:t>
      </w:r>
    </w:p>
    <w:p w14:paraId="7B309779" w14:textId="77777777" w:rsidR="00866706" w:rsidRDefault="00000000">
      <w:pPr>
        <w:pStyle w:val="BodySans"/>
        <w:bidi/>
        <w:ind w:left="432" w:right="432"/>
        <w:jc w:val="right"/>
      </w:pPr>
      <w:r>
        <w:rPr>
          <w:rFonts w:ascii="Times New Roman" w:hAnsi="Times New Roman"/>
          <w:sz w:val="26"/>
        </w:rPr>
        <w:t>כמו שאני מזמר כאשר אנצח המלחמה, כן אזמר לעד</w:t>
      </w:r>
    </w:p>
    <w:p w14:paraId="122FFA04" w14:textId="77777777" w:rsidR="00866706" w:rsidRDefault="00000000">
      <w:pPr>
        <w:pStyle w:val="BodySans"/>
      </w:pPr>
      <w:r>
        <w:t xml:space="preserve">"just as I sing when I win the battle, so I will sing forever. </w:t>
      </w:r>
      <w:r>
        <w:rPr>
          <w:rtl/>
        </w:rPr>
        <w:t>אֲזַמְּרָה</w:t>
      </w:r>
      <w:r>
        <w:t xml:space="preserve">, I will sing," from </w:t>
      </w:r>
      <w:r>
        <w:rPr>
          <w:rtl/>
        </w:rPr>
        <w:t>זמר</w:t>
      </w:r>
      <w:r>
        <w:t xml:space="preserve">, completes a musical frame with the heading's </w:t>
      </w:r>
      <w:r>
        <w:rPr>
          <w:rtl/>
        </w:rPr>
        <w:t>נְגִינַת</w:t>
      </w:r>
      <w:r>
        <w:t xml:space="preserve">, "stringed music" (v.1) — two different roots bracketing the psalm with sound, and, as noted, bringing together in this final colon the psalm's musical language and its repeated concern with duration: </w:t>
      </w:r>
      <w:r>
        <w:rPr>
          <w:rtl/>
        </w:rPr>
        <w:t>אֲזַמְּרָה</w:t>
      </w:r>
      <w:r>
        <w:t xml:space="preserve"> plus </w:t>
      </w:r>
      <w:r>
        <w:rPr>
          <w:rtl/>
        </w:rPr>
        <w:t>לָעַד</w:t>
      </w:r>
      <w:r>
        <w:t>.</w:t>
      </w:r>
    </w:p>
    <w:p w14:paraId="55972512" w14:textId="77777777" w:rsidR="00866706" w:rsidRDefault="00000000">
      <w:pPr>
        <w:pStyle w:val="BodySans"/>
      </w:pPr>
      <w:r>
        <w:rPr>
          <w:rtl/>
        </w:rPr>
        <w:t>שִׁמְךָ</w:t>
      </w:r>
      <w:r>
        <w:t xml:space="preserve">, "Your name," picks up the </w:t>
      </w:r>
      <w:r>
        <w:rPr>
          <w:rtl/>
        </w:rPr>
        <w:t>שֵׁם</w:t>
      </w:r>
      <w:r>
        <w:t xml:space="preserve">-thread sounded explicitly in verse 6 and, perhaps, already anticipated by the "tower of strength" of verse 4, which Proverbs 18:10 identifies with the Name. The refuge and the praise-object converge. The clause </w:t>
      </w:r>
      <w:r>
        <w:rPr>
          <w:rtl/>
        </w:rPr>
        <w:t>לְשַׁלְּמִי נְדָרַי</w:t>
      </w:r>
      <w:r>
        <w:t>, "as I fulfill my vows," closes the vow-envelope opened in verse 6 (</w:t>
      </w:r>
      <w:r>
        <w:rPr>
          <w:rtl/>
        </w:rPr>
        <w:t>שָׁמַעְתָּ לִנְדָרָי</w:t>
      </w:r>
      <w:r>
        <w:t xml:space="preserve">): vows heard, now vows paid. Fulfillment is the natural sequel to deliverance — compare Jonah 2:10, </w:t>
      </w:r>
      <w:r>
        <w:rPr>
          <w:rtl/>
        </w:rPr>
        <w:t>אֲשֶׁר נָדַרְתִּי אֲשַׁלֵּמָה</w:t>
      </w:r>
      <w:r>
        <w:t>, "what I vowed I will fulfill."</w:t>
      </w:r>
    </w:p>
    <w:p w14:paraId="22761788" w14:textId="77777777" w:rsidR="00866706" w:rsidRDefault="00000000">
      <w:pPr>
        <w:pStyle w:val="BodySans"/>
      </w:pPr>
      <w:r>
        <w:t xml:space="preserve">And the last two words land the whole poem: </w:t>
      </w:r>
      <w:r>
        <w:rPr>
          <w:rtl/>
        </w:rPr>
        <w:t>יוֹם יוֹם</w:t>
      </w:r>
      <w:r>
        <w:t xml:space="preserve">, "day, day." There is no conjunction, no preposition — just the bare noun set beside itself. The asyndeton enacts what it means: the relentless, unpunctuated beat of daily repetition. The LXX could not leave it alone and supplied a preposition the Hebrew refuses, ἡμέραν ἐξ ἡμέρας, "day from day." But the Hebrew's whole force is the absence of connective tissue between the two days — life as one undifferentiated drumbeat of vow-payment. Track the psalm's time-words to their terminus: cosmic plural-eternity </w:t>
      </w:r>
      <w:r>
        <w:rPr>
          <w:rtl/>
        </w:rPr>
        <w:t>עוֹלָמִים</w:t>
      </w:r>
      <w:r>
        <w:t xml:space="preserve"> (v.5), dynastic </w:t>
      </w:r>
      <w:r>
        <w:rPr>
          <w:rtl/>
        </w:rPr>
        <w:t>דֹר וָדֹר</w:t>
      </w:r>
      <w:r>
        <w:t xml:space="preserve"> (v.7), absolute </w:t>
      </w:r>
      <w:r>
        <w:rPr>
          <w:rtl/>
        </w:rPr>
        <w:t>עוֹלָם</w:t>
      </w:r>
      <w:r>
        <w:t xml:space="preserve"> (v.8), and now </w:t>
      </w:r>
      <w:r>
        <w:rPr>
          <w:rtl/>
        </w:rPr>
        <w:t>לָעַד</w:t>
      </w:r>
      <w:r>
        <w:t xml:space="preserve"> landing on bare </w:t>
      </w:r>
      <w:r>
        <w:rPr>
          <w:rtl/>
        </w:rPr>
        <w:t>יוֹם יוֹם</w:t>
      </w:r>
      <w:r>
        <w:t xml:space="preserve">. The poem that cried from the edge of </w:t>
      </w:r>
      <w:r>
        <w:rPr>
          <w:i/>
        </w:rPr>
        <w:t>space</w:t>
      </w:r>
      <w:r>
        <w:t xml:space="preserve"> (</w:t>
      </w:r>
      <w:r>
        <w:rPr>
          <w:rtl/>
        </w:rPr>
        <w:t>מִקְצֵה הָאָרֶץ</w:t>
      </w:r>
      <w:r>
        <w:t xml:space="preserve">, v.3) comes to rest on the smallest unit of </w:t>
      </w:r>
      <w:r>
        <w:rPr>
          <w:i/>
        </w:rPr>
        <w:t>time</w:t>
      </w:r>
      <w:r>
        <w:t>. Eternity is not an escape from the ordinary day; it is the ordinary day, repeated without end.</w:t>
      </w:r>
    </w:p>
    <w:p w14:paraId="277176C7" w14:textId="77777777" w:rsidR="00866706" w:rsidRDefault="00000000">
      <w:pPr>
        <w:pStyle w:val="BodySans"/>
      </w:pPr>
      <w:r>
        <w:t xml:space="preserve">Yehuda Amichai's </w:t>
      </w:r>
      <w:r>
        <w:rPr>
          <w:i/>
        </w:rPr>
        <w:t>God Has Pity on Kindergarten Children</w:t>
      </w:r>
      <w:r>
        <w:t xml:space="preserve"> (1955) reads like a modern shadow cast against this verse's confidence. Where the psalmist trusts </w:t>
      </w:r>
      <w:r>
        <w:rPr>
          <w:rtl/>
        </w:rPr>
        <w:t>חֶסֶד וֶאֱמֶת</w:t>
      </w:r>
      <w:r>
        <w:t xml:space="preserve"> to guard a man for life, Amichai imagines a divine mercy that </w:t>
      </w:r>
      <w:r>
        <w:rPr>
          <w:i/>
        </w:rPr>
        <w:t>thins</w:t>
      </w:r>
      <w:r>
        <w:t xml:space="preserve"> with age:</w:t>
      </w:r>
    </w:p>
    <w:p w14:paraId="46E676E0" w14:textId="77777777" w:rsidR="00866706" w:rsidRDefault="00000000">
      <w:pPr>
        <w:pStyle w:val="BodySans"/>
        <w:bidi/>
        <w:ind w:left="432" w:right="432"/>
        <w:jc w:val="right"/>
      </w:pPr>
      <w:r>
        <w:rPr>
          <w:rFonts w:ascii="Times New Roman" w:hAnsi="Times New Roman"/>
          <w:sz w:val="26"/>
        </w:rPr>
        <w:t>אֱלֹקִים מְרַחֵם עַל יַלְדֵי הַגַּן, / פָּחוֹת מִזֶּה עַל יַלְדֵי בֵּית־הַסֵּפֶר. / וְעַל הַגְּדוֹלִים לֹא יְרַחֵם עוֹד, / יַשְׁאִירָם לְבַדָּם</w:t>
      </w:r>
    </w:p>
    <w:p w14:paraId="126B4D43" w14:textId="77777777" w:rsidR="00866706" w:rsidRDefault="00000000">
      <w:pPr>
        <w:pStyle w:val="BodySans"/>
      </w:pPr>
      <w:r>
        <w:t xml:space="preserve">"God has pity on kindergarten children, less on schoolchildren, and on adults he will have no pity at all, he leaves them alone." Both poems are in Hebrew; both stake everything on whether divine guarding endures. The psalm answers with a vow renewed each day; </w:t>
      </w:r>
      <w:r>
        <w:lastRenderedPageBreak/>
        <w:t xml:space="preserve">Amichai answers with abandonment that deepens each year. To read them together is to feel exactly how much weight Psalm 61's last word — </w:t>
      </w:r>
      <w:r>
        <w:rPr>
          <w:rtl/>
        </w:rPr>
        <w:t>יוֹם יוֹם</w:t>
      </w:r>
      <w:r>
        <w:t xml:space="preserve"> — is asked to carry, and to hear, in a modern ear, how fragile the ancient confidence can sound when the daily repetition is no longer praise but mere survival.</w:t>
      </w:r>
    </w:p>
    <w:p w14:paraId="397FCDAB" w14:textId="77777777" w:rsidR="00866706" w:rsidRDefault="00000000">
      <w:r>
        <w:br w:type="page"/>
      </w:r>
    </w:p>
    <w:p w14:paraId="7701FA26" w14:textId="77777777" w:rsidR="00866706" w:rsidRDefault="00000000">
      <w:pPr>
        <w:pStyle w:val="Heading2"/>
      </w:pPr>
      <w:r>
        <w:rPr>
          <w:rFonts w:ascii="Aptos" w:hAnsi="Aptos"/>
        </w:rPr>
        <w:lastRenderedPageBreak/>
        <w:t>Methodological &amp; Bibliographical Summary</w:t>
      </w:r>
    </w:p>
    <w:p w14:paraId="21E68CA0" w14:textId="77777777" w:rsidR="00866706" w:rsidRDefault="00000000">
      <w:pPr>
        <w:pStyle w:val="Heading3"/>
      </w:pPr>
      <w:r>
        <w:rPr>
          <w:rFonts w:ascii="Aptos" w:hAnsi="Aptos"/>
        </w:rPr>
        <w:t>Research &amp; Data Inputs</w:t>
      </w:r>
    </w:p>
    <w:p w14:paraId="24ADA3AE" w14:textId="77777777" w:rsidR="00866706" w:rsidRDefault="00000000">
      <w:pPr>
        <w:pStyle w:val="SummaryText"/>
      </w:pPr>
      <w:r>
        <w:rPr>
          <w:rFonts w:ascii="Aptos" w:hAnsi="Aptos"/>
          <w:b/>
        </w:rPr>
        <w:t>Psalm Verses Analyzed</w:t>
      </w:r>
      <w:r>
        <w:rPr>
          <w:rFonts w:ascii="Aptos" w:hAnsi="Aptos"/>
        </w:rPr>
        <w:t>: 9</w:t>
      </w:r>
    </w:p>
    <w:p w14:paraId="346CFD9D" w14:textId="77777777" w:rsidR="00866706" w:rsidRDefault="00000000">
      <w:pPr>
        <w:pStyle w:val="SummaryText"/>
      </w:pPr>
      <w:r>
        <w:rPr>
          <w:rFonts w:ascii="Aptos" w:hAnsi="Aptos"/>
          <w:b/>
        </w:rPr>
        <w:t>LXX (Septuagint) Verses Reviewed</w:t>
      </w:r>
      <w:r>
        <w:rPr>
          <w:rFonts w:ascii="Aptos" w:hAnsi="Aptos"/>
        </w:rPr>
        <w:t>: 9</w:t>
      </w:r>
    </w:p>
    <w:p w14:paraId="544A3ABD" w14:textId="77777777" w:rsidR="00866706" w:rsidRDefault="00000000">
      <w:pPr>
        <w:pStyle w:val="SummaryText"/>
      </w:pPr>
      <w:r>
        <w:rPr>
          <w:rFonts w:ascii="Aptos" w:hAnsi="Aptos"/>
          <w:b/>
        </w:rPr>
        <w:t>Phonetic Transcriptions Generated</w:t>
      </w:r>
      <w:r>
        <w:rPr>
          <w:rFonts w:ascii="Aptos" w:hAnsi="Aptos"/>
        </w:rPr>
        <w:t>: 9</w:t>
      </w:r>
    </w:p>
    <w:p w14:paraId="3EBC422C" w14:textId="77777777" w:rsidR="00866706" w:rsidRDefault="00000000">
      <w:pPr>
        <w:pStyle w:val="SummaryText"/>
      </w:pPr>
      <w:r>
        <w:rPr>
          <w:rFonts w:ascii="Aptos" w:hAnsi="Aptos"/>
          <w:b/>
        </w:rPr>
        <w:t>Lexicon Entries (BDB/Klein) Reviewed</w:t>
      </w:r>
      <w:r>
        <w:rPr>
          <w:rFonts w:ascii="Aptos" w:hAnsi="Aptos"/>
        </w:rPr>
        <w:t>: 46</w:t>
      </w:r>
    </w:p>
    <w:p w14:paraId="57435FD5" w14:textId="77777777" w:rsidR="00866706" w:rsidRDefault="00000000">
      <w:pPr>
        <w:pStyle w:val="SummaryText"/>
      </w:pPr>
      <w:r>
        <w:rPr>
          <w:rFonts w:ascii="Aptos" w:hAnsi="Aptos"/>
          <w:b/>
        </w:rPr>
        <w:t>Traditional Commentaries Reviewed</w:t>
      </w:r>
      <w:r>
        <w:rPr>
          <w:rFonts w:ascii="Aptos" w:hAnsi="Aptos"/>
        </w:rPr>
        <w:t>: 43 (Ibn Ezra (7); Malbim (3); Meiri (9); Metzudat David (7); Radak (9); Rashi (6); Torah Temimah (2))</w:t>
      </w:r>
    </w:p>
    <w:p w14:paraId="4EC06404" w14:textId="77777777" w:rsidR="00866706" w:rsidRDefault="00000000">
      <w:pPr>
        <w:pStyle w:val="SummaryText"/>
        <w:spacing w:after="0"/>
      </w:pPr>
      <w:r>
        <w:rPr>
          <w:rFonts w:ascii="Aptos" w:hAnsi="Aptos"/>
          <w:b/>
        </w:rPr>
        <w:t>Concordance Entries Reviewed</w:t>
      </w:r>
      <w:r>
        <w:rPr>
          <w:rFonts w:ascii="Aptos" w:hAnsi="Aptos"/>
        </w:rPr>
        <w:t>: 678</w:t>
      </w:r>
    </w:p>
    <w:p w14:paraId="45C9CE09" w14:textId="77777777" w:rsidR="00866706" w:rsidRDefault="00000000">
      <w:pPr>
        <w:pStyle w:val="SummaryText"/>
        <w:bidi/>
        <w:jc w:val="right"/>
      </w:pPr>
      <w:r>
        <w:rPr>
          <w:rtl/>
        </w:rPr>
        <w:t>אזמר — 45;</w:t>
      </w:r>
      <w:r>
        <w:rPr>
          <w:rFonts w:ascii="Aptos" w:hAnsi="Aptos"/>
          <w:rtl/>
        </w:rPr>
        <w:t xml:space="preserve"> </w:t>
      </w:r>
      <w:r>
        <w:rPr>
          <w:rtl/>
        </w:rPr>
        <w:t>גור — 50;</w:t>
      </w:r>
      <w:r>
        <w:rPr>
          <w:rFonts w:ascii="Aptos" w:hAnsi="Aptos"/>
          <w:rtl/>
        </w:rPr>
        <w:t xml:space="preserve"> </w:t>
      </w:r>
      <w:r>
        <w:rPr>
          <w:rtl/>
        </w:rPr>
        <w:t>דור דור — 50;</w:t>
      </w:r>
      <w:r>
        <w:rPr>
          <w:rFonts w:ascii="Aptos" w:hAnsi="Aptos"/>
          <w:rtl/>
        </w:rPr>
        <w:t xml:space="preserve"> </w:t>
      </w:r>
      <w:r>
        <w:rPr>
          <w:rtl/>
        </w:rPr>
        <w:t>הקשב — 46;</w:t>
      </w:r>
      <w:r>
        <w:rPr>
          <w:rFonts w:ascii="Aptos" w:hAnsi="Aptos"/>
          <w:rtl/>
        </w:rPr>
        <w:t xml:space="preserve"> </w:t>
      </w:r>
      <w:r>
        <w:rPr>
          <w:rtl/>
        </w:rPr>
        <w:t>חסד אמת — 32;</w:t>
      </w:r>
      <w:r>
        <w:rPr>
          <w:rFonts w:ascii="Aptos" w:hAnsi="Aptos"/>
          <w:rtl/>
        </w:rPr>
        <w:t xml:space="preserve"> </w:t>
      </w:r>
      <w:r>
        <w:rPr>
          <w:rtl/>
        </w:rPr>
        <w:t>ינצרהו — 48;</w:t>
      </w:r>
      <w:r>
        <w:rPr>
          <w:rFonts w:ascii="Aptos" w:hAnsi="Aptos"/>
          <w:rtl/>
        </w:rPr>
        <w:t xml:space="preserve"> </w:t>
      </w:r>
      <w:r>
        <w:rPr>
          <w:rtl/>
        </w:rPr>
        <w:t>ירש — 50;</w:t>
      </w:r>
      <w:r>
        <w:rPr>
          <w:rFonts w:ascii="Aptos" w:hAnsi="Aptos"/>
          <w:rtl/>
        </w:rPr>
        <w:t xml:space="preserve"> </w:t>
      </w:r>
      <w:r>
        <w:rPr>
          <w:rtl/>
        </w:rPr>
        <w:t>ישב עולם — 23;</w:t>
      </w:r>
      <w:r>
        <w:rPr>
          <w:rFonts w:ascii="Aptos" w:hAnsi="Aptos"/>
          <w:rtl/>
        </w:rPr>
        <w:t xml:space="preserve"> </w:t>
      </w:r>
      <w:r>
        <w:rPr>
          <w:rtl/>
        </w:rPr>
        <w:t>כנף — 38;</w:t>
      </w:r>
      <w:r>
        <w:rPr>
          <w:rFonts w:ascii="Aptos" w:hAnsi="Aptos"/>
          <w:rtl/>
        </w:rPr>
        <w:t xml:space="preserve"> </w:t>
      </w:r>
      <w:r>
        <w:rPr>
          <w:rtl/>
        </w:rPr>
        <w:t>לנדרי — 32;</w:t>
      </w:r>
      <w:r>
        <w:rPr>
          <w:rFonts w:ascii="Aptos" w:hAnsi="Aptos"/>
          <w:rtl/>
        </w:rPr>
        <w:t xml:space="preserve"> </w:t>
      </w:r>
      <w:r>
        <w:rPr>
          <w:rtl/>
        </w:rPr>
        <w:t>מגדל — 44;</w:t>
      </w:r>
      <w:r>
        <w:rPr>
          <w:rFonts w:ascii="Aptos" w:hAnsi="Aptos"/>
          <w:rtl/>
        </w:rPr>
        <w:t xml:space="preserve"> </w:t>
      </w:r>
      <w:r>
        <w:rPr>
          <w:rtl/>
        </w:rPr>
        <w:t>מגדל עז — 2;</w:t>
      </w:r>
      <w:r>
        <w:rPr>
          <w:rFonts w:ascii="Aptos" w:hAnsi="Aptos"/>
          <w:rtl/>
        </w:rPr>
        <w:t xml:space="preserve"> </w:t>
      </w:r>
      <w:r>
        <w:rPr>
          <w:rtl/>
        </w:rPr>
        <w:t>מחסה — 19;</w:t>
      </w:r>
      <w:r>
        <w:rPr>
          <w:rFonts w:ascii="Aptos" w:hAnsi="Aptos"/>
          <w:rtl/>
        </w:rPr>
        <w:t xml:space="preserve"> </w:t>
      </w:r>
      <w:r>
        <w:rPr>
          <w:rtl/>
        </w:rPr>
        <w:t>נגינת — 13;</w:t>
      </w:r>
      <w:r>
        <w:rPr>
          <w:rFonts w:ascii="Aptos" w:hAnsi="Aptos"/>
          <w:rtl/>
        </w:rPr>
        <w:t xml:space="preserve"> </w:t>
      </w:r>
      <w:r>
        <w:rPr>
          <w:rtl/>
        </w:rPr>
        <w:t>נחה — 39;</w:t>
      </w:r>
      <w:r>
        <w:rPr>
          <w:rFonts w:ascii="Aptos" w:hAnsi="Aptos"/>
          <w:rtl/>
        </w:rPr>
        <w:t xml:space="preserve"> </w:t>
      </w:r>
      <w:r>
        <w:rPr>
          <w:rtl/>
        </w:rPr>
        <w:t>נצח — 49;</w:t>
      </w:r>
      <w:r>
        <w:rPr>
          <w:rFonts w:ascii="Aptos" w:hAnsi="Aptos"/>
          <w:rtl/>
        </w:rPr>
        <w:t xml:space="preserve"> </w:t>
      </w:r>
      <w:r>
        <w:rPr>
          <w:rtl/>
        </w:rPr>
        <w:t>סתר — 50;</w:t>
      </w:r>
      <w:r>
        <w:rPr>
          <w:rFonts w:ascii="Aptos" w:hAnsi="Aptos"/>
          <w:rtl/>
        </w:rPr>
        <w:t xml:space="preserve"> </w:t>
      </w:r>
      <w:r>
        <w:rPr>
          <w:rtl/>
        </w:rPr>
        <w:t>עטף — 13;</w:t>
      </w:r>
      <w:r>
        <w:rPr>
          <w:rFonts w:ascii="Aptos" w:hAnsi="Aptos"/>
          <w:rtl/>
        </w:rPr>
        <w:t xml:space="preserve"> </w:t>
      </w:r>
      <w:r>
        <w:rPr>
          <w:rtl/>
        </w:rPr>
        <w:t>רנה — 35</w:t>
      </w:r>
    </w:p>
    <w:p w14:paraId="69F20E47" w14:textId="77777777" w:rsidR="00866706" w:rsidRDefault="00000000">
      <w:pPr>
        <w:pStyle w:val="SummaryText"/>
      </w:pPr>
      <w:r>
        <w:rPr>
          <w:rFonts w:ascii="Aptos" w:hAnsi="Aptos"/>
          <w:b/>
        </w:rPr>
        <w:t>Figurative Concordance Matches Reviewed</w:t>
      </w:r>
      <w:r>
        <w:rPr>
          <w:rFonts w:ascii="Aptos" w:hAnsi="Aptos"/>
        </w:rPr>
        <w:t>: 350 (face (50); faint (50); guardian (50); rock (50); tent (50); tower (50); wings (50))</w:t>
      </w:r>
    </w:p>
    <w:p w14:paraId="061A9FED" w14:textId="77777777" w:rsidR="00866706" w:rsidRDefault="00000000">
      <w:pPr>
        <w:pStyle w:val="SummaryText"/>
      </w:pPr>
      <w:r>
        <w:rPr>
          <w:rFonts w:ascii="Aptos" w:hAnsi="Aptos"/>
          <w:b/>
        </w:rPr>
        <w:t>Rabbi Jonathan Sacks References Reviewed</w:t>
      </w:r>
      <w:r>
        <w:rPr>
          <w:rFonts w:ascii="Aptos" w:hAnsi="Aptos"/>
        </w:rPr>
        <w:t>: N/A</w:t>
      </w:r>
    </w:p>
    <w:p w14:paraId="4675EA50" w14:textId="77777777" w:rsidR="00866706" w:rsidRDefault="00000000">
      <w:pPr>
        <w:pStyle w:val="SummaryText"/>
      </w:pPr>
      <w:r>
        <w:rPr>
          <w:rFonts w:ascii="Aptos" w:hAnsi="Aptos"/>
          <w:b/>
        </w:rPr>
        <w:t>Similar Psalms Analyzed</w:t>
      </w:r>
      <w:r>
        <w:rPr>
          <w:rFonts w:ascii="Aptos" w:hAnsi="Aptos"/>
        </w:rPr>
        <w:t>: 4 (Psalms 77, 138, 142, 91)</w:t>
      </w:r>
    </w:p>
    <w:p w14:paraId="34AAE724" w14:textId="77777777" w:rsidR="00866706" w:rsidRDefault="00000000">
      <w:pPr>
        <w:pStyle w:val="SummaryText"/>
      </w:pPr>
      <w:r>
        <w:rPr>
          <w:rFonts w:ascii="Aptos" w:hAnsi="Aptos"/>
          <w:b/>
        </w:rPr>
        <w:t>Deep Web Research</w:t>
      </w:r>
      <w:r>
        <w:rPr>
          <w:rFonts w:ascii="Aptos" w:hAnsi="Aptos"/>
        </w:rPr>
        <w:t>: Yes</w:t>
      </w:r>
    </w:p>
    <w:p w14:paraId="1B720F05" w14:textId="77777777" w:rsidR="00866706" w:rsidRDefault="00000000">
      <w:pPr>
        <w:pStyle w:val="SummaryText"/>
      </w:pPr>
      <w:r>
        <w:rPr>
          <w:rFonts w:ascii="Aptos" w:hAnsi="Aptos"/>
          <w:b/>
        </w:rPr>
        <w:t>Literary Echoes Research</w:t>
      </w:r>
      <w:r>
        <w:rPr>
          <w:rFonts w:ascii="Aptos" w:hAnsi="Aptos"/>
        </w:rPr>
        <w:t>: Yes</w:t>
      </w:r>
    </w:p>
    <w:p w14:paraId="01B6FC7A" w14:textId="77777777" w:rsidR="00866706" w:rsidRDefault="00000000">
      <w:pPr>
        <w:pStyle w:val="SummaryText"/>
      </w:pPr>
      <w:r>
        <w:rPr>
          <w:rFonts w:ascii="Aptos" w:hAnsi="Aptos"/>
          <w:b/>
        </w:rPr>
        <w:t>Sections Trimmed for Context</w:t>
      </w:r>
      <w:r>
        <w:rPr>
          <w:rFonts w:ascii="Aptos" w:hAnsi="Aptos"/>
        </w:rPr>
        <w:t>: None</w:t>
      </w:r>
    </w:p>
    <w:p w14:paraId="640076A3" w14:textId="77777777" w:rsidR="00866706" w:rsidRDefault="00000000">
      <w:pPr>
        <w:pStyle w:val="SummaryText"/>
      </w:pPr>
      <w:r>
        <w:rPr>
          <w:rFonts w:ascii="Aptos" w:hAnsi="Aptos"/>
          <w:b/>
        </w:rPr>
        <w:t>Master Editor Prompt Size</w:t>
      </w:r>
      <w:r>
        <w:rPr>
          <w:rFonts w:ascii="Aptos" w:hAnsi="Aptos"/>
        </w:rPr>
        <w:t>: 246,070 characters</w:t>
      </w:r>
    </w:p>
    <w:p w14:paraId="00D42C67" w14:textId="77777777" w:rsidR="00866706" w:rsidRDefault="00000000">
      <w:pPr>
        <w:pStyle w:val="Heading3"/>
      </w:pPr>
      <w:r>
        <w:rPr>
          <w:rFonts w:ascii="Aptos" w:hAnsi="Aptos"/>
        </w:rPr>
        <w:t>Models Used</w:t>
      </w:r>
    </w:p>
    <w:p w14:paraId="66B82616" w14:textId="77777777" w:rsidR="00866706" w:rsidRDefault="00000000">
      <w:pPr>
        <w:pStyle w:val="SummaryText"/>
      </w:pPr>
      <w:r>
        <w:rPr>
          <w:rFonts w:ascii="Aptos" w:hAnsi="Aptos"/>
          <w:b/>
        </w:rPr>
        <w:t>Structural Analysis (Macro)</w:t>
      </w:r>
      <w:r>
        <w:rPr>
          <w:rFonts w:ascii="Aptos" w:hAnsi="Aptos"/>
        </w:rPr>
        <w:t>: claude-opus-4-8</w:t>
      </w:r>
    </w:p>
    <w:p w14:paraId="4199FC73" w14:textId="77777777" w:rsidR="00866706" w:rsidRDefault="00000000">
      <w:pPr>
        <w:pStyle w:val="SummaryText"/>
      </w:pPr>
      <w:r>
        <w:rPr>
          <w:rFonts w:ascii="Aptos" w:hAnsi="Aptos"/>
          <w:b/>
        </w:rPr>
        <w:t>Verse Discovery (Micro)</w:t>
      </w:r>
      <w:r>
        <w:rPr>
          <w:rFonts w:ascii="Aptos" w:hAnsi="Aptos"/>
        </w:rPr>
        <w:t>: claude-sonnet-4-6</w:t>
      </w:r>
    </w:p>
    <w:p w14:paraId="4B76A0A4" w14:textId="77777777" w:rsidR="00866706" w:rsidRDefault="00000000">
      <w:pPr>
        <w:pStyle w:val="SummaryText"/>
      </w:pPr>
      <w:r>
        <w:rPr>
          <w:rFonts w:ascii="Aptos" w:hAnsi="Aptos"/>
          <w:b/>
        </w:rPr>
        <w:t>Liturgical Librarian</w:t>
      </w:r>
      <w:r>
        <w:rPr>
          <w:rFonts w:ascii="Aptos" w:hAnsi="Aptos"/>
        </w:rPr>
        <w:t>: gpt-5.1</w:t>
      </w:r>
    </w:p>
    <w:p w14:paraId="20FD9DC1" w14:textId="77777777" w:rsidR="00866706" w:rsidRDefault="00000000">
      <w:pPr>
        <w:pStyle w:val="SummaryText"/>
      </w:pPr>
      <w:r>
        <w:rPr>
          <w:rFonts w:ascii="Aptos" w:hAnsi="Aptos"/>
          <w:b/>
        </w:rPr>
        <w:t>Figurative Curator</w:t>
      </w:r>
      <w:r>
        <w:rPr>
          <w:rFonts w:ascii="Aptos" w:hAnsi="Aptos"/>
        </w:rPr>
        <w:t>: gpt-5.4</w:t>
      </w:r>
    </w:p>
    <w:p w14:paraId="3C99B75A" w14:textId="77777777" w:rsidR="00866706" w:rsidRDefault="00000000">
      <w:pPr>
        <w:pStyle w:val="SummaryText"/>
      </w:pPr>
      <w:r>
        <w:rPr>
          <w:rFonts w:ascii="Aptos" w:hAnsi="Aptos"/>
          <w:b/>
        </w:rPr>
        <w:t>Cross-Verse Synthesis Discovery</w:t>
      </w:r>
      <w:r>
        <w:rPr>
          <w:rFonts w:ascii="Aptos" w:hAnsi="Aptos"/>
        </w:rPr>
        <w:t>: claude-opus-4-8</w:t>
      </w:r>
    </w:p>
    <w:p w14:paraId="701BC10C" w14:textId="77777777" w:rsidR="00866706" w:rsidRDefault="00000000">
      <w:pPr>
        <w:pStyle w:val="SummaryText"/>
      </w:pPr>
      <w:r>
        <w:rPr>
          <w:rFonts w:ascii="Aptos" w:hAnsi="Aptos"/>
          <w:b/>
        </w:rPr>
        <w:t>Commentary (Master Writer)</w:t>
      </w:r>
      <w:r>
        <w:rPr>
          <w:rFonts w:ascii="Aptos" w:hAnsi="Aptos"/>
        </w:rPr>
        <w:t>: claude-opus-4-8</w:t>
      </w:r>
    </w:p>
    <w:p w14:paraId="73C9E2E4" w14:textId="77777777" w:rsidR="00866706" w:rsidRDefault="00000000">
      <w:pPr>
        <w:pStyle w:val="SummaryText"/>
      </w:pPr>
      <w:r>
        <w:rPr>
          <w:rFonts w:ascii="Aptos" w:hAnsi="Aptos"/>
          <w:b/>
        </w:rPr>
        <w:t>Citation Verifier Filter</w:t>
      </w:r>
      <w:r>
        <w:rPr>
          <w:rFonts w:ascii="Aptos" w:hAnsi="Aptos"/>
        </w:rPr>
        <w:t>: gpt-5.1</w:t>
      </w:r>
    </w:p>
    <w:p w14:paraId="231236A5" w14:textId="77777777" w:rsidR="00866706" w:rsidRDefault="00000000">
      <w:pPr>
        <w:pStyle w:val="SummaryText"/>
      </w:pPr>
      <w:r>
        <w:rPr>
          <w:rFonts w:ascii="Aptos" w:hAnsi="Aptos"/>
          <w:b/>
        </w:rPr>
        <w:t>Copy Editor</w:t>
      </w:r>
      <w:r>
        <w:rPr>
          <w:rFonts w:ascii="Aptos" w:hAnsi="Aptos"/>
        </w:rPr>
        <w:t>: gpt-5.4</w:t>
      </w:r>
    </w:p>
    <w:p w14:paraId="0CC72E7D" w14:textId="77777777" w:rsidR="00866706" w:rsidRDefault="00000000">
      <w:pPr>
        <w:pStyle w:val="SummaryText"/>
      </w:pPr>
      <w:r>
        <w:rPr>
          <w:rFonts w:ascii="Aptos" w:hAnsi="Aptos"/>
          <w:b/>
        </w:rPr>
        <w:t>Literary Echoes (Passes 1 &amp; 2 — Generation)</w:t>
      </w:r>
      <w:r>
        <w:rPr>
          <w:rFonts w:ascii="Aptos" w:hAnsi="Aptos"/>
        </w:rPr>
        <w:t>: gemini-3.1-pro-preview</w:t>
      </w:r>
    </w:p>
    <w:p w14:paraId="504F1D05" w14:textId="77777777" w:rsidR="00866706" w:rsidRDefault="00000000">
      <w:pPr>
        <w:pStyle w:val="SummaryText"/>
      </w:pPr>
      <w:r>
        <w:rPr>
          <w:rFonts w:ascii="Aptos" w:hAnsi="Aptos"/>
          <w:b/>
        </w:rPr>
        <w:t>Literary Echoes (Passes 3 &amp; 4 — Verify + Reconstruct)</w:t>
      </w:r>
      <w:r>
        <w:rPr>
          <w:rFonts w:ascii="Aptos" w:hAnsi="Aptos"/>
        </w:rPr>
        <w:t>: gpt-5.4</w:t>
      </w:r>
    </w:p>
    <w:p w14:paraId="061917B8" w14:textId="77777777" w:rsidR="00866706" w:rsidRDefault="00000000">
      <w:pPr>
        <w:pStyle w:val="Heading3"/>
      </w:pPr>
      <w:r>
        <w:rPr>
          <w:rFonts w:ascii="Aptos" w:hAnsi="Aptos"/>
        </w:rPr>
        <w:t>Date Produced</w:t>
      </w:r>
    </w:p>
    <w:p w14:paraId="0BAFAB97" w14:textId="77777777" w:rsidR="00866706" w:rsidRDefault="00000000">
      <w:pPr>
        <w:pStyle w:val="SummaryText"/>
      </w:pPr>
      <w:r>
        <w:rPr>
          <w:rFonts w:ascii="Aptos" w:hAnsi="Aptos"/>
        </w:rPr>
        <w:t>June 17, 2026</w:t>
      </w:r>
    </w:p>
    <w:sectPr w:rsidR="00866706"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89F85" w14:textId="77777777" w:rsidR="00384BA3" w:rsidRDefault="00384BA3">
      <w:pPr>
        <w:spacing w:after="0" w:line="240" w:lineRule="auto"/>
      </w:pPr>
      <w:r>
        <w:separator/>
      </w:r>
    </w:p>
  </w:endnote>
  <w:endnote w:type="continuationSeparator" w:id="0">
    <w:p w14:paraId="117B9DF3" w14:textId="77777777" w:rsidR="00384BA3" w:rsidRDefault="00384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74728" w14:textId="77777777" w:rsidR="00866706" w:rsidRDefault="00000000">
    <w:pPr>
      <w:pStyle w:val="Footer"/>
      <w:jc w:val="right"/>
    </w:pPr>
    <w:r>
      <w:fldChar w:fldCharType="begin"/>
    </w:r>
    <w:r>
      <w:instrText>PAGE</w:instrText>
    </w:r>
    <w:r w:rsidR="007D7435">
      <w:fldChar w:fldCharType="separate"/>
    </w:r>
    <w:r w:rsidR="007D74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D3B2B" w14:textId="77777777" w:rsidR="00384BA3" w:rsidRDefault="00384BA3">
      <w:pPr>
        <w:spacing w:after="0" w:line="240" w:lineRule="auto"/>
      </w:pPr>
      <w:r>
        <w:separator/>
      </w:r>
    </w:p>
  </w:footnote>
  <w:footnote w:type="continuationSeparator" w:id="0">
    <w:p w14:paraId="0A7093ED" w14:textId="77777777" w:rsidR="00384BA3" w:rsidRDefault="00384B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793087">
    <w:abstractNumId w:val="8"/>
  </w:num>
  <w:num w:numId="2" w16cid:durableId="1838110400">
    <w:abstractNumId w:val="6"/>
  </w:num>
  <w:num w:numId="3" w16cid:durableId="129174014">
    <w:abstractNumId w:val="5"/>
  </w:num>
  <w:num w:numId="4" w16cid:durableId="1259094397">
    <w:abstractNumId w:val="4"/>
  </w:num>
  <w:num w:numId="5" w16cid:durableId="1329404580">
    <w:abstractNumId w:val="7"/>
  </w:num>
  <w:num w:numId="6" w16cid:durableId="1786927712">
    <w:abstractNumId w:val="3"/>
  </w:num>
  <w:num w:numId="7" w16cid:durableId="1702365466">
    <w:abstractNumId w:val="2"/>
  </w:num>
  <w:num w:numId="8" w16cid:durableId="1509909988">
    <w:abstractNumId w:val="1"/>
  </w:num>
  <w:num w:numId="9" w16cid:durableId="2114860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4BA3"/>
    <w:rsid w:val="0049491A"/>
    <w:rsid w:val="007D7435"/>
    <w:rsid w:val="008667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736DA"/>
  <w14:defaultImageDpi w14:val="300"/>
  <w15:docId w15:val="{F1C948F7-1CE5-447C-B86D-6B3DF8A3F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szCs w:val="26"/>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4866</Words>
  <Characters>27738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2026-06-17T18:16:00Z</dcterms:created>
  <dcterms:modified xsi:type="dcterms:W3CDTF">2026-06-17T18:16:00Z</dcterms:modified>
  <cp:category/>
</cp:coreProperties>
</file>