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2321" w14:textId="7F366678" w:rsidR="0022184F" w:rsidRDefault="00020895" w:rsidP="5C3DB52D">
      <w:pPr>
        <w:pBdr>
          <w:bottom w:val="single" w:sz="6" w:space="1" w:color="auto"/>
        </w:pBdr>
        <w:rPr>
          <w:rFonts w:ascii="PP Neue Montreal Medium" w:hAnsi="PP Neue Montreal Medium"/>
        </w:rPr>
      </w:pPr>
      <w:r w:rsidRPr="5C3DB52D">
        <w:rPr>
          <w:rFonts w:ascii="PP Neue Montreal Medium" w:hAnsi="PP Neue Montreal Medium"/>
          <w:b/>
          <w:bCs/>
        </w:rPr>
        <w:t>Date:</w:t>
      </w:r>
      <w:r w:rsidRPr="5C3DB52D">
        <w:rPr>
          <w:rFonts w:ascii="PP Neue Montreal Medium" w:hAnsi="PP Neue Montreal Medium"/>
        </w:rPr>
        <w:t xml:space="preserve"> </w:t>
      </w:r>
      <w:r w:rsidR="000B4263">
        <w:rPr>
          <w:rFonts w:ascii="PP Neue Montreal Medium" w:hAnsi="PP Neue Montreal Medium"/>
        </w:rPr>
        <w:t>October 2</w:t>
      </w:r>
      <w:r w:rsidRPr="5C3DB52D">
        <w:rPr>
          <w:rFonts w:ascii="PP Neue Montreal Medium" w:hAnsi="PP Neue Montreal Medium"/>
        </w:rPr>
        <w:t xml:space="preserve">, 2025 </w:t>
      </w:r>
      <w:r>
        <w:br/>
      </w:r>
      <w:r w:rsidRPr="5C3DB52D">
        <w:rPr>
          <w:rFonts w:ascii="PP Neue Montreal Medium" w:hAnsi="PP Neue Montreal Medium"/>
          <w:b/>
          <w:bCs/>
        </w:rPr>
        <w:t>Subject:</w:t>
      </w:r>
      <w:r w:rsidRPr="5C3DB52D">
        <w:rPr>
          <w:rFonts w:ascii="PP Neue Montreal Medium" w:hAnsi="PP Neue Montreal Medium"/>
        </w:rPr>
        <w:t> C</w:t>
      </w:r>
      <w:r w:rsidR="0022387F" w:rsidRPr="5C3DB52D">
        <w:rPr>
          <w:rFonts w:ascii="PP Neue Montreal Medium" w:hAnsi="PP Neue Montreal Medium"/>
        </w:rPr>
        <w:t>ordance Health</w:t>
      </w:r>
      <w:r w:rsidRPr="5C3DB52D">
        <w:rPr>
          <w:rFonts w:ascii="PP Neue Montreal Medium" w:hAnsi="PP Neue Montreal Medium"/>
        </w:rPr>
        <w:t xml:space="preserve"> </w:t>
      </w:r>
      <w:r w:rsidR="00095AF8">
        <w:rPr>
          <w:rFonts w:ascii="PP Neue Montreal Medium" w:hAnsi="PP Neue Montreal Medium"/>
        </w:rPr>
        <w:t xml:space="preserve">-- </w:t>
      </w:r>
      <w:r w:rsidR="00196AD9" w:rsidRPr="5C3DB52D">
        <w:rPr>
          <w:rFonts w:ascii="PP Neue Montreal Medium" w:hAnsi="PP Neue Montreal Medium"/>
        </w:rPr>
        <w:t>ROI Memo</w:t>
      </w:r>
    </w:p>
    <w:p w14:paraId="5EDD6A63" w14:textId="77777777" w:rsidR="00020895" w:rsidRPr="0022184F" w:rsidRDefault="00020895" w:rsidP="0022184F">
      <w:pPr>
        <w:pBdr>
          <w:bottom w:val="single" w:sz="6" w:space="1" w:color="auto"/>
        </w:pBdr>
      </w:pPr>
    </w:p>
    <w:p w14:paraId="03F8A350" w14:textId="62A066F5" w:rsidR="001642A6" w:rsidRPr="009420A8" w:rsidRDefault="610D77B2" w:rsidP="009420A8">
      <w:pPr>
        <w:spacing w:before="360" w:after="360"/>
        <w:rPr>
          <w:rFonts w:ascii="PP Neue Montreal" w:hAnsi="PP Neue Montreal"/>
          <w:color w:val="000000" w:themeColor="text1"/>
          <w:sz w:val="22"/>
          <w:szCs w:val="22"/>
        </w:rPr>
      </w:pPr>
      <w:r w:rsidRPr="6FB891D8">
        <w:rPr>
          <w:rFonts w:ascii="PP Neue Montreal" w:hAnsi="PP Neue Montreal"/>
          <w:color w:val="000000" w:themeColor="text1"/>
          <w:sz w:val="22"/>
          <w:szCs w:val="22"/>
        </w:rPr>
        <w:t xml:space="preserve">This </w:t>
      </w:r>
      <w:r w:rsidR="23666B26" w:rsidRPr="6FB891D8">
        <w:rPr>
          <w:rFonts w:ascii="PP Neue Montreal" w:hAnsi="PP Neue Montreal"/>
          <w:color w:val="000000" w:themeColor="text1"/>
          <w:sz w:val="22"/>
          <w:szCs w:val="22"/>
        </w:rPr>
        <w:t>memo</w:t>
      </w:r>
      <w:r w:rsidRPr="6FB891D8">
        <w:rPr>
          <w:rFonts w:ascii="PP Neue Montreal" w:hAnsi="PP Neue Montreal"/>
          <w:color w:val="000000" w:themeColor="text1"/>
          <w:sz w:val="22"/>
          <w:szCs w:val="22"/>
        </w:rPr>
        <w:t xml:space="preserve"> </w:t>
      </w:r>
      <w:r w:rsidR="08C36065" w:rsidRPr="650DE900">
        <w:rPr>
          <w:rFonts w:ascii="PP Neue Montreal" w:hAnsi="PP Neue Montreal"/>
          <w:color w:val="000000" w:themeColor="text1"/>
          <w:sz w:val="22"/>
          <w:szCs w:val="22"/>
        </w:rPr>
        <w:t xml:space="preserve">presents </w:t>
      </w:r>
      <w:r w:rsidR="009420A8" w:rsidRPr="650DE900">
        <w:rPr>
          <w:rFonts w:ascii="PP Neue Montreal" w:hAnsi="PP Neue Montreal"/>
          <w:color w:val="000000" w:themeColor="text1"/>
          <w:sz w:val="22"/>
          <w:szCs w:val="22"/>
        </w:rPr>
        <w:t>Cordance’s</w:t>
      </w:r>
      <w:r w:rsidRPr="6FB891D8">
        <w:rPr>
          <w:rFonts w:ascii="PP Neue Montreal" w:hAnsi="PP Neue Montreal"/>
          <w:color w:val="000000" w:themeColor="text1"/>
          <w:sz w:val="22"/>
          <w:szCs w:val="22"/>
        </w:rPr>
        <w:t xml:space="preserve"> thesis on ROI for health systems</w:t>
      </w:r>
      <w:r w:rsidR="4265B53B" w:rsidRPr="52473429">
        <w:rPr>
          <w:rFonts w:ascii="PP Neue Montreal" w:hAnsi="PP Neue Montreal"/>
          <w:color w:val="000000" w:themeColor="text1"/>
          <w:sz w:val="22"/>
          <w:szCs w:val="22"/>
        </w:rPr>
        <w:t xml:space="preserve">, </w:t>
      </w:r>
      <w:r w:rsidR="3F4E0624" w:rsidRPr="52473429">
        <w:rPr>
          <w:rFonts w:ascii="PP Neue Montreal" w:hAnsi="PP Neue Montreal"/>
          <w:color w:val="000000" w:themeColor="text1"/>
          <w:sz w:val="22"/>
          <w:szCs w:val="22"/>
        </w:rPr>
        <w:t>explain</w:t>
      </w:r>
      <w:r w:rsidR="6151DC87" w:rsidRPr="52473429">
        <w:rPr>
          <w:rFonts w:ascii="PP Neue Montreal" w:hAnsi="PP Neue Montreal"/>
          <w:color w:val="000000" w:themeColor="text1"/>
          <w:sz w:val="22"/>
          <w:szCs w:val="22"/>
        </w:rPr>
        <w:t>ing</w:t>
      </w:r>
      <w:r w:rsidR="23666B26" w:rsidRPr="6FB891D8">
        <w:rPr>
          <w:rFonts w:ascii="PP Neue Montreal" w:hAnsi="PP Neue Montreal"/>
          <w:color w:val="000000" w:themeColor="text1"/>
          <w:sz w:val="22"/>
          <w:szCs w:val="22"/>
        </w:rPr>
        <w:t xml:space="preserve"> how </w:t>
      </w:r>
      <w:r w:rsidR="71385437" w:rsidRPr="6FB891D8">
        <w:rPr>
          <w:rFonts w:ascii="PP Neue Montreal" w:hAnsi="PP Neue Montreal"/>
          <w:color w:val="000000" w:themeColor="text1"/>
          <w:sz w:val="22"/>
          <w:szCs w:val="22"/>
        </w:rPr>
        <w:t xml:space="preserve">the platform </w:t>
      </w:r>
      <w:r w:rsidR="4CCAE53B" w:rsidRPr="6FB891D8">
        <w:rPr>
          <w:rFonts w:ascii="PP Neue Montreal" w:hAnsi="PP Neue Montreal"/>
          <w:color w:val="000000" w:themeColor="text1"/>
          <w:sz w:val="22"/>
          <w:szCs w:val="22"/>
        </w:rPr>
        <w:t>will</w:t>
      </w:r>
      <w:r w:rsidR="23666B26" w:rsidRPr="6FB891D8">
        <w:rPr>
          <w:rFonts w:ascii="PP Neue Montreal" w:hAnsi="PP Neue Montreal"/>
          <w:color w:val="000000" w:themeColor="text1"/>
          <w:sz w:val="22"/>
          <w:szCs w:val="22"/>
        </w:rPr>
        <w:t xml:space="preserve"> create </w:t>
      </w:r>
      <w:r w:rsidRPr="6FB891D8">
        <w:rPr>
          <w:rFonts w:ascii="PP Neue Montreal" w:hAnsi="PP Neue Montreal"/>
          <w:color w:val="000000" w:themeColor="text1"/>
          <w:sz w:val="22"/>
          <w:szCs w:val="22"/>
        </w:rPr>
        <w:t>measurable economic value</w:t>
      </w:r>
      <w:r w:rsidR="23666B26" w:rsidRPr="6FB891D8">
        <w:rPr>
          <w:rFonts w:ascii="PP Neue Montreal" w:hAnsi="PP Neue Montreal"/>
          <w:color w:val="000000" w:themeColor="text1"/>
          <w:sz w:val="22"/>
          <w:szCs w:val="22"/>
        </w:rPr>
        <w:t xml:space="preserve">. </w:t>
      </w:r>
      <w:r w:rsidR="3FB6D432" w:rsidRPr="6FB891D8">
        <w:rPr>
          <w:rFonts w:ascii="PP Neue Montreal" w:hAnsi="PP Neue Montreal"/>
          <w:color w:val="000000" w:themeColor="text1"/>
          <w:sz w:val="22"/>
          <w:szCs w:val="22"/>
        </w:rPr>
        <w:t xml:space="preserve">It </w:t>
      </w:r>
      <w:r w:rsidR="71385437" w:rsidRPr="6FB891D8">
        <w:rPr>
          <w:rFonts w:ascii="PP Neue Montreal" w:hAnsi="PP Neue Montreal"/>
          <w:color w:val="000000" w:themeColor="text1"/>
          <w:sz w:val="22"/>
          <w:szCs w:val="22"/>
        </w:rPr>
        <w:t>highlights</w:t>
      </w:r>
      <w:r w:rsidR="3FB6D432" w:rsidRPr="6FB891D8">
        <w:rPr>
          <w:rFonts w:ascii="PP Neue Montreal" w:hAnsi="PP Neue Montreal"/>
          <w:color w:val="000000" w:themeColor="text1"/>
          <w:sz w:val="22"/>
          <w:szCs w:val="22"/>
        </w:rPr>
        <w:t xml:space="preserve"> examples of revenue generation</w:t>
      </w:r>
      <w:r w:rsidRPr="6FB891D8">
        <w:rPr>
          <w:rFonts w:ascii="PP Neue Montreal" w:hAnsi="PP Neue Montreal"/>
          <w:color w:val="000000" w:themeColor="text1"/>
          <w:sz w:val="22"/>
          <w:szCs w:val="22"/>
        </w:rPr>
        <w:t xml:space="preserve"> </w:t>
      </w:r>
      <w:r w:rsidR="2C33708D" w:rsidRPr="6FB891D8">
        <w:rPr>
          <w:rFonts w:ascii="PP Neue Montreal" w:hAnsi="PP Neue Montreal"/>
          <w:color w:val="000000" w:themeColor="text1"/>
          <w:sz w:val="22"/>
          <w:szCs w:val="22"/>
        </w:rPr>
        <w:t>and</w:t>
      </w:r>
      <w:r w:rsidRPr="6FB891D8">
        <w:rPr>
          <w:rFonts w:ascii="PP Neue Montreal" w:hAnsi="PP Neue Montreal"/>
          <w:color w:val="000000" w:themeColor="text1"/>
          <w:sz w:val="22"/>
          <w:szCs w:val="22"/>
        </w:rPr>
        <w:t xml:space="preserve"> cost reduction</w:t>
      </w:r>
      <w:r w:rsidR="3B8BE77B" w:rsidRPr="6FB891D8">
        <w:rPr>
          <w:rFonts w:ascii="PP Neue Montreal" w:hAnsi="PP Neue Montreal"/>
          <w:color w:val="000000" w:themeColor="text1"/>
          <w:sz w:val="22"/>
          <w:szCs w:val="22"/>
        </w:rPr>
        <w:t xml:space="preserve"> </w:t>
      </w:r>
      <w:r w:rsidRPr="6FB891D8">
        <w:rPr>
          <w:rFonts w:ascii="PP Neue Montreal" w:hAnsi="PP Neue Montreal"/>
          <w:color w:val="000000" w:themeColor="text1"/>
          <w:sz w:val="22"/>
          <w:szCs w:val="22"/>
        </w:rPr>
        <w:t>opportunities</w:t>
      </w:r>
      <w:r w:rsidR="3B8BE77B" w:rsidRPr="6FB891D8">
        <w:rPr>
          <w:rFonts w:ascii="PP Neue Montreal" w:hAnsi="PP Neue Montreal"/>
          <w:color w:val="000000" w:themeColor="text1"/>
          <w:sz w:val="22"/>
          <w:szCs w:val="22"/>
        </w:rPr>
        <w:t xml:space="preserve"> </w:t>
      </w:r>
      <w:r w:rsidR="71385437" w:rsidRPr="6FB891D8">
        <w:rPr>
          <w:rFonts w:ascii="PP Neue Montreal" w:hAnsi="PP Neue Montreal"/>
          <w:color w:val="000000" w:themeColor="text1"/>
          <w:sz w:val="22"/>
          <w:szCs w:val="22"/>
        </w:rPr>
        <w:t xml:space="preserve">enabled by the platform, </w:t>
      </w:r>
      <w:r w:rsidR="3B8BE77B" w:rsidRPr="6FB891D8">
        <w:rPr>
          <w:rFonts w:ascii="PP Neue Montreal" w:hAnsi="PP Neue Montreal"/>
          <w:color w:val="000000" w:themeColor="text1"/>
          <w:sz w:val="22"/>
          <w:szCs w:val="22"/>
        </w:rPr>
        <w:t xml:space="preserve">and downstream margin </w:t>
      </w:r>
      <w:r w:rsidR="71385437" w:rsidRPr="6FB891D8">
        <w:rPr>
          <w:rFonts w:ascii="PP Neue Montreal" w:hAnsi="PP Neue Montreal"/>
          <w:color w:val="000000" w:themeColor="text1"/>
          <w:sz w:val="22"/>
          <w:szCs w:val="22"/>
        </w:rPr>
        <w:t>enhancement</w:t>
      </w:r>
      <w:r w:rsidR="3B8BE77B" w:rsidRPr="6FB891D8">
        <w:rPr>
          <w:rFonts w:ascii="PP Neue Montreal" w:hAnsi="PP Neue Montreal"/>
          <w:color w:val="000000" w:themeColor="text1"/>
          <w:sz w:val="22"/>
          <w:szCs w:val="22"/>
        </w:rPr>
        <w:t>, as well as a framework for validat</w:t>
      </w:r>
      <w:r w:rsidR="5B3EE8F6" w:rsidRPr="6FB891D8">
        <w:rPr>
          <w:rFonts w:ascii="PP Neue Montreal" w:hAnsi="PP Neue Montreal"/>
          <w:color w:val="000000" w:themeColor="text1"/>
          <w:sz w:val="22"/>
          <w:szCs w:val="22"/>
        </w:rPr>
        <w:t xml:space="preserve">ing </w:t>
      </w:r>
      <w:r w:rsidR="3B8BE77B" w:rsidRPr="6FB891D8">
        <w:rPr>
          <w:rFonts w:ascii="PP Neue Montreal" w:hAnsi="PP Neue Montreal"/>
          <w:color w:val="000000" w:themeColor="text1"/>
          <w:sz w:val="22"/>
          <w:szCs w:val="22"/>
        </w:rPr>
        <w:t>these</w:t>
      </w:r>
      <w:r w:rsidRPr="6FB891D8">
        <w:rPr>
          <w:rFonts w:ascii="PP Neue Montreal" w:hAnsi="PP Neue Montreal"/>
          <w:color w:val="000000" w:themeColor="text1"/>
          <w:sz w:val="22"/>
          <w:szCs w:val="22"/>
        </w:rPr>
        <w:t xml:space="preserve"> assumptions </w:t>
      </w:r>
      <w:r w:rsidR="3B8BE77B" w:rsidRPr="6FB891D8">
        <w:rPr>
          <w:rFonts w:ascii="PP Neue Montreal" w:hAnsi="PP Neue Montreal"/>
          <w:color w:val="000000" w:themeColor="text1"/>
          <w:sz w:val="22"/>
          <w:szCs w:val="22"/>
        </w:rPr>
        <w:t>in</w:t>
      </w:r>
      <w:r w:rsidR="3B8BE77B" w:rsidRPr="6FB891D8">
        <w:rPr>
          <w:rFonts w:ascii="-webkit-standard" w:hAnsi="-webkit-standard"/>
          <w:color w:val="000000" w:themeColor="text1"/>
          <w:sz w:val="27"/>
          <w:szCs w:val="27"/>
        </w:rPr>
        <w:t xml:space="preserve"> </w:t>
      </w:r>
      <w:r w:rsidRPr="6FB891D8">
        <w:rPr>
          <w:rFonts w:ascii="PP Neue Montreal" w:hAnsi="PP Neue Montreal"/>
          <w:color w:val="000000" w:themeColor="text1"/>
          <w:sz w:val="22"/>
          <w:szCs w:val="22"/>
        </w:rPr>
        <w:t xml:space="preserve">our </w:t>
      </w:r>
      <w:r w:rsidR="5B3EE8F6" w:rsidRPr="6FB891D8">
        <w:rPr>
          <w:rFonts w:ascii="PP Neue Montreal" w:hAnsi="PP Neue Montreal"/>
          <w:color w:val="000000" w:themeColor="text1"/>
          <w:sz w:val="22"/>
          <w:szCs w:val="22"/>
        </w:rPr>
        <w:t>initial</w:t>
      </w:r>
      <w:r w:rsidRPr="6FB891D8">
        <w:rPr>
          <w:rFonts w:ascii="PP Neue Montreal" w:hAnsi="PP Neue Montreal"/>
          <w:color w:val="000000" w:themeColor="text1"/>
          <w:sz w:val="22"/>
          <w:szCs w:val="22"/>
        </w:rPr>
        <w:t xml:space="preserve"> </w:t>
      </w:r>
      <w:r w:rsidR="3B8BE77B" w:rsidRPr="6FB891D8">
        <w:rPr>
          <w:rFonts w:ascii="PP Neue Montreal" w:hAnsi="PP Neue Montreal"/>
          <w:color w:val="000000" w:themeColor="text1"/>
          <w:sz w:val="22"/>
          <w:szCs w:val="22"/>
        </w:rPr>
        <w:t xml:space="preserve">pilot programs with </w:t>
      </w:r>
      <w:r w:rsidRPr="6FB891D8">
        <w:rPr>
          <w:rFonts w:ascii="PP Neue Montreal" w:hAnsi="PP Neue Montreal"/>
          <w:color w:val="000000" w:themeColor="text1"/>
          <w:sz w:val="22"/>
          <w:szCs w:val="22"/>
        </w:rPr>
        <w:t>UMass and Duke.</w:t>
      </w:r>
      <w:r w:rsidR="3635D60C" w:rsidRPr="52473429">
        <w:rPr>
          <w:rFonts w:ascii="PP Neue Montreal" w:hAnsi="PP Neue Montreal"/>
          <w:color w:val="000000" w:themeColor="text1"/>
          <w:sz w:val="22"/>
          <w:szCs w:val="22"/>
        </w:rPr>
        <w:t xml:space="preserve"> This memo also describes how we will measure health system value. Finally, we provide a framework for </w:t>
      </w:r>
      <w:r w:rsidR="2FEE6824" w:rsidRPr="52473429">
        <w:rPr>
          <w:rFonts w:ascii="PP Neue Montreal" w:hAnsi="PP Neue Montreal"/>
          <w:color w:val="000000" w:themeColor="text1"/>
          <w:sz w:val="22"/>
          <w:szCs w:val="22"/>
        </w:rPr>
        <w:t>options on</w:t>
      </w:r>
      <w:r w:rsidR="3635D60C" w:rsidRPr="52473429">
        <w:rPr>
          <w:rFonts w:ascii="PP Neue Montreal" w:hAnsi="PP Neue Montreal"/>
          <w:color w:val="000000" w:themeColor="text1"/>
          <w:sz w:val="22"/>
          <w:szCs w:val="22"/>
        </w:rPr>
        <w:t xml:space="preserve"> how Cordance will </w:t>
      </w:r>
      <w:r w:rsidR="5777FB54" w:rsidRPr="52473429">
        <w:rPr>
          <w:rFonts w:ascii="PP Neue Montreal" w:hAnsi="PP Neue Montreal"/>
          <w:color w:val="000000" w:themeColor="text1"/>
          <w:sz w:val="22"/>
          <w:szCs w:val="22"/>
        </w:rPr>
        <w:t>turn the health system value creation into revenue.</w:t>
      </w:r>
    </w:p>
    <w:p w14:paraId="2CCCBB36" w14:textId="5549C4A9" w:rsidR="001718B1" w:rsidRPr="00A50C83" w:rsidRDefault="00447643" w:rsidP="00081E7E">
      <w:pPr>
        <w:pStyle w:val="TOC1"/>
      </w:pPr>
      <w:r w:rsidRPr="00A50C83">
        <w:t>Table of Contents</w:t>
      </w:r>
      <w:r w:rsidR="007B185A" w:rsidRPr="006B31FC">
        <w:fldChar w:fldCharType="begin"/>
      </w:r>
      <w:r w:rsidR="007B185A" w:rsidRPr="00A50C83">
        <w:instrText xml:space="preserve"> TOC \o "3-3" \f \h \z </w:instrText>
      </w:r>
      <w:r w:rsidR="007B185A" w:rsidRPr="006B31FC">
        <w:fldChar w:fldCharType="separate"/>
      </w:r>
      <w:r w:rsidR="001718B1" w:rsidRPr="006B31FC">
        <w:fldChar w:fldCharType="begin"/>
      </w:r>
      <w:r w:rsidR="001718B1" w:rsidRPr="00A50C83">
        <w:instrText xml:space="preserve"> TOC \o "3-3" \f \h \z \u </w:instrText>
      </w:r>
      <w:r w:rsidR="001718B1" w:rsidRPr="006B31FC">
        <w:fldChar w:fldCharType="separate"/>
      </w:r>
    </w:p>
    <w:p w14:paraId="4536CEC6" w14:textId="042B1417" w:rsidR="001718B1" w:rsidRPr="00996CDF" w:rsidRDefault="001718B1" w:rsidP="00081E7E">
      <w:pPr>
        <w:pStyle w:val="TOC1"/>
        <w:rPr>
          <w:rFonts w:eastAsiaTheme="minorEastAsia"/>
          <w:b/>
          <w:bCs/>
          <w:i w:val="0"/>
          <w:iCs w:val="0"/>
          <w:caps/>
          <w:color w:val="000000" w:themeColor="text1"/>
        </w:rPr>
      </w:pPr>
      <w:hyperlink w:anchor="_Toc210111401" w:history="1">
        <w:r w:rsidRPr="00996CDF">
          <w:rPr>
            <w:rStyle w:val="Hyperlink"/>
            <w:i w:val="0"/>
            <w:iCs w:val="0"/>
            <w:color w:val="000000" w:themeColor="text1"/>
          </w:rPr>
          <w:t>1. ROI Summary</w:t>
        </w:r>
        <w:r w:rsidRPr="00996CDF">
          <w:rPr>
            <w:i w:val="0"/>
            <w:iCs w:val="0"/>
            <w:webHidden/>
            <w:color w:val="000000" w:themeColor="text1"/>
          </w:rPr>
          <w:tab/>
        </w:r>
        <w:r w:rsidRPr="00996CDF">
          <w:rPr>
            <w:b/>
            <w:bCs/>
            <w:i w:val="0"/>
            <w:iCs w:val="0"/>
            <w:webHidden/>
            <w:color w:val="000000" w:themeColor="text1"/>
          </w:rPr>
          <w:fldChar w:fldCharType="begin"/>
        </w:r>
        <w:r w:rsidRPr="00996CDF">
          <w:rPr>
            <w:i w:val="0"/>
            <w:iCs w:val="0"/>
            <w:webHidden/>
            <w:color w:val="000000" w:themeColor="text1"/>
          </w:rPr>
          <w:instrText xml:space="preserve"> PAGEREF _Toc210111401 \h </w:instrText>
        </w:r>
        <w:r w:rsidRPr="00996CDF">
          <w:rPr>
            <w:b/>
            <w:bCs/>
            <w:i w:val="0"/>
            <w:iCs w:val="0"/>
            <w:webHidden/>
            <w:color w:val="000000" w:themeColor="text1"/>
          </w:rPr>
        </w:r>
        <w:r w:rsidRPr="00996CDF">
          <w:rPr>
            <w:b/>
            <w:bCs/>
            <w:i w:val="0"/>
            <w:iCs w:val="0"/>
            <w:webHidden/>
            <w:color w:val="000000" w:themeColor="text1"/>
          </w:rPr>
          <w:fldChar w:fldCharType="separate"/>
        </w:r>
        <w:r w:rsidR="009F3360">
          <w:rPr>
            <w:i w:val="0"/>
            <w:iCs w:val="0"/>
            <w:webHidden/>
            <w:color w:val="000000" w:themeColor="text1"/>
          </w:rPr>
          <w:t>1</w:t>
        </w:r>
        <w:r w:rsidRPr="00996CDF">
          <w:rPr>
            <w:b/>
            <w:bCs/>
            <w:i w:val="0"/>
            <w:iCs w:val="0"/>
            <w:webHidden/>
            <w:color w:val="000000" w:themeColor="text1"/>
          </w:rPr>
          <w:fldChar w:fldCharType="end"/>
        </w:r>
      </w:hyperlink>
    </w:p>
    <w:p w14:paraId="62A758B2" w14:textId="71BAAAA3" w:rsidR="001718B1" w:rsidRPr="00996CDF" w:rsidRDefault="001718B1" w:rsidP="00081E7E">
      <w:pPr>
        <w:pStyle w:val="TOC1"/>
        <w:rPr>
          <w:rFonts w:eastAsiaTheme="minorEastAsia"/>
          <w:b/>
          <w:bCs/>
          <w:i w:val="0"/>
          <w:iCs w:val="0"/>
          <w:caps/>
          <w:color w:val="000000" w:themeColor="text1"/>
        </w:rPr>
      </w:pPr>
      <w:hyperlink w:anchor="_Toc210111402" w:history="1">
        <w:r w:rsidRPr="00996CDF">
          <w:rPr>
            <w:rStyle w:val="Hyperlink"/>
            <w:i w:val="0"/>
            <w:iCs w:val="0"/>
            <w:color w:val="000000" w:themeColor="text1"/>
          </w:rPr>
          <w:t>2. Method to Assess Value</w:t>
        </w:r>
        <w:r w:rsidRPr="00996CDF">
          <w:rPr>
            <w:i w:val="0"/>
            <w:iCs w:val="0"/>
            <w:webHidden/>
            <w:color w:val="000000" w:themeColor="text1"/>
          </w:rPr>
          <w:tab/>
        </w:r>
        <w:r w:rsidRPr="00996CDF">
          <w:rPr>
            <w:b/>
            <w:bCs/>
            <w:i w:val="0"/>
            <w:iCs w:val="0"/>
            <w:webHidden/>
            <w:color w:val="000000" w:themeColor="text1"/>
          </w:rPr>
          <w:fldChar w:fldCharType="begin"/>
        </w:r>
        <w:r w:rsidRPr="00996CDF">
          <w:rPr>
            <w:i w:val="0"/>
            <w:iCs w:val="0"/>
            <w:webHidden/>
            <w:color w:val="000000" w:themeColor="text1"/>
          </w:rPr>
          <w:instrText xml:space="preserve"> PAGEREF _Toc210111402 \h </w:instrText>
        </w:r>
        <w:r w:rsidRPr="00996CDF">
          <w:rPr>
            <w:b/>
            <w:bCs/>
            <w:i w:val="0"/>
            <w:iCs w:val="0"/>
            <w:webHidden/>
            <w:color w:val="000000" w:themeColor="text1"/>
          </w:rPr>
        </w:r>
        <w:r w:rsidRPr="00996CDF">
          <w:rPr>
            <w:b/>
            <w:bCs/>
            <w:i w:val="0"/>
            <w:iCs w:val="0"/>
            <w:webHidden/>
            <w:color w:val="000000" w:themeColor="text1"/>
          </w:rPr>
          <w:fldChar w:fldCharType="separate"/>
        </w:r>
        <w:r w:rsidR="009F3360">
          <w:rPr>
            <w:i w:val="0"/>
            <w:iCs w:val="0"/>
            <w:webHidden/>
            <w:color w:val="000000" w:themeColor="text1"/>
          </w:rPr>
          <w:t>3</w:t>
        </w:r>
        <w:r w:rsidRPr="00996CDF">
          <w:rPr>
            <w:b/>
            <w:bCs/>
            <w:i w:val="0"/>
            <w:iCs w:val="0"/>
            <w:webHidden/>
            <w:color w:val="000000" w:themeColor="text1"/>
          </w:rPr>
          <w:fldChar w:fldCharType="end"/>
        </w:r>
      </w:hyperlink>
    </w:p>
    <w:p w14:paraId="49028B8A" w14:textId="747F69DD" w:rsidR="001718B1" w:rsidRPr="00996CDF" w:rsidRDefault="001718B1" w:rsidP="00081E7E">
      <w:pPr>
        <w:pStyle w:val="TOC1"/>
        <w:rPr>
          <w:rFonts w:eastAsiaTheme="minorEastAsia"/>
          <w:b/>
          <w:bCs/>
          <w:i w:val="0"/>
          <w:iCs w:val="0"/>
          <w:caps/>
          <w:color w:val="000000" w:themeColor="text1"/>
        </w:rPr>
      </w:pPr>
      <w:hyperlink w:anchor="_Toc210111403" w:history="1">
        <w:r w:rsidRPr="00996CDF">
          <w:rPr>
            <w:rStyle w:val="Hyperlink"/>
            <w:i w:val="0"/>
            <w:iCs w:val="0"/>
            <w:color w:val="000000" w:themeColor="text1"/>
          </w:rPr>
          <w:t>3. Approach to Pricing</w:t>
        </w:r>
        <w:r w:rsidRPr="00996CDF">
          <w:rPr>
            <w:i w:val="0"/>
            <w:iCs w:val="0"/>
            <w:webHidden/>
            <w:color w:val="000000" w:themeColor="text1"/>
          </w:rPr>
          <w:tab/>
        </w:r>
        <w:r w:rsidRPr="00996CDF">
          <w:rPr>
            <w:b/>
            <w:bCs/>
            <w:i w:val="0"/>
            <w:iCs w:val="0"/>
            <w:webHidden/>
            <w:color w:val="000000" w:themeColor="text1"/>
          </w:rPr>
          <w:fldChar w:fldCharType="begin"/>
        </w:r>
        <w:r w:rsidRPr="00996CDF">
          <w:rPr>
            <w:i w:val="0"/>
            <w:iCs w:val="0"/>
            <w:webHidden/>
            <w:color w:val="000000" w:themeColor="text1"/>
          </w:rPr>
          <w:instrText xml:space="preserve"> PAGEREF _Toc210111403 \h </w:instrText>
        </w:r>
        <w:r w:rsidRPr="00996CDF">
          <w:rPr>
            <w:b/>
            <w:bCs/>
            <w:i w:val="0"/>
            <w:iCs w:val="0"/>
            <w:webHidden/>
            <w:color w:val="000000" w:themeColor="text1"/>
          </w:rPr>
        </w:r>
        <w:r w:rsidRPr="00996CDF">
          <w:rPr>
            <w:b/>
            <w:bCs/>
            <w:i w:val="0"/>
            <w:iCs w:val="0"/>
            <w:webHidden/>
            <w:color w:val="000000" w:themeColor="text1"/>
          </w:rPr>
          <w:fldChar w:fldCharType="separate"/>
        </w:r>
        <w:r w:rsidR="009F3360">
          <w:rPr>
            <w:i w:val="0"/>
            <w:iCs w:val="0"/>
            <w:webHidden/>
            <w:color w:val="000000" w:themeColor="text1"/>
          </w:rPr>
          <w:t>4</w:t>
        </w:r>
        <w:r w:rsidRPr="00996CDF">
          <w:rPr>
            <w:b/>
            <w:bCs/>
            <w:i w:val="0"/>
            <w:iCs w:val="0"/>
            <w:webHidden/>
            <w:color w:val="000000" w:themeColor="text1"/>
          </w:rPr>
          <w:fldChar w:fldCharType="end"/>
        </w:r>
      </w:hyperlink>
    </w:p>
    <w:p w14:paraId="01B01609" w14:textId="30172449" w:rsidR="001718B1" w:rsidRPr="00996CDF" w:rsidRDefault="001718B1" w:rsidP="00081E7E">
      <w:pPr>
        <w:pStyle w:val="TOC1"/>
        <w:rPr>
          <w:rFonts w:eastAsiaTheme="minorEastAsia"/>
          <w:b/>
          <w:bCs/>
          <w:i w:val="0"/>
          <w:iCs w:val="0"/>
          <w:caps/>
          <w:color w:val="000000" w:themeColor="text1"/>
        </w:rPr>
      </w:pPr>
      <w:hyperlink w:anchor="_Toc210111404" w:history="1">
        <w:r w:rsidRPr="00996CDF">
          <w:rPr>
            <w:rStyle w:val="Hyperlink"/>
            <w:i w:val="0"/>
            <w:iCs w:val="0"/>
            <w:color w:val="000000" w:themeColor="text1"/>
          </w:rPr>
          <w:t>4. Appendix - Detailed ROI Analysis</w:t>
        </w:r>
        <w:r w:rsidRPr="00996CDF">
          <w:rPr>
            <w:i w:val="0"/>
            <w:iCs w:val="0"/>
            <w:webHidden/>
            <w:color w:val="000000" w:themeColor="text1"/>
          </w:rPr>
          <w:tab/>
        </w:r>
        <w:r w:rsidRPr="00996CDF">
          <w:rPr>
            <w:b/>
            <w:bCs/>
            <w:i w:val="0"/>
            <w:iCs w:val="0"/>
            <w:webHidden/>
            <w:color w:val="000000" w:themeColor="text1"/>
          </w:rPr>
          <w:fldChar w:fldCharType="begin"/>
        </w:r>
        <w:r w:rsidRPr="00996CDF">
          <w:rPr>
            <w:i w:val="0"/>
            <w:iCs w:val="0"/>
            <w:webHidden/>
            <w:color w:val="000000" w:themeColor="text1"/>
          </w:rPr>
          <w:instrText xml:space="preserve"> PAGEREF _Toc210111404 \h </w:instrText>
        </w:r>
        <w:r w:rsidRPr="00996CDF">
          <w:rPr>
            <w:b/>
            <w:bCs/>
            <w:i w:val="0"/>
            <w:iCs w:val="0"/>
            <w:webHidden/>
            <w:color w:val="000000" w:themeColor="text1"/>
          </w:rPr>
        </w:r>
        <w:r w:rsidRPr="00996CDF">
          <w:rPr>
            <w:b/>
            <w:bCs/>
            <w:i w:val="0"/>
            <w:iCs w:val="0"/>
            <w:webHidden/>
            <w:color w:val="000000" w:themeColor="text1"/>
          </w:rPr>
          <w:fldChar w:fldCharType="separate"/>
        </w:r>
        <w:r w:rsidR="009F3360">
          <w:rPr>
            <w:i w:val="0"/>
            <w:iCs w:val="0"/>
            <w:webHidden/>
            <w:color w:val="000000" w:themeColor="text1"/>
          </w:rPr>
          <w:t>6</w:t>
        </w:r>
        <w:r w:rsidRPr="00996CDF">
          <w:rPr>
            <w:b/>
            <w:bCs/>
            <w:i w:val="0"/>
            <w:iCs w:val="0"/>
            <w:webHidden/>
            <w:color w:val="000000" w:themeColor="text1"/>
          </w:rPr>
          <w:fldChar w:fldCharType="end"/>
        </w:r>
      </w:hyperlink>
    </w:p>
    <w:p w14:paraId="3D8A80D9" w14:textId="35EE69E0" w:rsidR="007E29CF" w:rsidRPr="00891B55" w:rsidRDefault="001718B1" w:rsidP="009064B7">
      <w:pPr>
        <w:pStyle w:val="TOC1"/>
      </w:pPr>
      <w:r w:rsidRPr="006B31FC">
        <w:rPr>
          <w:rStyle w:val="Hyperlink"/>
          <w:color w:val="156082" w:themeColor="accent1"/>
        </w:rPr>
        <w:fldChar w:fldCharType="end"/>
      </w:r>
      <w:r w:rsidR="007B185A" w:rsidRPr="006B31FC">
        <w:fldChar w:fldCharType="end"/>
      </w:r>
    </w:p>
    <w:p w14:paraId="2C229F4D" w14:textId="32A3891D" w:rsidR="00FA28BC" w:rsidRPr="00C61346" w:rsidRDefault="00AD4B62" w:rsidP="00C61346">
      <w:r w:rsidRPr="00BA6488">
        <w:rPr>
          <w:rFonts w:ascii="IvyPresto Display Thin" w:eastAsiaTheme="majorEastAsia" w:hAnsi="IvyPresto Display Thin" w:cs="IvyPresto Display Thin"/>
          <w:b/>
          <w:iCs/>
          <w:color w:val="4C94D8" w:themeColor="text2" w:themeTint="80"/>
          <w:sz w:val="32"/>
          <w:szCs w:val="32"/>
        </w:rPr>
        <w:t>1.</w:t>
      </w:r>
      <w:r w:rsidRPr="00BA6488">
        <w:rPr>
          <w:rFonts w:ascii="IvyPresto Display Thin" w:eastAsiaTheme="majorEastAsia" w:hAnsi="IvyPresto Display Thin" w:cs="IvyPresto Display Thin"/>
          <w:b/>
          <w:i/>
          <w:color w:val="4C94D8" w:themeColor="text2" w:themeTint="80"/>
          <w:sz w:val="32"/>
          <w:szCs w:val="32"/>
        </w:rPr>
        <w:t xml:space="preserve"> </w:t>
      </w:r>
      <w:r w:rsidR="00286E83" w:rsidRPr="00BA6488">
        <w:rPr>
          <w:rFonts w:ascii="IvyPresto Display Thin" w:eastAsiaTheme="majorEastAsia" w:hAnsi="IvyPresto Display Thin" w:cs="IvyPresto Display Thin"/>
          <w:b/>
          <w:i/>
          <w:color w:val="4C94D8" w:themeColor="text2" w:themeTint="80"/>
          <w:sz w:val="32"/>
          <w:szCs w:val="32"/>
        </w:rPr>
        <w:t>Cordance</w:t>
      </w:r>
      <w:r w:rsidRPr="00BA6488">
        <w:rPr>
          <w:rFonts w:ascii="IvyPresto Display Thin" w:eastAsiaTheme="majorEastAsia" w:hAnsi="IvyPresto Display Thin" w:cs="IvyPresto Display Thin"/>
          <w:b/>
          <w:i/>
          <w:color w:val="4C94D8" w:themeColor="text2" w:themeTint="80"/>
          <w:sz w:val="32"/>
          <w:szCs w:val="32"/>
        </w:rPr>
        <w:t>’s</w:t>
      </w:r>
      <w:r w:rsidR="00286E83" w:rsidRPr="00BA6488">
        <w:rPr>
          <w:rFonts w:ascii="IvyPresto Display Thin" w:eastAsiaTheme="majorEastAsia" w:hAnsi="IvyPresto Display Thin" w:cs="IvyPresto Display Thin"/>
          <w:b/>
          <w:i/>
          <w:color w:val="4C94D8" w:themeColor="text2" w:themeTint="80"/>
          <w:sz w:val="32"/>
          <w:szCs w:val="32"/>
        </w:rPr>
        <w:t xml:space="preserve"> Thesis on ROI for Health Systems</w:t>
      </w:r>
      <w:r w:rsidR="00286E83" w:rsidRPr="5C3DB52D">
        <w:rPr>
          <w:rFonts w:ascii="IvyPresto Display Thin" w:hAnsi="IvyPresto Display Thin" w:cs="IvyPresto Display Thin"/>
          <w:b/>
          <w:bCs/>
          <w:i/>
          <w:iCs/>
          <w:color w:val="4C94D8" w:themeColor="text2" w:themeTint="80"/>
          <w:sz w:val="32"/>
          <w:szCs w:val="32"/>
        </w:rPr>
        <w:t xml:space="preserve"> </w:t>
      </w:r>
      <w:r w:rsidR="00F74031" w:rsidRPr="00BA6488">
        <w:rPr>
          <w:rFonts w:ascii="IvyPresto Display Thin" w:hAnsi="IvyPresto Display Thin" w:cs="IvyPresto Display Thin"/>
          <w:b/>
          <w:bCs/>
          <w:i/>
          <w:iCs/>
          <w:color w:val="4C94D8" w:themeColor="text2" w:themeTint="80"/>
          <w:sz w:val="15"/>
          <w:szCs w:val="15"/>
        </w:rPr>
        <w:fldChar w:fldCharType="begin"/>
      </w:r>
      <w:r w:rsidR="00F74031" w:rsidRPr="00BA6488">
        <w:rPr>
          <w:rFonts w:ascii="IvyPresto Display Thin" w:hAnsi="IvyPresto Display Thin" w:cs="IvyPresto Display Thin"/>
          <w:b/>
          <w:bCs/>
          <w:i/>
          <w:iCs/>
          <w:color w:val="4C94D8" w:themeColor="text2" w:themeTint="80"/>
          <w:sz w:val="15"/>
          <w:szCs w:val="15"/>
        </w:rPr>
        <w:instrText xml:space="preserve"> TC "</w:instrText>
      </w:r>
      <w:bookmarkStart w:id="0" w:name="_Toc210111355"/>
      <w:bookmarkStart w:id="1" w:name="_Toc210111401"/>
      <w:bookmarkStart w:id="2" w:name="_Toc210125533"/>
      <w:r w:rsidR="00F74031" w:rsidRPr="00BA6488">
        <w:rPr>
          <w:rFonts w:ascii="IvyPresto Display Thin" w:hAnsi="IvyPresto Display Thin" w:cs="IvyPresto Display Thin"/>
          <w:b/>
          <w:bCs/>
          <w:i/>
          <w:iCs/>
          <w:color w:val="4C94D8" w:themeColor="text2" w:themeTint="80"/>
          <w:sz w:val="15"/>
          <w:szCs w:val="15"/>
        </w:rPr>
        <w:instrText>1. ROI Summary</w:instrText>
      </w:r>
      <w:bookmarkEnd w:id="0"/>
      <w:bookmarkEnd w:id="1"/>
      <w:bookmarkEnd w:id="2"/>
      <w:r w:rsidR="00F74031" w:rsidRPr="00BA6488">
        <w:rPr>
          <w:rFonts w:ascii="IvyPresto Display Thin" w:hAnsi="IvyPresto Display Thin" w:cs="IvyPresto Display Thin"/>
          <w:b/>
          <w:bCs/>
          <w:i/>
          <w:iCs/>
          <w:color w:val="4C94D8" w:themeColor="text2" w:themeTint="80"/>
          <w:sz w:val="15"/>
          <w:szCs w:val="15"/>
        </w:rPr>
        <w:instrText xml:space="preserve">" </w:instrText>
      </w:r>
      <w:r w:rsidR="00F74031" w:rsidRPr="00BA6488">
        <w:rPr>
          <w:rFonts w:ascii="IvyPresto Display Thin" w:hAnsi="IvyPresto Display Thin" w:cs="IvyPresto Display Thin"/>
          <w:b/>
          <w:bCs/>
          <w:i/>
          <w:iCs/>
          <w:color w:val="4C94D8" w:themeColor="text2" w:themeTint="80"/>
          <w:sz w:val="15"/>
          <w:szCs w:val="15"/>
        </w:rPr>
        <w:fldChar w:fldCharType="end"/>
      </w:r>
    </w:p>
    <w:p w14:paraId="262C23EB" w14:textId="5A49D23C" w:rsidR="39F89276" w:rsidRDefault="002E02EB" w:rsidP="00375C8A">
      <w:pPr>
        <w:spacing w:before="100" w:beforeAutospacing="1" w:after="100" w:afterAutospacing="1"/>
        <w:rPr>
          <w:rFonts w:ascii="PP Neue Montreal" w:hAnsi="PP Neue Montreal"/>
          <w:color w:val="000000" w:themeColor="text1"/>
          <w:sz w:val="22"/>
          <w:szCs w:val="22"/>
        </w:rPr>
      </w:pPr>
      <w:r w:rsidRPr="5C3DB52D">
        <w:rPr>
          <w:rFonts w:ascii="PP Neue Montreal" w:hAnsi="PP Neue Montreal"/>
          <w:color w:val="000000" w:themeColor="text1"/>
          <w:sz w:val="22"/>
          <w:szCs w:val="22"/>
        </w:rPr>
        <w:t xml:space="preserve">Cordance </w:t>
      </w:r>
      <w:r w:rsidR="61605138" w:rsidRPr="5C3DB52D">
        <w:rPr>
          <w:rFonts w:ascii="PP Neue Montreal" w:hAnsi="PP Neue Montreal"/>
          <w:color w:val="000000" w:themeColor="text1"/>
          <w:sz w:val="22"/>
          <w:szCs w:val="22"/>
        </w:rPr>
        <w:t xml:space="preserve">provides both non-economic and economic value to health systems. We are focused here on the mechanisms by which </w:t>
      </w:r>
      <w:r w:rsidR="42090CF4" w:rsidRPr="5C3DB52D">
        <w:rPr>
          <w:rFonts w:ascii="PP Neue Montreal" w:hAnsi="PP Neue Montreal"/>
          <w:color w:val="000000" w:themeColor="text1"/>
          <w:sz w:val="22"/>
          <w:szCs w:val="22"/>
        </w:rPr>
        <w:t xml:space="preserve">Cordance </w:t>
      </w:r>
      <w:r w:rsidRPr="5C3DB52D">
        <w:rPr>
          <w:rFonts w:ascii="PP Neue Montreal" w:hAnsi="PP Neue Montreal"/>
          <w:color w:val="000000" w:themeColor="text1"/>
          <w:sz w:val="22"/>
          <w:szCs w:val="22"/>
        </w:rPr>
        <w:t>improve</w:t>
      </w:r>
      <w:r w:rsidR="0F6EAAED" w:rsidRPr="5C3DB52D">
        <w:rPr>
          <w:rFonts w:ascii="PP Neue Montreal" w:hAnsi="PP Neue Montreal"/>
          <w:color w:val="000000" w:themeColor="text1"/>
          <w:sz w:val="22"/>
          <w:szCs w:val="22"/>
        </w:rPr>
        <w:t>s</w:t>
      </w:r>
      <w:r w:rsidRPr="5C3DB52D">
        <w:rPr>
          <w:rFonts w:ascii="PP Neue Montreal" w:hAnsi="PP Neue Montreal"/>
          <w:color w:val="000000" w:themeColor="text1"/>
          <w:sz w:val="22"/>
          <w:szCs w:val="22"/>
        </w:rPr>
        <w:t xml:space="preserve"> health system economics by influencing physician decision-making at the point of care. </w:t>
      </w:r>
      <w:r w:rsidR="32152FF8" w:rsidRPr="39F89276">
        <w:rPr>
          <w:rFonts w:ascii="PP Neue Montreal" w:hAnsi="PP Neue Montreal"/>
          <w:color w:val="000000" w:themeColor="text1"/>
          <w:sz w:val="22"/>
          <w:szCs w:val="22"/>
        </w:rPr>
        <w:t xml:space="preserve">Unlike other CDS tools, </w:t>
      </w:r>
      <w:r w:rsidR="00EC1DDE" w:rsidRPr="5C3DB52D">
        <w:rPr>
          <w:rFonts w:ascii="PP Neue Montreal" w:hAnsi="PP Neue Montreal"/>
          <w:color w:val="000000" w:themeColor="text1"/>
          <w:sz w:val="22"/>
          <w:szCs w:val="22"/>
        </w:rPr>
        <w:t>Cordance</w:t>
      </w:r>
      <w:r w:rsidRPr="5C3DB52D">
        <w:rPr>
          <w:rFonts w:ascii="PP Neue Montreal" w:hAnsi="PP Neue Montreal"/>
          <w:color w:val="000000" w:themeColor="text1"/>
          <w:sz w:val="22"/>
          <w:szCs w:val="22"/>
        </w:rPr>
        <w:t xml:space="preserve"> </w:t>
      </w:r>
      <w:r w:rsidR="61622BD5" w:rsidRPr="5C3DB52D">
        <w:rPr>
          <w:rFonts w:ascii="PP Neue Montreal" w:hAnsi="PP Neue Montreal"/>
          <w:color w:val="000000" w:themeColor="text1"/>
          <w:sz w:val="22"/>
          <w:szCs w:val="22"/>
        </w:rPr>
        <w:t>incorporates local policies and preferred actions into its recommendations for test ordering, therapeutics, and referrals</w:t>
      </w:r>
      <w:r w:rsidR="009763B6" w:rsidRPr="5C3DB52D">
        <w:rPr>
          <w:rFonts w:ascii="PP Neue Montreal" w:hAnsi="PP Neue Montreal"/>
          <w:color w:val="000000" w:themeColor="text1"/>
          <w:sz w:val="22"/>
          <w:szCs w:val="22"/>
        </w:rPr>
        <w:t xml:space="preserve">. </w:t>
      </w:r>
      <w:r w:rsidR="4CB86613" w:rsidRPr="5C3DB52D">
        <w:rPr>
          <w:rFonts w:ascii="PP Neue Montreal" w:hAnsi="PP Neue Montreal"/>
          <w:color w:val="000000" w:themeColor="text1"/>
          <w:sz w:val="22"/>
          <w:szCs w:val="22"/>
        </w:rPr>
        <w:t>Using both asynchronous and synchronous approaches, Cordance</w:t>
      </w:r>
      <w:r w:rsidR="009763B6" w:rsidRPr="5C3DB52D">
        <w:rPr>
          <w:rFonts w:ascii="PP Neue Montreal" w:hAnsi="PP Neue Montreal"/>
          <w:color w:val="000000" w:themeColor="text1"/>
          <w:sz w:val="22"/>
          <w:szCs w:val="22"/>
        </w:rPr>
        <w:t xml:space="preserve"> </w:t>
      </w:r>
      <w:r w:rsidR="73E36EF6" w:rsidRPr="5C3DB52D">
        <w:rPr>
          <w:rFonts w:ascii="PP Neue Montreal" w:hAnsi="PP Neue Montreal"/>
          <w:color w:val="000000" w:themeColor="text1"/>
          <w:sz w:val="22"/>
          <w:szCs w:val="22"/>
        </w:rPr>
        <w:t xml:space="preserve">exposes </w:t>
      </w:r>
      <w:r w:rsidR="138FA6B7" w:rsidRPr="5186210E">
        <w:rPr>
          <w:rFonts w:ascii="PP Neue Montreal" w:hAnsi="PP Neue Montreal"/>
          <w:color w:val="000000" w:themeColor="text1"/>
          <w:sz w:val="22"/>
          <w:szCs w:val="22"/>
        </w:rPr>
        <w:t xml:space="preserve">those </w:t>
      </w:r>
      <w:r w:rsidR="73E36EF6" w:rsidRPr="5C3DB52D">
        <w:rPr>
          <w:rFonts w:ascii="PP Neue Montreal" w:hAnsi="PP Neue Montreal"/>
          <w:color w:val="000000" w:themeColor="text1"/>
          <w:sz w:val="22"/>
          <w:szCs w:val="22"/>
        </w:rPr>
        <w:t xml:space="preserve">opportunities to </w:t>
      </w:r>
      <w:r w:rsidR="0F445FA1" w:rsidRPr="5186210E">
        <w:rPr>
          <w:rFonts w:ascii="PP Neue Montreal" w:hAnsi="PP Neue Montreal"/>
          <w:color w:val="000000" w:themeColor="text1"/>
          <w:sz w:val="22"/>
          <w:szCs w:val="22"/>
        </w:rPr>
        <w:t>clinician</w:t>
      </w:r>
      <w:r w:rsidR="17B4587D" w:rsidRPr="5186210E">
        <w:rPr>
          <w:rFonts w:ascii="PP Neue Montreal" w:hAnsi="PP Neue Montreal"/>
          <w:color w:val="000000" w:themeColor="text1"/>
          <w:sz w:val="22"/>
          <w:szCs w:val="22"/>
        </w:rPr>
        <w:t>s</w:t>
      </w:r>
      <w:r w:rsidR="0F445FA1" w:rsidRPr="5186210E">
        <w:rPr>
          <w:rFonts w:ascii="PP Neue Montreal" w:hAnsi="PP Neue Montreal"/>
          <w:color w:val="000000" w:themeColor="text1"/>
          <w:sz w:val="22"/>
          <w:szCs w:val="22"/>
        </w:rPr>
        <w:t xml:space="preserve"> </w:t>
      </w:r>
      <w:r w:rsidR="0DC24E8D" w:rsidRPr="5186210E">
        <w:rPr>
          <w:rFonts w:ascii="PP Neue Montreal" w:hAnsi="PP Neue Montreal"/>
          <w:color w:val="000000" w:themeColor="text1"/>
          <w:sz w:val="22"/>
          <w:szCs w:val="22"/>
        </w:rPr>
        <w:t>in order to</w:t>
      </w:r>
      <w:r w:rsidR="009763B6" w:rsidRPr="5C3DB52D">
        <w:rPr>
          <w:rFonts w:ascii="PP Neue Montreal" w:hAnsi="PP Neue Montreal"/>
          <w:color w:val="000000" w:themeColor="text1"/>
          <w:sz w:val="22"/>
          <w:szCs w:val="22"/>
        </w:rPr>
        <w:t xml:space="preserve"> optimize both patient outcomes and </w:t>
      </w:r>
      <w:r w:rsidR="3A159A26" w:rsidRPr="5186210E">
        <w:rPr>
          <w:rFonts w:ascii="PP Neue Montreal" w:hAnsi="PP Neue Montreal"/>
          <w:color w:val="000000" w:themeColor="text1"/>
          <w:sz w:val="22"/>
          <w:szCs w:val="22"/>
        </w:rPr>
        <w:t xml:space="preserve">health system </w:t>
      </w:r>
      <w:r w:rsidR="009763B6" w:rsidRPr="5C3DB52D">
        <w:rPr>
          <w:rFonts w:ascii="PP Neue Montreal" w:hAnsi="PP Neue Montreal"/>
          <w:color w:val="000000" w:themeColor="text1"/>
          <w:sz w:val="22"/>
          <w:szCs w:val="22"/>
        </w:rPr>
        <w:t xml:space="preserve">financial performance. </w:t>
      </w:r>
      <w:r w:rsidR="3BD1C411" w:rsidRPr="5C3DB52D">
        <w:rPr>
          <w:rFonts w:ascii="PP Neue Montreal" w:hAnsi="PP Neue Montreal"/>
          <w:color w:val="000000" w:themeColor="text1"/>
          <w:sz w:val="22"/>
          <w:szCs w:val="22"/>
        </w:rPr>
        <w:t>In addition, the platform allows leadership to understand the financial implications of current practice</w:t>
      </w:r>
      <w:r w:rsidR="4A4D3D04" w:rsidRPr="5C3DB52D">
        <w:rPr>
          <w:rFonts w:ascii="PP Neue Montreal" w:hAnsi="PP Neue Montreal"/>
          <w:color w:val="000000" w:themeColor="text1"/>
          <w:sz w:val="22"/>
          <w:szCs w:val="22"/>
        </w:rPr>
        <w:t xml:space="preserve"> including local variation in practice</w:t>
      </w:r>
      <w:r w:rsidR="3BD1C411" w:rsidRPr="5C3DB52D">
        <w:rPr>
          <w:rFonts w:ascii="PP Neue Montreal" w:hAnsi="PP Neue Montreal"/>
          <w:color w:val="000000" w:themeColor="text1"/>
          <w:sz w:val="22"/>
          <w:szCs w:val="22"/>
        </w:rPr>
        <w:t xml:space="preserve">, project future </w:t>
      </w:r>
      <w:r w:rsidR="0F6B7547" w:rsidRPr="5C3DB52D">
        <w:rPr>
          <w:rFonts w:ascii="PP Neue Montreal" w:hAnsi="PP Neue Montreal"/>
          <w:color w:val="000000" w:themeColor="text1"/>
          <w:sz w:val="22"/>
          <w:szCs w:val="22"/>
        </w:rPr>
        <w:t>economics</w:t>
      </w:r>
      <w:r w:rsidR="3BD1C411" w:rsidRPr="5C3DB52D">
        <w:rPr>
          <w:rFonts w:ascii="PP Neue Montreal" w:hAnsi="PP Neue Montreal"/>
          <w:color w:val="000000" w:themeColor="text1"/>
          <w:sz w:val="22"/>
          <w:szCs w:val="22"/>
        </w:rPr>
        <w:t xml:space="preserve"> under new policies, and track progress towar</w:t>
      </w:r>
      <w:r w:rsidR="60152AA8" w:rsidRPr="5C3DB52D">
        <w:rPr>
          <w:rFonts w:ascii="PP Neue Montreal" w:hAnsi="PP Neue Montreal"/>
          <w:color w:val="000000" w:themeColor="text1"/>
          <w:sz w:val="22"/>
          <w:szCs w:val="22"/>
        </w:rPr>
        <w:t xml:space="preserve">d those goals in real time. </w:t>
      </w:r>
    </w:p>
    <w:p w14:paraId="2427422A" w14:textId="6DA4C850" w:rsidR="07F53485" w:rsidRDefault="3814757E" w:rsidP="003E3C15">
      <w:pPr>
        <w:pBdr>
          <w:top w:val="nil"/>
          <w:left w:val="nil"/>
          <w:bottom w:val="nil"/>
          <w:right w:val="nil"/>
          <w:between w:val="nil"/>
        </w:pBdr>
        <w:spacing w:before="100" w:beforeAutospacing="1" w:after="100" w:afterAutospacing="1"/>
        <w:rPr>
          <w:rFonts w:ascii="PP Neue Montreal Book" w:eastAsia="Google Sans Text" w:hAnsi="PP Neue Montreal Book" w:cs="Google Sans Text"/>
          <w:color w:val="1B1C1D"/>
          <w:sz w:val="22"/>
          <w:szCs w:val="22"/>
        </w:rPr>
      </w:pPr>
      <w:r w:rsidRPr="5186210E">
        <w:rPr>
          <w:rFonts w:ascii="PP Neue Montreal Book" w:eastAsia="Google Sans Text" w:hAnsi="PP Neue Montreal Book" w:cs="Google Sans Text"/>
          <w:color w:val="1B1C1D"/>
          <w:sz w:val="22"/>
          <w:szCs w:val="22"/>
        </w:rPr>
        <w:t xml:space="preserve">The cumulative financial impact of the Cordance Health platform is substantial. </w:t>
      </w:r>
      <w:r w:rsidR="34159884" w:rsidRPr="36F53268">
        <w:rPr>
          <w:rFonts w:ascii="PP Neue Montreal Book" w:eastAsia="Google Sans Text" w:hAnsi="PP Neue Montreal Book" w:cs="Google Sans Text"/>
          <w:color w:val="1B1C1D"/>
          <w:sz w:val="22"/>
          <w:szCs w:val="22"/>
        </w:rPr>
        <w:t>S</w:t>
      </w:r>
      <w:r w:rsidR="70966A34" w:rsidRPr="36F53268">
        <w:rPr>
          <w:rFonts w:ascii="PP Neue Montreal Book" w:eastAsia="Google Sans Text" w:hAnsi="PP Neue Montreal Book" w:cs="Google Sans Text"/>
          <w:color w:val="1B1C1D"/>
          <w:sz w:val="22"/>
          <w:szCs w:val="22"/>
        </w:rPr>
        <w:t>ee</w:t>
      </w:r>
      <w:r w:rsidR="70966A34" w:rsidRPr="5186210E">
        <w:rPr>
          <w:rFonts w:ascii="PP Neue Montreal Book" w:eastAsia="Google Sans Text" w:hAnsi="PP Neue Montreal Book" w:cs="Google Sans Text"/>
          <w:color w:val="1B1C1D"/>
          <w:sz w:val="22"/>
          <w:szCs w:val="22"/>
        </w:rPr>
        <w:t xml:space="preserve"> the Appendix for a detailed financial analysis. </w:t>
      </w:r>
      <w:r w:rsidR="5EB3C809" w:rsidRPr="5186210E">
        <w:rPr>
          <w:rFonts w:ascii="PP Neue Montreal Book" w:eastAsia="Google Sans Text" w:hAnsi="PP Neue Montreal Book" w:cs="Google Sans Text"/>
          <w:color w:val="1B1C1D"/>
          <w:sz w:val="22"/>
          <w:szCs w:val="22"/>
        </w:rPr>
        <w:t>The table below summarizes</w:t>
      </w:r>
      <w:r w:rsidR="4C6B90A0" w:rsidRPr="5186210E">
        <w:rPr>
          <w:rFonts w:ascii="PP Neue Montreal Book" w:eastAsia="Google Sans Text" w:hAnsi="PP Neue Montreal Book" w:cs="Google Sans Text"/>
          <w:color w:val="1B1C1D"/>
          <w:sz w:val="22"/>
          <w:szCs w:val="22"/>
        </w:rPr>
        <w:t xml:space="preserve"> </w:t>
      </w:r>
      <w:r w:rsidRPr="5186210E">
        <w:rPr>
          <w:rFonts w:ascii="PP Neue Montreal Book" w:eastAsia="Google Sans Text" w:hAnsi="PP Neue Montreal Book" w:cs="Google Sans Text"/>
          <w:color w:val="1B1C1D"/>
          <w:sz w:val="22"/>
          <w:szCs w:val="22"/>
        </w:rPr>
        <w:t>the annual estimates from the revenue and cost-saving models.</w:t>
      </w:r>
    </w:p>
    <w:p w14:paraId="73064C56" w14:textId="77777777" w:rsidR="003107BC" w:rsidRDefault="003107BC" w:rsidP="1D19C356">
      <w:pPr>
        <w:pBdr>
          <w:top w:val="nil"/>
          <w:left w:val="nil"/>
          <w:bottom w:val="nil"/>
          <w:right w:val="nil"/>
          <w:between w:val="nil"/>
        </w:pBdr>
        <w:spacing w:before="100" w:beforeAutospacing="1" w:after="100" w:afterAutospacing="1"/>
        <w:rPr>
          <w:rFonts w:ascii="PP Neue Montreal Book" w:eastAsia="Google Sans Text" w:hAnsi="PP Neue Montreal Book" w:cs="Google Sans Text"/>
          <w:color w:val="1B1C1D"/>
          <w:sz w:val="22"/>
          <w:szCs w:val="22"/>
        </w:rPr>
      </w:pPr>
    </w:p>
    <w:tbl>
      <w:tblPr>
        <w:tblW w:w="0" w:type="auto"/>
        <w:tblInd w:w="4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600" w:firstRow="0" w:lastRow="0" w:firstColumn="0" w:lastColumn="0" w:noHBand="1" w:noVBand="1"/>
      </w:tblPr>
      <w:tblGrid>
        <w:gridCol w:w="4957"/>
        <w:gridCol w:w="4958"/>
      </w:tblGrid>
      <w:tr w:rsidR="5186210E" w14:paraId="272A117C" w14:textId="77777777" w:rsidTr="5186210E">
        <w:trPr>
          <w:trHeight w:val="300"/>
        </w:trPr>
        <w:tc>
          <w:tcPr>
            <w:tcW w:w="49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EF3FF"/>
            <w:tcMar>
              <w:top w:w="120" w:type="dxa"/>
              <w:left w:w="180" w:type="dxa"/>
              <w:bottom w:w="120" w:type="dxa"/>
              <w:right w:w="180" w:type="dxa"/>
            </w:tcMar>
          </w:tcPr>
          <w:p w14:paraId="79308F39" w14:textId="77777777"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Value Category</w:t>
            </w:r>
          </w:p>
        </w:tc>
        <w:tc>
          <w:tcPr>
            <w:tcW w:w="4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EF3FF"/>
            <w:tcMar>
              <w:top w:w="120" w:type="dxa"/>
              <w:left w:w="180" w:type="dxa"/>
              <w:bottom w:w="120" w:type="dxa"/>
              <w:right w:w="180" w:type="dxa"/>
            </w:tcMar>
          </w:tcPr>
          <w:p w14:paraId="7060BE1B" w14:textId="77777777"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Total Estimated Annual Impact</w:t>
            </w:r>
          </w:p>
        </w:tc>
      </w:tr>
      <w:tr w:rsidR="5186210E" w14:paraId="47DAFD7B" w14:textId="77777777" w:rsidTr="5186210E">
        <w:trPr>
          <w:trHeight w:val="300"/>
        </w:trPr>
        <w:tc>
          <w:tcPr>
            <w:tcW w:w="49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3FE0FB" w14:textId="77777777"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Total Revenue Generation</w:t>
            </w:r>
          </w:p>
        </w:tc>
        <w:tc>
          <w:tcPr>
            <w:tcW w:w="4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33C467" w14:textId="6D3165E6"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$22</w:t>
            </w:r>
            <w:r w:rsidR="008D27C7">
              <w:rPr>
                <w:rFonts w:ascii="PP Neue Montreal Book" w:eastAsia="Google Sans Text" w:hAnsi="PP Neue Montreal Book" w:cs="Google Sans Text"/>
                <w:b/>
                <w:bCs/>
                <w:color w:val="1B1C1D"/>
                <w:sz w:val="22"/>
                <w:szCs w:val="22"/>
              </w:rPr>
              <w:t>M+</w:t>
            </w:r>
          </w:p>
        </w:tc>
      </w:tr>
      <w:tr w:rsidR="5186210E" w14:paraId="55FDC1FF" w14:textId="77777777" w:rsidTr="5186210E">
        <w:trPr>
          <w:trHeight w:val="300"/>
        </w:trPr>
        <w:tc>
          <w:tcPr>
            <w:tcW w:w="49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67345DF" w14:textId="77777777"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Total Cost Reduction</w:t>
            </w:r>
          </w:p>
        </w:tc>
        <w:tc>
          <w:tcPr>
            <w:tcW w:w="4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272B8B3" w14:textId="068F9381"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$1</w:t>
            </w:r>
            <w:r w:rsidR="00EB1C94">
              <w:rPr>
                <w:rFonts w:ascii="PP Neue Montreal Book" w:eastAsia="Google Sans Text" w:hAnsi="PP Neue Montreal Book" w:cs="Google Sans Text"/>
                <w:b/>
                <w:bCs/>
                <w:color w:val="1B1C1D"/>
                <w:sz w:val="22"/>
                <w:szCs w:val="22"/>
              </w:rPr>
              <w:t>4</w:t>
            </w:r>
            <w:r w:rsidR="00750F79">
              <w:rPr>
                <w:rFonts w:ascii="PP Neue Montreal Book" w:eastAsia="Google Sans Text" w:hAnsi="PP Neue Montreal Book" w:cs="Google Sans Text"/>
                <w:b/>
                <w:bCs/>
                <w:color w:val="1B1C1D"/>
                <w:sz w:val="22"/>
                <w:szCs w:val="22"/>
              </w:rPr>
              <w:t>M+</w:t>
            </w:r>
          </w:p>
        </w:tc>
      </w:tr>
      <w:tr w:rsidR="5186210E" w14:paraId="567309A8" w14:textId="77777777" w:rsidTr="5186210E">
        <w:trPr>
          <w:trHeight w:val="300"/>
        </w:trPr>
        <w:tc>
          <w:tcPr>
            <w:tcW w:w="49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D921EE4" w14:textId="77777777"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Total Annual Economic Value</w:t>
            </w:r>
          </w:p>
        </w:tc>
        <w:tc>
          <w:tcPr>
            <w:tcW w:w="4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B85E260" w14:textId="6269EA91" w:rsidR="5186210E" w:rsidRDefault="5186210E" w:rsidP="002555C1">
            <w:pPr>
              <w:pBdr>
                <w:top w:val="nil"/>
                <w:left w:val="nil"/>
                <w:bottom w:val="nil"/>
                <w:right w:val="nil"/>
                <w:between w:val="nil"/>
              </w:pBdr>
              <w:spacing w:before="120" w:after="120"/>
              <w:rPr>
                <w:rFonts w:ascii="PP Neue Montreal Book" w:eastAsia="Google Sans Text" w:hAnsi="PP Neue Montreal Book" w:cs="Google Sans Text"/>
                <w:b/>
                <w:bCs/>
                <w:color w:val="1B1C1D"/>
                <w:sz w:val="22"/>
                <w:szCs w:val="22"/>
              </w:rPr>
            </w:pPr>
            <w:r w:rsidRPr="5186210E">
              <w:rPr>
                <w:rFonts w:ascii="PP Neue Montreal Book" w:eastAsia="Google Sans Text" w:hAnsi="PP Neue Montreal Book" w:cs="Google Sans Text"/>
                <w:b/>
                <w:bCs/>
                <w:color w:val="1B1C1D"/>
                <w:sz w:val="22"/>
                <w:szCs w:val="22"/>
              </w:rPr>
              <w:t>$36</w:t>
            </w:r>
            <w:r w:rsidR="008D27C7">
              <w:rPr>
                <w:rFonts w:ascii="PP Neue Montreal Book" w:eastAsia="Google Sans Text" w:hAnsi="PP Neue Montreal Book" w:cs="Google Sans Text"/>
                <w:b/>
                <w:bCs/>
                <w:color w:val="1B1C1D"/>
                <w:sz w:val="22"/>
                <w:szCs w:val="22"/>
              </w:rPr>
              <w:t>M+</w:t>
            </w:r>
          </w:p>
        </w:tc>
      </w:tr>
    </w:tbl>
    <w:p w14:paraId="2A50EA23" w14:textId="6624D1B6" w:rsidR="5186210E" w:rsidRPr="0056675D" w:rsidRDefault="3814757E" w:rsidP="002555C1">
      <w:pPr>
        <w:pBdr>
          <w:top w:val="nil"/>
          <w:left w:val="nil"/>
          <w:bottom w:val="nil"/>
          <w:right w:val="nil"/>
          <w:between w:val="nil"/>
        </w:pBdr>
        <w:spacing w:before="480" w:after="240"/>
        <w:rPr>
          <w:rFonts w:ascii="PP Neue Montreal Book" w:eastAsia="Google Sans Text" w:hAnsi="PP Neue Montreal Book" w:cs="Google Sans Text"/>
          <w:color w:val="1B1C1D"/>
          <w:sz w:val="22"/>
          <w:szCs w:val="22"/>
        </w:rPr>
      </w:pPr>
      <w:r w:rsidRPr="5186210E">
        <w:rPr>
          <w:rFonts w:ascii="PP Neue Montreal Book" w:eastAsia="Google Sans Text" w:hAnsi="PP Neue Montreal Book" w:cs="Google Sans Text"/>
          <w:color w:val="1B1C1D"/>
          <w:sz w:val="22"/>
          <w:szCs w:val="22"/>
        </w:rPr>
        <w:t>This consolidated figure, exceeding $3</w:t>
      </w:r>
      <w:r w:rsidR="0CC8620B" w:rsidRPr="5186210E">
        <w:rPr>
          <w:rFonts w:ascii="PP Neue Montreal Book" w:eastAsia="Google Sans Text" w:hAnsi="PP Neue Montreal Book" w:cs="Google Sans Text"/>
          <w:color w:val="1B1C1D"/>
          <w:sz w:val="22"/>
          <w:szCs w:val="22"/>
        </w:rPr>
        <w:t>6</w:t>
      </w:r>
      <w:r w:rsidRPr="5186210E">
        <w:rPr>
          <w:rFonts w:ascii="PP Neue Montreal Book" w:eastAsia="Google Sans Text" w:hAnsi="PP Neue Montreal Book" w:cs="Google Sans Text"/>
          <w:color w:val="1B1C1D"/>
          <w:sz w:val="22"/>
          <w:szCs w:val="22"/>
        </w:rPr>
        <w:t xml:space="preserve"> million annually, represents a compelling ROI for a health system partner. It underscores the platform's ability to address a wide spectrum of financial and operational pain points, transforming them into measurable economic gains.</w:t>
      </w:r>
    </w:p>
    <w:p w14:paraId="3C4BD960" w14:textId="51C4ECAC" w:rsidR="00B20BE0" w:rsidRDefault="00B20BE0">
      <w:pPr>
        <w:rPr>
          <w:rFonts w:ascii="IvyPresto Display Thin" w:hAnsi="IvyPresto Display Thin" w:cs="IvyPresto Display Thin"/>
          <w:b/>
          <w:color w:val="215E99" w:themeColor="text2" w:themeTint="BF"/>
        </w:rPr>
      </w:pPr>
    </w:p>
    <w:p w14:paraId="23B39986" w14:textId="1051075E" w:rsidR="004049FE" w:rsidRDefault="00AD4B62" w:rsidP="72AA6EE8">
      <w:pPr>
        <w:pStyle w:val="Heading2"/>
        <w:rPr>
          <w:rFonts w:ascii="IvyPresto Display Thin" w:hAnsi="IvyPresto Display Thin" w:cs="IvyPresto Display Thin"/>
          <w:b/>
          <w:i/>
          <w:color w:val="4C94D8" w:themeColor="text2" w:themeTint="80"/>
          <w:sz w:val="26"/>
          <w:szCs w:val="26"/>
        </w:rPr>
      </w:pPr>
      <w:r w:rsidRPr="00BA6488">
        <w:rPr>
          <w:rFonts w:ascii="IvyPresto Display Thin" w:hAnsi="IvyPresto Display Thin" w:cs="IvyPresto Display Thin"/>
          <w:bCs/>
          <w:color w:val="215E99" w:themeColor="text2" w:themeTint="BF"/>
        </w:rPr>
        <w:t>(1</w:t>
      </w:r>
      <w:r w:rsidR="19E2F38F" w:rsidRPr="00BA6488">
        <w:rPr>
          <w:rFonts w:ascii="IvyPresto Display Thin" w:hAnsi="IvyPresto Display Thin" w:cs="IvyPresto Display Thin"/>
          <w:bCs/>
          <w:color w:val="215E99" w:themeColor="text2" w:themeTint="BF"/>
        </w:rPr>
        <w:t>a</w:t>
      </w:r>
      <w:r w:rsidRPr="00BA6488">
        <w:rPr>
          <w:rFonts w:ascii="IvyPresto Display Thin" w:hAnsi="IvyPresto Display Thin" w:cs="IvyPresto Display Thin"/>
          <w:bCs/>
          <w:color w:val="215E99" w:themeColor="text2" w:themeTint="BF"/>
        </w:rPr>
        <w:t>.)</w:t>
      </w:r>
      <w:r w:rsidRPr="461B42B1">
        <w:rPr>
          <w:rFonts w:ascii="PP Neue Montreal" w:hAnsi="PP Neue Montreal"/>
          <w:b/>
          <w:color w:val="215E99" w:themeColor="text2" w:themeTint="BF"/>
        </w:rPr>
        <w:t xml:space="preserve"> </w:t>
      </w:r>
      <w:r w:rsidR="6F91C3FC" w:rsidRPr="00BA6488">
        <w:rPr>
          <w:rFonts w:ascii="PP Neue Montreal Book" w:hAnsi="PP Neue Montreal Book" w:cs="IvyPresto Display Thin"/>
          <w:b/>
          <w:color w:val="215E99" w:themeColor="text2" w:themeTint="BF"/>
        </w:rPr>
        <w:t>Additional Opportunities Cordance will explore</w:t>
      </w:r>
      <w:r w:rsidR="6F91C3FC" w:rsidRPr="11A3CD84">
        <w:rPr>
          <w:rFonts w:ascii="PP Neue Montreal" w:hAnsi="PP Neue Montreal"/>
          <w:b/>
          <w:bCs/>
          <w:color w:val="215E99" w:themeColor="text2" w:themeTint="BF"/>
        </w:rPr>
        <w:t xml:space="preserve"> </w:t>
      </w:r>
      <w:r w:rsidR="005C18CE" w:rsidRPr="11A3CD84">
        <w:rPr>
          <w:rFonts w:ascii="IvyPresto Display Thin" w:hAnsi="IvyPresto Display Thin" w:cs="IvyPresto Display Thin"/>
          <w:b/>
          <w:bCs/>
          <w:i/>
          <w:iCs/>
          <w:color w:val="4C94D8" w:themeColor="text2" w:themeTint="80"/>
          <w:sz w:val="26"/>
          <w:szCs w:val="26"/>
        </w:rPr>
        <w:t xml:space="preserve"> </w:t>
      </w:r>
    </w:p>
    <w:p w14:paraId="54DCE162" w14:textId="651AD701" w:rsidR="001473C9" w:rsidRDefault="008D31B6" w:rsidP="140B287A">
      <w:pPr>
        <w:spacing w:before="0" w:after="360"/>
        <w:rPr>
          <w:rFonts w:ascii="PP Neue Montreal" w:hAnsi="PP Neue Montreal"/>
          <w:color w:val="000000" w:themeColor="text1"/>
          <w:sz w:val="22"/>
          <w:szCs w:val="22"/>
        </w:rPr>
      </w:pPr>
      <w:r>
        <w:rPr>
          <w:rFonts w:ascii="PP Neue Montreal" w:hAnsi="PP Neue Montreal"/>
          <w:color w:val="000000" w:themeColor="text1"/>
          <w:sz w:val="22"/>
          <w:szCs w:val="22"/>
        </w:rPr>
        <w:t xml:space="preserve"> </w:t>
      </w:r>
      <w:r>
        <w:br/>
      </w:r>
      <w:r w:rsidR="00666FEF">
        <w:rPr>
          <w:rFonts w:ascii="PP Neue Montreal" w:hAnsi="PP Neue Montreal"/>
          <w:color w:val="000000" w:themeColor="text1"/>
          <w:sz w:val="22"/>
          <w:szCs w:val="22"/>
        </w:rPr>
        <w:t xml:space="preserve">Beyond the immediate ROI drivers, we anticipate that Cordance will create several downstream opportunities that further strengthen </w:t>
      </w:r>
      <w:r w:rsidR="00AD4B62">
        <w:rPr>
          <w:rFonts w:ascii="PP Neue Montreal" w:hAnsi="PP Neue Montreal"/>
          <w:color w:val="000000" w:themeColor="text1"/>
          <w:sz w:val="22"/>
          <w:szCs w:val="22"/>
        </w:rPr>
        <w:t>its</w:t>
      </w:r>
      <w:r w:rsidR="00666FEF">
        <w:rPr>
          <w:rFonts w:ascii="PP Neue Montreal" w:hAnsi="PP Neue Montreal"/>
          <w:color w:val="000000" w:themeColor="text1"/>
          <w:sz w:val="22"/>
          <w:szCs w:val="22"/>
        </w:rPr>
        <w:t xml:space="preserve"> economic value proposition for </w:t>
      </w:r>
      <w:r w:rsidR="00081409">
        <w:rPr>
          <w:rFonts w:ascii="PP Neue Montreal" w:hAnsi="PP Neue Montreal"/>
          <w:color w:val="000000" w:themeColor="text1"/>
          <w:sz w:val="22"/>
          <w:szCs w:val="22"/>
        </w:rPr>
        <w:t>our initial</w:t>
      </w:r>
      <w:r w:rsidR="00666FEF">
        <w:rPr>
          <w:rFonts w:ascii="PP Neue Montreal" w:hAnsi="PP Neue Montreal"/>
          <w:color w:val="000000" w:themeColor="text1"/>
          <w:sz w:val="22"/>
          <w:szCs w:val="22"/>
        </w:rPr>
        <w:t xml:space="preserve"> health system</w:t>
      </w:r>
      <w:r w:rsidR="00081409">
        <w:rPr>
          <w:rFonts w:ascii="PP Neue Montreal" w:hAnsi="PP Neue Montreal"/>
          <w:color w:val="000000" w:themeColor="text1"/>
          <w:sz w:val="22"/>
          <w:szCs w:val="22"/>
        </w:rPr>
        <w:t xml:space="preserve"> customers and other players or participants in the broader healthcare ecosystem</w:t>
      </w:r>
      <w:r w:rsidR="00666FEF">
        <w:rPr>
          <w:rFonts w:ascii="PP Neue Montreal" w:hAnsi="PP Neue Montreal"/>
          <w:color w:val="000000" w:themeColor="text1"/>
          <w:sz w:val="22"/>
          <w:szCs w:val="22"/>
        </w:rPr>
        <w:t xml:space="preserve">. Whilst these benefits may take time to fully materialize, they </w:t>
      </w:r>
      <w:r w:rsidR="00666FEF" w:rsidRPr="0961D3C0">
        <w:rPr>
          <w:rFonts w:ascii="PP Neue Montreal" w:hAnsi="PP Neue Montreal"/>
          <w:color w:val="000000" w:themeColor="text1"/>
          <w:sz w:val="22"/>
          <w:szCs w:val="22"/>
        </w:rPr>
        <w:t>a</w:t>
      </w:r>
      <w:r w:rsidR="1ADCB48E" w:rsidRPr="0961D3C0">
        <w:rPr>
          <w:rFonts w:ascii="PP Neue Montreal" w:hAnsi="PP Neue Montreal"/>
          <w:color w:val="000000" w:themeColor="text1"/>
          <w:sz w:val="22"/>
          <w:szCs w:val="22"/>
        </w:rPr>
        <w:t>dd to</w:t>
      </w:r>
      <w:r w:rsidR="1ADCB48E">
        <w:rPr>
          <w:rFonts w:ascii="PP Neue Montreal" w:hAnsi="PP Neue Montreal"/>
          <w:color w:val="000000" w:themeColor="text1"/>
          <w:sz w:val="22"/>
          <w:szCs w:val="22"/>
        </w:rPr>
        <w:t xml:space="preserve"> the </w:t>
      </w:r>
      <w:r w:rsidR="1ADCB48E" w:rsidRPr="0F95B085">
        <w:rPr>
          <w:rFonts w:ascii="PP Neue Montreal" w:hAnsi="PP Neue Montreal"/>
          <w:color w:val="000000" w:themeColor="text1"/>
          <w:sz w:val="22"/>
          <w:szCs w:val="22"/>
        </w:rPr>
        <w:t xml:space="preserve">business case </w:t>
      </w:r>
      <w:r w:rsidR="1ADCB48E" w:rsidRPr="01582431">
        <w:rPr>
          <w:rFonts w:ascii="PP Neue Montreal" w:hAnsi="PP Neue Montreal"/>
          <w:color w:val="000000" w:themeColor="text1"/>
          <w:sz w:val="22"/>
          <w:szCs w:val="22"/>
        </w:rPr>
        <w:t>for</w:t>
      </w:r>
      <w:r w:rsidR="00666FEF">
        <w:rPr>
          <w:rFonts w:ascii="PP Neue Montreal" w:hAnsi="PP Neue Montreal"/>
          <w:color w:val="000000" w:themeColor="text1"/>
          <w:sz w:val="22"/>
          <w:szCs w:val="22"/>
        </w:rPr>
        <w:t xml:space="preserve"> value that Cordance delivers and for justifying future pricing models: </w:t>
      </w:r>
    </w:p>
    <w:p w14:paraId="4609DC15" w14:textId="740E0789" w:rsidR="4DF737B2" w:rsidRDefault="28597FD3" w:rsidP="423781A0">
      <w:pPr>
        <w:pStyle w:val="ListParagraph"/>
        <w:numPr>
          <w:ilvl w:val="0"/>
          <w:numId w:val="55"/>
        </w:numPr>
        <w:spacing w:before="0" w:after="360"/>
        <w:rPr>
          <w:rFonts w:ascii="PP Neue Montreal" w:hAnsi="PP Neue Montreal"/>
          <w:color w:val="000000" w:themeColor="text1"/>
          <w:sz w:val="22"/>
          <w:szCs w:val="22"/>
        </w:rPr>
      </w:pPr>
      <w:r w:rsidRPr="240482FB">
        <w:rPr>
          <w:rFonts w:ascii="PP Neue Montreal" w:hAnsi="PP Neue Montreal"/>
          <w:color w:val="000000" w:themeColor="text1"/>
          <w:sz w:val="22"/>
          <w:szCs w:val="22"/>
          <w:u w:val="single"/>
        </w:rPr>
        <w:t>Outcomes improvement</w:t>
      </w:r>
      <w:r w:rsidRPr="2E7CB776">
        <w:rPr>
          <w:rFonts w:ascii="PP Neue Montreal" w:hAnsi="PP Neue Montreal"/>
          <w:color w:val="000000" w:themeColor="text1"/>
          <w:sz w:val="22"/>
          <w:szCs w:val="22"/>
        </w:rPr>
        <w:t>: Over time, Cordance platform becomes a vehicle for assessing outcomes and altering advice based on the combined learning</w:t>
      </w:r>
      <w:r w:rsidR="5A0E0E33" w:rsidRPr="2E7CB776">
        <w:rPr>
          <w:rFonts w:ascii="PP Neue Montreal" w:hAnsi="PP Neue Montreal"/>
          <w:color w:val="000000" w:themeColor="text1"/>
          <w:sz w:val="22"/>
          <w:szCs w:val="22"/>
        </w:rPr>
        <w:t xml:space="preserve"> across all Cordance install sites.</w:t>
      </w:r>
      <w:r w:rsidRPr="2E7CB776">
        <w:rPr>
          <w:rFonts w:ascii="PP Neue Montreal" w:hAnsi="PP Neue Montreal"/>
          <w:color w:val="000000" w:themeColor="text1"/>
          <w:sz w:val="22"/>
          <w:szCs w:val="22"/>
        </w:rPr>
        <w:t xml:space="preserve"> </w:t>
      </w:r>
      <w:r w:rsidR="5A0E0E33" w:rsidRPr="2E7CB776">
        <w:rPr>
          <w:rFonts w:ascii="PP Neue Montreal" w:hAnsi="PP Neue Montreal"/>
          <w:color w:val="000000" w:themeColor="text1"/>
          <w:sz w:val="22"/>
          <w:szCs w:val="22"/>
        </w:rPr>
        <w:t xml:space="preserve">There are thousands of unanswered questions in healthcare, far too many to answer with clinical trials. Cordance provides a mechanism </w:t>
      </w:r>
      <w:r w:rsidR="41132C80" w:rsidRPr="2E7CB776">
        <w:rPr>
          <w:rFonts w:ascii="PP Neue Montreal" w:hAnsi="PP Neue Montreal"/>
          <w:color w:val="000000" w:themeColor="text1"/>
          <w:sz w:val="22"/>
          <w:szCs w:val="22"/>
        </w:rPr>
        <w:t>for health systems to learn and improve outcomes. This can only be beneficial to the long-term reputation and success of the health system.</w:t>
      </w:r>
      <w:r w:rsidRPr="2E7CB776">
        <w:rPr>
          <w:rFonts w:ascii="PP Neue Montreal" w:hAnsi="PP Neue Montreal"/>
          <w:color w:val="000000" w:themeColor="text1"/>
          <w:sz w:val="22"/>
          <w:szCs w:val="22"/>
        </w:rPr>
        <w:t xml:space="preserve"> </w:t>
      </w:r>
    </w:p>
    <w:p w14:paraId="53E65B07" w14:textId="52CE0C63" w:rsidR="4BB5DE6F" w:rsidRDefault="4BB5DE6F" w:rsidP="002555C1">
      <w:pPr>
        <w:pStyle w:val="ListParagraph"/>
        <w:spacing w:before="0" w:after="360"/>
        <w:rPr>
          <w:rFonts w:ascii="PP Neue Montreal" w:hAnsi="PP Neue Montreal"/>
          <w:color w:val="000000" w:themeColor="text1"/>
          <w:sz w:val="22"/>
          <w:szCs w:val="22"/>
        </w:rPr>
      </w:pPr>
    </w:p>
    <w:p w14:paraId="00549E4A" w14:textId="35B3DE7F" w:rsidR="562631DD" w:rsidRDefault="562631DD" w:rsidP="2E7CB776">
      <w:pPr>
        <w:pStyle w:val="ListParagraph"/>
        <w:numPr>
          <w:ilvl w:val="0"/>
          <w:numId w:val="55"/>
        </w:numPr>
        <w:spacing w:before="0" w:after="360"/>
        <w:rPr>
          <w:rFonts w:ascii="PP Neue Montreal" w:hAnsi="PP Neue Montreal"/>
          <w:color w:val="000000" w:themeColor="text1"/>
          <w:sz w:val="22"/>
          <w:szCs w:val="22"/>
        </w:rPr>
      </w:pPr>
      <w:r w:rsidRPr="240482FB">
        <w:rPr>
          <w:rFonts w:ascii="PP Neue Montreal" w:hAnsi="PP Neue Montreal"/>
          <w:color w:val="000000" w:themeColor="text1"/>
          <w:sz w:val="22"/>
          <w:szCs w:val="22"/>
          <w:u w:val="single"/>
        </w:rPr>
        <w:t>Quality reporting</w:t>
      </w:r>
      <w:r w:rsidRPr="2E7CB776">
        <w:rPr>
          <w:rFonts w:ascii="PP Neue Montreal" w:hAnsi="PP Neue Montreal"/>
          <w:color w:val="000000" w:themeColor="text1"/>
          <w:sz w:val="22"/>
          <w:szCs w:val="22"/>
        </w:rPr>
        <w:t xml:space="preserve">: </w:t>
      </w:r>
      <w:r w:rsidR="00DE05ED">
        <w:rPr>
          <w:rFonts w:ascii="PP Neue Montreal" w:hAnsi="PP Neue Montreal"/>
          <w:color w:val="000000" w:themeColor="text1"/>
          <w:sz w:val="22"/>
          <w:szCs w:val="22"/>
        </w:rPr>
        <w:t>A</w:t>
      </w:r>
      <w:r w:rsidRPr="240482FB">
        <w:rPr>
          <w:rFonts w:ascii="PP Neue Montreal" w:hAnsi="PP Neue Montreal"/>
          <w:color w:val="000000" w:themeColor="text1"/>
          <w:sz w:val="22"/>
          <w:szCs w:val="22"/>
        </w:rPr>
        <w:t>ll</w:t>
      </w:r>
      <w:r w:rsidRPr="2E7CB776">
        <w:rPr>
          <w:rFonts w:ascii="PP Neue Montreal" w:hAnsi="PP Neue Montreal"/>
          <w:color w:val="000000" w:themeColor="text1"/>
          <w:sz w:val="22"/>
          <w:szCs w:val="22"/>
        </w:rPr>
        <w:t xml:space="preserve"> </w:t>
      </w:r>
      <w:r w:rsidRPr="12F3A51E">
        <w:rPr>
          <w:rFonts w:ascii="PP Neue Montreal" w:hAnsi="PP Neue Montreal"/>
          <w:color w:val="000000" w:themeColor="text1"/>
          <w:sz w:val="22"/>
          <w:szCs w:val="22"/>
        </w:rPr>
        <w:t>US payers</w:t>
      </w:r>
      <w:r w:rsidRPr="2E7CB776">
        <w:rPr>
          <w:rFonts w:ascii="PP Neue Montreal" w:hAnsi="PP Neue Montreal"/>
          <w:color w:val="000000" w:themeColor="text1"/>
          <w:sz w:val="22"/>
          <w:szCs w:val="22"/>
        </w:rPr>
        <w:t xml:space="preserve"> and numerous regulatory bodies require </w:t>
      </w:r>
      <w:r w:rsidRPr="3D4AD48D">
        <w:rPr>
          <w:rFonts w:ascii="PP Neue Montreal" w:hAnsi="PP Neue Montreal"/>
          <w:color w:val="000000" w:themeColor="text1"/>
          <w:sz w:val="22"/>
          <w:szCs w:val="22"/>
        </w:rPr>
        <w:t xml:space="preserve">extensive data </w:t>
      </w:r>
      <w:r w:rsidRPr="645EDBBB">
        <w:rPr>
          <w:rFonts w:ascii="PP Neue Montreal" w:hAnsi="PP Neue Montreal"/>
          <w:color w:val="000000" w:themeColor="text1"/>
          <w:sz w:val="22"/>
          <w:szCs w:val="22"/>
        </w:rPr>
        <w:t>collection and reporting</w:t>
      </w:r>
      <w:r w:rsidRPr="12F3A51E">
        <w:rPr>
          <w:rFonts w:ascii="PP Neue Montreal" w:hAnsi="PP Neue Montreal"/>
          <w:color w:val="000000" w:themeColor="text1"/>
          <w:sz w:val="22"/>
          <w:szCs w:val="22"/>
        </w:rPr>
        <w:t xml:space="preserve">. </w:t>
      </w:r>
      <w:r w:rsidRPr="180EF365">
        <w:rPr>
          <w:rFonts w:ascii="PP Neue Montreal" w:hAnsi="PP Neue Montreal"/>
          <w:color w:val="000000" w:themeColor="text1"/>
          <w:sz w:val="22"/>
          <w:szCs w:val="22"/>
        </w:rPr>
        <w:t>These reports are kn</w:t>
      </w:r>
      <w:r w:rsidR="770BA6DB" w:rsidRPr="180EF365">
        <w:rPr>
          <w:rFonts w:ascii="PP Neue Montreal" w:hAnsi="PP Neue Montreal"/>
          <w:color w:val="000000" w:themeColor="text1"/>
          <w:sz w:val="22"/>
          <w:szCs w:val="22"/>
        </w:rPr>
        <w:t xml:space="preserve">own to </w:t>
      </w:r>
      <w:r w:rsidR="770BA6DB" w:rsidRPr="5BCD93A8">
        <w:rPr>
          <w:rFonts w:ascii="PP Neue Montreal" w:hAnsi="PP Neue Montreal"/>
          <w:color w:val="000000" w:themeColor="text1"/>
          <w:sz w:val="22"/>
          <w:szCs w:val="22"/>
        </w:rPr>
        <w:t xml:space="preserve">only scratch the surface </w:t>
      </w:r>
      <w:r w:rsidR="770BA6DB" w:rsidRPr="7ABC5C06">
        <w:rPr>
          <w:rFonts w:ascii="PP Neue Montreal" w:hAnsi="PP Neue Montreal"/>
          <w:color w:val="000000" w:themeColor="text1"/>
          <w:sz w:val="22"/>
          <w:szCs w:val="22"/>
        </w:rPr>
        <w:t xml:space="preserve">of </w:t>
      </w:r>
      <w:r w:rsidR="770BA6DB" w:rsidRPr="5C9A5D5B">
        <w:rPr>
          <w:rFonts w:ascii="PP Neue Montreal" w:hAnsi="PP Neue Montreal"/>
          <w:color w:val="000000" w:themeColor="text1"/>
          <w:sz w:val="22"/>
          <w:szCs w:val="22"/>
        </w:rPr>
        <w:t xml:space="preserve">a </w:t>
      </w:r>
      <w:r w:rsidR="5ADFC8FF" w:rsidRPr="2980336D">
        <w:rPr>
          <w:rFonts w:ascii="PP Neue Montreal" w:hAnsi="PP Neue Montreal"/>
          <w:color w:val="000000" w:themeColor="text1"/>
          <w:sz w:val="22"/>
          <w:szCs w:val="22"/>
        </w:rPr>
        <w:t>comprehensive</w:t>
      </w:r>
      <w:r w:rsidR="770BA6DB" w:rsidRPr="01B2C5BB">
        <w:rPr>
          <w:rFonts w:ascii="PP Neue Montreal" w:hAnsi="PP Neue Montreal"/>
          <w:color w:val="000000" w:themeColor="text1"/>
          <w:sz w:val="22"/>
          <w:szCs w:val="22"/>
        </w:rPr>
        <w:t xml:space="preserve"> assessment of care </w:t>
      </w:r>
      <w:r w:rsidR="770BA6DB" w:rsidRPr="0D3F31E4">
        <w:rPr>
          <w:rFonts w:ascii="PP Neue Montreal" w:hAnsi="PP Neue Montreal"/>
          <w:color w:val="000000" w:themeColor="text1"/>
          <w:sz w:val="22"/>
          <w:szCs w:val="22"/>
        </w:rPr>
        <w:t xml:space="preserve">delivery. </w:t>
      </w:r>
      <w:r w:rsidR="770BA6DB" w:rsidRPr="388F771A">
        <w:rPr>
          <w:rFonts w:ascii="PP Neue Montreal" w:hAnsi="PP Neue Montreal"/>
          <w:color w:val="000000" w:themeColor="text1"/>
          <w:sz w:val="22"/>
          <w:szCs w:val="22"/>
        </w:rPr>
        <w:t>Cordance</w:t>
      </w:r>
      <w:r w:rsidR="2E850FEA" w:rsidRPr="388F771A">
        <w:rPr>
          <w:rFonts w:ascii="PP Neue Montreal" w:hAnsi="PP Neue Montreal"/>
          <w:color w:val="000000" w:themeColor="text1"/>
          <w:sz w:val="22"/>
          <w:szCs w:val="22"/>
        </w:rPr>
        <w:t xml:space="preserve"> – specifically the difference </w:t>
      </w:r>
      <w:r w:rsidR="2E850FEA" w:rsidRPr="3746C9F1">
        <w:rPr>
          <w:rFonts w:ascii="PP Neue Montreal" w:hAnsi="PP Neue Montreal"/>
          <w:color w:val="000000" w:themeColor="text1"/>
          <w:sz w:val="22"/>
          <w:szCs w:val="22"/>
        </w:rPr>
        <w:t xml:space="preserve">between predicted </w:t>
      </w:r>
      <w:r w:rsidR="2E850FEA" w:rsidRPr="6D38FE60">
        <w:rPr>
          <w:rFonts w:ascii="PP Neue Montreal" w:hAnsi="PP Neue Montreal"/>
          <w:color w:val="000000" w:themeColor="text1"/>
          <w:sz w:val="22"/>
          <w:szCs w:val="22"/>
        </w:rPr>
        <w:t xml:space="preserve">and executed </w:t>
      </w:r>
      <w:r w:rsidR="2E850FEA" w:rsidRPr="017FBA19">
        <w:rPr>
          <w:rFonts w:ascii="PP Neue Montreal" w:hAnsi="PP Neue Montreal"/>
          <w:color w:val="000000" w:themeColor="text1"/>
          <w:sz w:val="22"/>
          <w:szCs w:val="22"/>
        </w:rPr>
        <w:t xml:space="preserve">- </w:t>
      </w:r>
      <w:r w:rsidR="770BA6DB" w:rsidRPr="6D38FE60">
        <w:rPr>
          <w:rFonts w:ascii="PP Neue Montreal" w:hAnsi="PP Neue Montreal"/>
          <w:color w:val="000000" w:themeColor="text1"/>
          <w:sz w:val="22"/>
          <w:szCs w:val="22"/>
        </w:rPr>
        <w:t>provides</w:t>
      </w:r>
      <w:r w:rsidR="770BA6DB" w:rsidRPr="13684CD8">
        <w:rPr>
          <w:rFonts w:ascii="PP Neue Montreal" w:hAnsi="PP Neue Montreal"/>
          <w:color w:val="000000" w:themeColor="text1"/>
          <w:sz w:val="22"/>
          <w:szCs w:val="22"/>
        </w:rPr>
        <w:t xml:space="preserve"> a platform for </w:t>
      </w:r>
      <w:r w:rsidR="770BA6DB" w:rsidRPr="478718D4">
        <w:rPr>
          <w:rFonts w:ascii="PP Neue Montreal" w:hAnsi="PP Neue Montreal"/>
          <w:color w:val="000000" w:themeColor="text1"/>
          <w:sz w:val="22"/>
          <w:szCs w:val="22"/>
        </w:rPr>
        <w:t xml:space="preserve">rethinking quality </w:t>
      </w:r>
      <w:r w:rsidR="770BA6DB" w:rsidRPr="2980336D">
        <w:rPr>
          <w:rFonts w:ascii="PP Neue Montreal" w:hAnsi="PP Neue Montreal"/>
          <w:color w:val="000000" w:themeColor="text1"/>
          <w:sz w:val="22"/>
          <w:szCs w:val="22"/>
        </w:rPr>
        <w:t>report</w:t>
      </w:r>
      <w:r w:rsidR="5D4368C9" w:rsidRPr="2980336D">
        <w:rPr>
          <w:rFonts w:ascii="PP Neue Montreal" w:hAnsi="PP Neue Montreal"/>
          <w:color w:val="000000" w:themeColor="text1"/>
          <w:sz w:val="22"/>
          <w:szCs w:val="22"/>
        </w:rPr>
        <w:t>ing</w:t>
      </w:r>
      <w:r w:rsidR="5670399E" w:rsidRPr="4314BA97">
        <w:rPr>
          <w:rFonts w:ascii="PP Neue Montreal" w:hAnsi="PP Neue Montreal"/>
          <w:color w:val="000000" w:themeColor="text1"/>
          <w:sz w:val="22"/>
          <w:szCs w:val="22"/>
        </w:rPr>
        <w:t xml:space="preserve">; </w:t>
      </w:r>
      <w:r w:rsidR="5670399E" w:rsidRPr="0922B059">
        <w:rPr>
          <w:rFonts w:ascii="PP Neue Montreal" w:hAnsi="PP Neue Montreal"/>
          <w:color w:val="000000" w:themeColor="text1"/>
          <w:sz w:val="22"/>
          <w:szCs w:val="22"/>
        </w:rPr>
        <w:t>r</w:t>
      </w:r>
      <w:r w:rsidR="76477EED" w:rsidRPr="0922B059">
        <w:rPr>
          <w:rFonts w:ascii="PP Neue Montreal" w:hAnsi="PP Neue Montreal"/>
          <w:color w:val="000000" w:themeColor="text1"/>
          <w:sz w:val="22"/>
          <w:szCs w:val="22"/>
        </w:rPr>
        <w:t>eporting</w:t>
      </w:r>
      <w:r w:rsidR="76477EED" w:rsidRPr="6ABE0B55">
        <w:rPr>
          <w:rFonts w:ascii="PP Neue Montreal" w:hAnsi="PP Neue Montreal"/>
          <w:color w:val="000000" w:themeColor="text1"/>
          <w:sz w:val="22"/>
          <w:szCs w:val="22"/>
        </w:rPr>
        <w:t xml:space="preserve"> that is </w:t>
      </w:r>
      <w:r w:rsidR="76477EED" w:rsidRPr="278463D9">
        <w:rPr>
          <w:rFonts w:ascii="PP Neue Montreal" w:hAnsi="PP Neue Montreal"/>
          <w:color w:val="000000" w:themeColor="text1"/>
          <w:sz w:val="22"/>
          <w:szCs w:val="22"/>
        </w:rPr>
        <w:t xml:space="preserve">at the </w:t>
      </w:r>
      <w:r w:rsidR="76477EED" w:rsidRPr="5EC2358D">
        <w:rPr>
          <w:rFonts w:ascii="PP Neue Montreal" w:hAnsi="PP Neue Montreal"/>
          <w:color w:val="000000" w:themeColor="text1"/>
          <w:sz w:val="22"/>
          <w:szCs w:val="22"/>
        </w:rPr>
        <w:t xml:space="preserve">same time both less expensive as well more </w:t>
      </w:r>
      <w:r w:rsidR="61C72F26" w:rsidRPr="0922B059">
        <w:rPr>
          <w:rFonts w:ascii="PP Neue Montreal" w:hAnsi="PP Neue Montreal"/>
          <w:color w:val="000000" w:themeColor="text1"/>
          <w:sz w:val="22"/>
          <w:szCs w:val="22"/>
        </w:rPr>
        <w:t>comprehensive</w:t>
      </w:r>
      <w:r w:rsidR="76477EED" w:rsidRPr="212B7CE4">
        <w:rPr>
          <w:rFonts w:ascii="PP Neue Montreal" w:hAnsi="PP Neue Montreal"/>
          <w:color w:val="000000" w:themeColor="text1"/>
          <w:sz w:val="22"/>
          <w:szCs w:val="22"/>
        </w:rPr>
        <w:t>.</w:t>
      </w:r>
      <w:r w:rsidR="691AB6A0" w:rsidRPr="39F89276">
        <w:rPr>
          <w:rFonts w:ascii="PP Neue Montreal" w:hAnsi="PP Neue Montreal"/>
          <w:color w:val="000000" w:themeColor="text1"/>
          <w:sz w:val="22"/>
          <w:szCs w:val="22"/>
        </w:rPr>
        <w:t xml:space="preserve">  More specifically, we will include appropriateness criteria for all procedures in our reporting, paving the way for </w:t>
      </w:r>
      <w:r w:rsidR="6B13F1B3" w:rsidRPr="39F89276">
        <w:rPr>
          <w:rFonts w:ascii="PP Neue Montreal" w:hAnsi="PP Neue Montreal"/>
          <w:color w:val="000000" w:themeColor="text1"/>
          <w:sz w:val="22"/>
          <w:szCs w:val="22"/>
        </w:rPr>
        <w:t xml:space="preserve">improved performance in </w:t>
      </w:r>
      <w:r w:rsidR="00961570" w:rsidRPr="39F89276">
        <w:rPr>
          <w:rFonts w:ascii="PP Neue Montreal" w:hAnsi="PP Neue Montreal"/>
          <w:color w:val="000000" w:themeColor="text1"/>
          <w:sz w:val="22"/>
          <w:szCs w:val="22"/>
        </w:rPr>
        <w:t>value-based</w:t>
      </w:r>
      <w:r w:rsidR="6B13F1B3" w:rsidRPr="39F89276">
        <w:rPr>
          <w:rFonts w:ascii="PP Neue Montreal" w:hAnsi="PP Neue Montreal"/>
          <w:color w:val="000000" w:themeColor="text1"/>
          <w:sz w:val="22"/>
          <w:szCs w:val="22"/>
        </w:rPr>
        <w:t xml:space="preserve"> care contracts that use total costs of care.</w:t>
      </w:r>
    </w:p>
    <w:p w14:paraId="4009D1D2" w14:textId="157C2E0C" w:rsidR="4BB5DE6F" w:rsidRDefault="4BB5DE6F" w:rsidP="002555C1">
      <w:pPr>
        <w:pStyle w:val="ListParagraph"/>
        <w:spacing w:before="0" w:after="360"/>
        <w:rPr>
          <w:rFonts w:ascii="PP Neue Montreal" w:hAnsi="PP Neue Montreal"/>
          <w:color w:val="000000" w:themeColor="text1"/>
          <w:sz w:val="22"/>
          <w:szCs w:val="22"/>
        </w:rPr>
      </w:pPr>
    </w:p>
    <w:p w14:paraId="309C7B45" w14:textId="5A294369" w:rsidR="00AD7C50" w:rsidRDefault="562631DD" w:rsidP="00AD7C50">
      <w:pPr>
        <w:pStyle w:val="ListParagraph"/>
        <w:numPr>
          <w:ilvl w:val="0"/>
          <w:numId w:val="55"/>
        </w:numPr>
        <w:spacing w:before="0" w:after="360"/>
        <w:rPr>
          <w:rFonts w:ascii="PP Neue Montreal" w:hAnsi="PP Neue Montreal"/>
          <w:color w:val="000000" w:themeColor="text1"/>
          <w:sz w:val="22"/>
          <w:szCs w:val="22"/>
        </w:rPr>
      </w:pPr>
      <w:r w:rsidRPr="240482FB">
        <w:rPr>
          <w:rFonts w:ascii="PP Neue Montreal" w:hAnsi="PP Neue Montreal"/>
          <w:color w:val="000000" w:themeColor="text1"/>
          <w:sz w:val="22"/>
          <w:szCs w:val="22"/>
          <w:u w:val="single"/>
        </w:rPr>
        <w:t>Utilization management</w:t>
      </w:r>
      <w:r w:rsidR="00CD7946" w:rsidRPr="240482FB">
        <w:rPr>
          <w:rFonts w:ascii="PP Neue Montreal" w:hAnsi="PP Neue Montreal"/>
          <w:color w:val="000000" w:themeColor="text1"/>
          <w:sz w:val="22"/>
          <w:szCs w:val="22"/>
        </w:rPr>
        <w:t>: All US payers employ various types of utilization management. These cumbersome bureaucratic programs do littl</w:t>
      </w:r>
      <w:r w:rsidR="191C78F0" w:rsidRPr="240482FB">
        <w:rPr>
          <w:rFonts w:ascii="PP Neue Montreal" w:hAnsi="PP Neue Montreal"/>
          <w:color w:val="000000" w:themeColor="text1"/>
          <w:sz w:val="22"/>
          <w:szCs w:val="22"/>
        </w:rPr>
        <w:t xml:space="preserve">e </w:t>
      </w:r>
      <w:r w:rsidR="591ACE93" w:rsidRPr="240482FB">
        <w:rPr>
          <w:rFonts w:ascii="PP Neue Montreal" w:hAnsi="PP Neue Montreal"/>
          <w:color w:val="000000" w:themeColor="text1"/>
          <w:sz w:val="22"/>
          <w:szCs w:val="22"/>
        </w:rPr>
        <w:t xml:space="preserve">to lower the use of services but nonetheless </w:t>
      </w:r>
      <w:r w:rsidR="191C78F0" w:rsidRPr="240482FB">
        <w:rPr>
          <w:rFonts w:ascii="PP Neue Montreal" w:hAnsi="PP Neue Montreal"/>
          <w:color w:val="000000" w:themeColor="text1"/>
          <w:sz w:val="22"/>
          <w:szCs w:val="22"/>
        </w:rPr>
        <w:t xml:space="preserve">add </w:t>
      </w:r>
      <w:r w:rsidR="31283A63" w:rsidRPr="240482FB">
        <w:rPr>
          <w:rFonts w:ascii="PP Neue Montreal" w:hAnsi="PP Neue Montreal"/>
          <w:color w:val="000000" w:themeColor="text1"/>
          <w:sz w:val="22"/>
          <w:szCs w:val="22"/>
        </w:rPr>
        <w:t xml:space="preserve">substantially </w:t>
      </w:r>
      <w:r w:rsidR="191C78F0" w:rsidRPr="240482FB">
        <w:rPr>
          <w:rFonts w:ascii="PP Neue Montreal" w:hAnsi="PP Neue Montreal"/>
          <w:color w:val="000000" w:themeColor="text1"/>
          <w:sz w:val="22"/>
          <w:szCs w:val="22"/>
        </w:rPr>
        <w:t>to the overhead costs of medical care. The Cordance platform provides a mechanism for payers to delegate UM to providers, lowering overhead costs</w:t>
      </w:r>
      <w:r w:rsidR="00CD7946" w:rsidRPr="240482FB">
        <w:rPr>
          <w:rFonts w:ascii="PP Neue Montreal" w:hAnsi="PP Neue Montreal"/>
          <w:color w:val="000000" w:themeColor="text1"/>
          <w:sz w:val="22"/>
          <w:szCs w:val="22"/>
        </w:rPr>
        <w:t xml:space="preserve"> </w:t>
      </w:r>
      <w:r w:rsidR="5D0565D6" w:rsidRPr="240482FB">
        <w:rPr>
          <w:rFonts w:ascii="PP Neue Montreal" w:hAnsi="PP Neue Montreal"/>
          <w:color w:val="000000" w:themeColor="text1"/>
          <w:sz w:val="22"/>
          <w:szCs w:val="22"/>
        </w:rPr>
        <w:t>and providing transparent point of care</w:t>
      </w:r>
      <w:r w:rsidR="0020168F">
        <w:rPr>
          <w:rFonts w:ascii="PP Neue Montreal" w:hAnsi="PP Neue Montreal"/>
          <w:color w:val="000000" w:themeColor="text1"/>
          <w:sz w:val="22"/>
          <w:szCs w:val="22"/>
        </w:rPr>
        <w:t>.</w:t>
      </w:r>
      <w:r w:rsidR="55A8798A" w:rsidRPr="39F89276">
        <w:rPr>
          <w:rFonts w:ascii="PP Neue Montreal" w:hAnsi="PP Neue Montreal"/>
          <w:color w:val="000000" w:themeColor="text1"/>
          <w:sz w:val="22"/>
          <w:szCs w:val="22"/>
        </w:rPr>
        <w:t xml:space="preserve">  As noted above, the inclusion of appropriateness criteria (both national and local) into our decision support engine enables oversight of </w:t>
      </w:r>
      <w:r w:rsidR="138F8AF7" w:rsidRPr="39F89276">
        <w:rPr>
          <w:rFonts w:ascii="PP Neue Montreal" w:hAnsi="PP Neue Montreal"/>
          <w:color w:val="000000" w:themeColor="text1"/>
          <w:sz w:val="22"/>
          <w:szCs w:val="22"/>
        </w:rPr>
        <w:t>decisions to perform procedures.</w:t>
      </w:r>
      <w:r w:rsidR="55A8798A" w:rsidRPr="39F89276">
        <w:rPr>
          <w:rFonts w:ascii="PP Neue Montreal" w:hAnsi="PP Neue Montreal"/>
          <w:color w:val="000000" w:themeColor="text1"/>
          <w:sz w:val="22"/>
          <w:szCs w:val="22"/>
        </w:rPr>
        <w:t xml:space="preserve"> </w:t>
      </w:r>
    </w:p>
    <w:p w14:paraId="55FEE3DB" w14:textId="77777777" w:rsidR="00523326" w:rsidRPr="00523326" w:rsidRDefault="00523326" w:rsidP="00523326">
      <w:pPr>
        <w:pStyle w:val="ListParagraph"/>
        <w:rPr>
          <w:rFonts w:ascii="PP Neue Montreal" w:hAnsi="PP Neue Montreal"/>
          <w:color w:val="000000" w:themeColor="text1"/>
          <w:sz w:val="22"/>
          <w:szCs w:val="22"/>
        </w:rPr>
      </w:pPr>
    </w:p>
    <w:p w14:paraId="6EBFFAA1" w14:textId="4EA5CDC3" w:rsidR="00523326" w:rsidRPr="00165418" w:rsidRDefault="00523326" w:rsidP="00AD7C50">
      <w:pPr>
        <w:pStyle w:val="ListParagraph"/>
        <w:numPr>
          <w:ilvl w:val="0"/>
          <w:numId w:val="55"/>
        </w:numPr>
        <w:spacing w:before="0" w:after="360"/>
        <w:rPr>
          <w:rFonts w:ascii="PP Neue Montreal" w:hAnsi="PP Neue Montreal"/>
          <w:color w:val="000000" w:themeColor="text1"/>
          <w:sz w:val="22"/>
          <w:szCs w:val="22"/>
        </w:rPr>
      </w:pPr>
      <w:r w:rsidRPr="00165418">
        <w:rPr>
          <w:rFonts w:ascii="PP Neue Montreal" w:hAnsi="PP Neue Montreal"/>
          <w:color w:val="000000" w:themeColor="text1"/>
          <w:sz w:val="22"/>
          <w:szCs w:val="22"/>
          <w:u w:val="single"/>
        </w:rPr>
        <w:t>Academic &amp; Bio</w:t>
      </w:r>
      <w:r w:rsidR="00E35700" w:rsidRPr="00165418">
        <w:rPr>
          <w:rFonts w:ascii="PP Neue Montreal" w:hAnsi="PP Neue Montreal"/>
          <w:color w:val="000000" w:themeColor="text1"/>
          <w:sz w:val="22"/>
          <w:szCs w:val="22"/>
          <w:u w:val="single"/>
        </w:rPr>
        <w:t>p</w:t>
      </w:r>
      <w:r w:rsidRPr="00165418">
        <w:rPr>
          <w:rFonts w:ascii="PP Neue Montreal" w:hAnsi="PP Neue Montreal"/>
          <w:color w:val="000000" w:themeColor="text1"/>
          <w:sz w:val="22"/>
          <w:szCs w:val="22"/>
          <w:u w:val="single"/>
        </w:rPr>
        <w:t>harma clinical research support:</w:t>
      </w:r>
      <w:r w:rsidR="652D5541" w:rsidRPr="00165418">
        <w:rPr>
          <w:rFonts w:ascii="PP Neue Montreal" w:hAnsi="PP Neue Montreal"/>
          <w:color w:val="000000" w:themeColor="text1"/>
          <w:sz w:val="22"/>
          <w:szCs w:val="22"/>
        </w:rPr>
        <w:t xml:space="preserve"> By incorporating participation in research</w:t>
      </w:r>
      <w:r w:rsidR="005F73E0">
        <w:rPr>
          <w:rFonts w:ascii="PP Neue Montreal" w:hAnsi="PP Neue Montreal"/>
          <w:color w:val="000000" w:themeColor="text1"/>
          <w:sz w:val="22"/>
          <w:szCs w:val="22"/>
        </w:rPr>
        <w:t>,</w:t>
      </w:r>
      <w:r w:rsidR="652D5541" w:rsidRPr="00165418">
        <w:rPr>
          <w:rFonts w:ascii="PP Neue Montreal" w:hAnsi="PP Neue Montreal"/>
          <w:color w:val="000000" w:themeColor="text1"/>
          <w:sz w:val="22"/>
          <w:szCs w:val="22"/>
        </w:rPr>
        <w:t xml:space="preserve"> including clinical trials into the </w:t>
      </w:r>
      <w:r w:rsidR="3D8870FB" w:rsidRPr="00165418">
        <w:rPr>
          <w:rFonts w:ascii="PP Neue Montreal" w:hAnsi="PP Neue Montreal"/>
          <w:color w:val="000000" w:themeColor="text1"/>
          <w:sz w:val="22"/>
          <w:szCs w:val="22"/>
        </w:rPr>
        <w:t xml:space="preserve">local data </w:t>
      </w:r>
      <w:r w:rsidR="652D5541" w:rsidRPr="00165418">
        <w:rPr>
          <w:rFonts w:ascii="PP Neue Montreal" w:hAnsi="PP Neue Montreal"/>
          <w:color w:val="000000" w:themeColor="text1"/>
          <w:sz w:val="22"/>
          <w:szCs w:val="22"/>
        </w:rPr>
        <w:t xml:space="preserve">Cordance </w:t>
      </w:r>
      <w:r w:rsidR="5340641B" w:rsidRPr="00165418">
        <w:rPr>
          <w:rFonts w:ascii="PP Neue Montreal" w:hAnsi="PP Neue Montreal"/>
          <w:color w:val="000000" w:themeColor="text1"/>
          <w:sz w:val="22"/>
          <w:szCs w:val="22"/>
        </w:rPr>
        <w:t xml:space="preserve">ingests, Cordance </w:t>
      </w:r>
      <w:r w:rsidR="652D5541" w:rsidRPr="00165418">
        <w:rPr>
          <w:rFonts w:ascii="PP Neue Montreal" w:hAnsi="PP Neue Montreal"/>
          <w:color w:val="000000" w:themeColor="text1"/>
          <w:sz w:val="22"/>
          <w:szCs w:val="22"/>
        </w:rPr>
        <w:t>identifi</w:t>
      </w:r>
      <w:r w:rsidR="3707C5E6" w:rsidRPr="00165418">
        <w:rPr>
          <w:rFonts w:ascii="PP Neue Montreal" w:hAnsi="PP Neue Montreal"/>
          <w:color w:val="000000" w:themeColor="text1"/>
          <w:sz w:val="22"/>
          <w:szCs w:val="22"/>
        </w:rPr>
        <w:t xml:space="preserve">es patients for clinical trial </w:t>
      </w:r>
      <w:r w:rsidR="652D5541" w:rsidRPr="00165418">
        <w:rPr>
          <w:rFonts w:ascii="PP Neue Montreal" w:hAnsi="PP Neue Montreal"/>
          <w:color w:val="000000" w:themeColor="text1"/>
          <w:sz w:val="22"/>
          <w:szCs w:val="22"/>
        </w:rPr>
        <w:t xml:space="preserve">eligibility </w:t>
      </w:r>
      <w:r w:rsidR="026DC418" w:rsidRPr="00165418">
        <w:rPr>
          <w:rFonts w:ascii="PP Neue Montreal" w:hAnsi="PP Neue Montreal"/>
          <w:color w:val="000000" w:themeColor="text1"/>
          <w:sz w:val="22"/>
          <w:szCs w:val="22"/>
        </w:rPr>
        <w:t xml:space="preserve">to patients’ treating physicians.  </w:t>
      </w:r>
      <w:r w:rsidR="530807DD" w:rsidRPr="00165418">
        <w:rPr>
          <w:rFonts w:ascii="PP Neue Montreal" w:hAnsi="PP Neue Montreal"/>
          <w:color w:val="000000" w:themeColor="text1"/>
          <w:sz w:val="22"/>
          <w:szCs w:val="22"/>
        </w:rPr>
        <w:t xml:space="preserve">Facilitating enrollment in clinical trials brings revenue to health systems and further enhances the health system’s reputation for </w:t>
      </w:r>
      <w:r w:rsidR="2032B7EF" w:rsidRPr="00165418">
        <w:rPr>
          <w:rFonts w:ascii="PP Neue Montreal" w:hAnsi="PP Neue Montreal"/>
          <w:color w:val="000000" w:themeColor="text1"/>
          <w:sz w:val="22"/>
          <w:szCs w:val="22"/>
        </w:rPr>
        <w:t>innovation.</w:t>
      </w:r>
    </w:p>
    <w:p w14:paraId="71547A71" w14:textId="77777777" w:rsidR="00482B31" w:rsidRPr="00482B31" w:rsidRDefault="00482B31" w:rsidP="00482B31">
      <w:pPr>
        <w:pStyle w:val="ListParagraph"/>
        <w:rPr>
          <w:rFonts w:ascii="PP Neue Montreal" w:hAnsi="PP Neue Montreal"/>
          <w:color w:val="000000" w:themeColor="text1"/>
          <w:sz w:val="22"/>
          <w:szCs w:val="22"/>
        </w:rPr>
      </w:pPr>
    </w:p>
    <w:p w14:paraId="6A8E54B4" w14:textId="77777777" w:rsidR="00482B31" w:rsidRPr="00482B31" w:rsidRDefault="00482B31" w:rsidP="00482B31">
      <w:pPr>
        <w:pStyle w:val="ListParagraph"/>
        <w:spacing w:before="0" w:after="360"/>
        <w:rPr>
          <w:rFonts w:ascii="PP Neue Montreal" w:hAnsi="PP Neue Montreal"/>
          <w:color w:val="000000" w:themeColor="text1"/>
          <w:sz w:val="22"/>
          <w:szCs w:val="22"/>
        </w:rPr>
      </w:pPr>
    </w:p>
    <w:p w14:paraId="3B881E0C" w14:textId="77777777" w:rsidR="00500E5F" w:rsidRDefault="00500E5F">
      <w:pPr>
        <w:rPr>
          <w:rFonts w:ascii="IvyPresto Display Thin" w:eastAsiaTheme="majorEastAsia" w:hAnsi="IvyPresto Display Thin" w:cs="IvyPresto Display Thin"/>
          <w:b/>
          <w:bCs/>
          <w:color w:val="4C94D8" w:themeColor="text2" w:themeTint="80"/>
          <w:sz w:val="32"/>
          <w:szCs w:val="32"/>
        </w:rPr>
      </w:pPr>
      <w:r>
        <w:rPr>
          <w:rFonts w:ascii="IvyPresto Display Thin" w:eastAsiaTheme="majorEastAsia" w:hAnsi="IvyPresto Display Thin" w:cs="IvyPresto Display Thin"/>
          <w:b/>
          <w:bCs/>
          <w:color w:val="4C94D8" w:themeColor="text2" w:themeTint="80"/>
          <w:sz w:val="32"/>
          <w:szCs w:val="32"/>
        </w:rPr>
        <w:br w:type="page"/>
      </w:r>
    </w:p>
    <w:p w14:paraId="1DB322BC" w14:textId="018EE513" w:rsidR="3015C62D" w:rsidRPr="00500E5F" w:rsidRDefault="118E05A6" w:rsidP="00500E5F">
      <w:pPr>
        <w:keepNext/>
        <w:keepLines/>
        <w:spacing w:before="100" w:beforeAutospacing="1" w:after="100" w:afterAutospacing="1"/>
        <w:outlineLvl w:val="0"/>
        <w:rPr>
          <w:rFonts w:ascii="IvyPresto Display Thin" w:eastAsiaTheme="majorEastAsia" w:hAnsi="IvyPresto Display Thin" w:cs="IvyPresto Display Thin"/>
          <w:b/>
          <w:i/>
          <w:color w:val="4C94D8" w:themeColor="text2" w:themeTint="80"/>
          <w:sz w:val="32"/>
          <w:szCs w:val="32"/>
        </w:rPr>
      </w:pPr>
      <w:r w:rsidRPr="1D19C356">
        <w:rPr>
          <w:rFonts w:ascii="IvyPresto Display Thin" w:eastAsiaTheme="majorEastAsia" w:hAnsi="IvyPresto Display Thin" w:cs="IvyPresto Display Thin"/>
          <w:b/>
          <w:bCs/>
          <w:color w:val="4C94D8" w:themeColor="text2" w:themeTint="80"/>
          <w:sz w:val="32"/>
          <w:szCs w:val="32"/>
        </w:rPr>
        <w:t>2</w:t>
      </w:r>
      <w:r w:rsidRPr="1D19C356">
        <w:rPr>
          <w:rFonts w:ascii="IvyPresto Display Thin" w:eastAsiaTheme="majorEastAsia" w:hAnsi="IvyPresto Display Thin" w:cs="IvyPresto Display Thin"/>
          <w:b/>
          <w:bCs/>
          <w:i/>
          <w:iCs/>
          <w:color w:val="4C94D8" w:themeColor="text2" w:themeTint="80"/>
          <w:sz w:val="32"/>
          <w:szCs w:val="32"/>
        </w:rPr>
        <w:t>.</w:t>
      </w:r>
      <w:r w:rsidR="00821870" w:rsidRPr="1D19C356">
        <w:rPr>
          <w:rFonts w:ascii="IvyPresto Display Thin" w:eastAsiaTheme="majorEastAsia" w:hAnsi="IvyPresto Display Thin" w:cs="IvyPresto Display Thin"/>
          <w:b/>
          <w:bCs/>
          <w:i/>
          <w:iCs/>
          <w:color w:val="4C94D8" w:themeColor="text2" w:themeTint="80"/>
          <w:sz w:val="32"/>
          <w:szCs w:val="32"/>
        </w:rPr>
        <w:t xml:space="preserve"> How Will Cordance Test &amp; Prove ROI? </w:t>
      </w:r>
      <w:r w:rsidR="001B4515" w:rsidRPr="1D19C356">
        <w:rPr>
          <w:rFonts w:ascii="IvyPresto Display Thin" w:eastAsiaTheme="majorEastAsia" w:hAnsi="IvyPresto Display Thin" w:cs="IvyPresto Display Thin"/>
          <w:b/>
          <w:bCs/>
          <w:i/>
          <w:iCs/>
          <w:color w:val="4C94D8" w:themeColor="text2" w:themeTint="80"/>
          <w:sz w:val="10"/>
          <w:szCs w:val="10"/>
        </w:rPr>
        <w:fldChar w:fldCharType="begin"/>
      </w:r>
      <w:r w:rsidR="001B4515" w:rsidRPr="1D19C356">
        <w:rPr>
          <w:rFonts w:ascii="IvyPresto Display Thin" w:eastAsiaTheme="majorEastAsia" w:hAnsi="IvyPresto Display Thin" w:cs="IvyPresto Display Thin"/>
          <w:b/>
          <w:bCs/>
          <w:i/>
          <w:iCs/>
          <w:color w:val="4C94D8" w:themeColor="text2" w:themeTint="80"/>
          <w:sz w:val="10"/>
          <w:szCs w:val="10"/>
        </w:rPr>
        <w:instrText xml:space="preserve"> TC "</w:instrText>
      </w:r>
      <w:bookmarkStart w:id="3" w:name="_Toc210111356"/>
      <w:bookmarkStart w:id="4" w:name="_Toc210111402"/>
      <w:bookmarkStart w:id="5" w:name="_Toc210125534"/>
      <w:r w:rsidR="001B4515" w:rsidRPr="1D19C356">
        <w:rPr>
          <w:rFonts w:ascii="IvyPresto Display Thin" w:eastAsiaTheme="majorEastAsia" w:hAnsi="IvyPresto Display Thin" w:cs="IvyPresto Display Thin"/>
          <w:b/>
          <w:bCs/>
          <w:i/>
          <w:iCs/>
          <w:color w:val="4C94D8" w:themeColor="text2" w:themeTint="80"/>
          <w:sz w:val="10"/>
          <w:szCs w:val="10"/>
        </w:rPr>
        <w:instrText>2. Method to Assess Value</w:instrText>
      </w:r>
      <w:bookmarkEnd w:id="3"/>
      <w:bookmarkEnd w:id="4"/>
      <w:bookmarkEnd w:id="5"/>
      <w:r w:rsidR="001B4515" w:rsidRPr="1D19C356">
        <w:rPr>
          <w:rFonts w:ascii="IvyPresto Display Thin" w:eastAsiaTheme="majorEastAsia" w:hAnsi="IvyPresto Display Thin" w:cs="IvyPresto Display Thin"/>
          <w:b/>
          <w:bCs/>
          <w:i/>
          <w:iCs/>
          <w:color w:val="4C94D8" w:themeColor="text2" w:themeTint="80"/>
          <w:sz w:val="10"/>
          <w:szCs w:val="10"/>
        </w:rPr>
        <w:instrText xml:space="preserve">" </w:instrText>
      </w:r>
      <w:r w:rsidR="001B4515" w:rsidRPr="1D19C356">
        <w:rPr>
          <w:rFonts w:ascii="IvyPresto Display Thin" w:eastAsiaTheme="majorEastAsia" w:hAnsi="IvyPresto Display Thin" w:cs="IvyPresto Display Thin"/>
          <w:b/>
          <w:bCs/>
          <w:i/>
          <w:iCs/>
          <w:color w:val="4C94D8" w:themeColor="text2" w:themeTint="80"/>
          <w:sz w:val="10"/>
          <w:szCs w:val="10"/>
        </w:rPr>
        <w:fldChar w:fldCharType="end"/>
      </w:r>
    </w:p>
    <w:p w14:paraId="01EC5A7F" w14:textId="51BED1EC" w:rsidR="001B4008" w:rsidRDefault="60462ED6" w:rsidP="000962B8">
      <w:pPr>
        <w:spacing w:before="100" w:beforeAutospacing="1" w:after="100" w:afterAutospacing="1"/>
        <w:rPr>
          <w:rFonts w:ascii="PP Neue Montreal" w:hAnsi="PP Neue Montreal"/>
          <w:color w:val="000000" w:themeColor="text1"/>
          <w:sz w:val="22"/>
          <w:szCs w:val="22"/>
        </w:rPr>
      </w:pPr>
      <w:r w:rsidRPr="5C3DB52D">
        <w:rPr>
          <w:rFonts w:ascii="PP Neue Montreal" w:hAnsi="PP Neue Montreal"/>
          <w:color w:val="000000" w:themeColor="text1"/>
          <w:sz w:val="22"/>
          <w:szCs w:val="22"/>
        </w:rPr>
        <w:t>Cordance</w:t>
      </w:r>
      <w:r w:rsidR="56C221EF" w:rsidRPr="5C3DB52D">
        <w:rPr>
          <w:rFonts w:ascii="PP Neue Montreal" w:hAnsi="PP Neue Montreal"/>
          <w:color w:val="000000" w:themeColor="text1"/>
          <w:sz w:val="22"/>
          <w:szCs w:val="22"/>
        </w:rPr>
        <w:t>, in collaboration with its provider-site launch partners, will create a system to measure pre- vs post-deploym</w:t>
      </w:r>
      <w:r w:rsidR="30C2F437" w:rsidRPr="5C3DB52D">
        <w:rPr>
          <w:rFonts w:ascii="PP Neue Montreal" w:hAnsi="PP Neue Montreal"/>
          <w:color w:val="000000" w:themeColor="text1"/>
          <w:sz w:val="22"/>
          <w:szCs w:val="22"/>
        </w:rPr>
        <w:t xml:space="preserve">ent </w:t>
      </w:r>
      <w:r w:rsidR="60BF69BF" w:rsidRPr="72F1C9BE">
        <w:rPr>
          <w:rFonts w:ascii="PP Neue Montreal" w:hAnsi="PP Neue Montreal"/>
          <w:color w:val="000000" w:themeColor="text1"/>
          <w:sz w:val="22"/>
          <w:szCs w:val="22"/>
        </w:rPr>
        <w:t xml:space="preserve">economic </w:t>
      </w:r>
      <w:r w:rsidR="00AC1C70" w:rsidRPr="299BB70C">
        <w:rPr>
          <w:rFonts w:ascii="PP Neue Montreal" w:hAnsi="PP Neue Montreal"/>
          <w:color w:val="000000" w:themeColor="text1"/>
          <w:sz w:val="22"/>
          <w:szCs w:val="22"/>
        </w:rPr>
        <w:t>impact</w:t>
      </w:r>
      <w:r w:rsidR="509A909B" w:rsidRPr="299BB70C">
        <w:rPr>
          <w:rFonts w:ascii="PP Neue Montreal" w:hAnsi="PP Neue Montreal"/>
          <w:color w:val="000000" w:themeColor="text1"/>
          <w:sz w:val="22"/>
          <w:szCs w:val="22"/>
        </w:rPr>
        <w:t>s</w:t>
      </w:r>
      <w:r w:rsidR="009E2543" w:rsidRPr="299BB70C">
        <w:rPr>
          <w:rFonts w:ascii="PP Neue Montreal" w:hAnsi="PP Neue Montreal"/>
          <w:color w:val="000000" w:themeColor="text1"/>
          <w:sz w:val="22"/>
          <w:szCs w:val="22"/>
        </w:rPr>
        <w:t>.</w:t>
      </w:r>
      <w:r w:rsidR="009E2543">
        <w:rPr>
          <w:rFonts w:ascii="PP Neue Montreal" w:hAnsi="PP Neue Montreal"/>
          <w:color w:val="000000" w:themeColor="text1"/>
          <w:sz w:val="22"/>
          <w:szCs w:val="22"/>
        </w:rPr>
        <w:t xml:space="preserve"> </w:t>
      </w:r>
      <w:r w:rsidR="704436C8" w:rsidRPr="0C95B60B">
        <w:rPr>
          <w:rFonts w:ascii="PP Neue Montreal" w:hAnsi="PP Neue Montreal"/>
          <w:color w:val="000000" w:themeColor="text1"/>
          <w:sz w:val="22"/>
          <w:szCs w:val="22"/>
        </w:rPr>
        <w:t xml:space="preserve"> </w:t>
      </w:r>
      <w:r w:rsidR="00362F6D" w:rsidRPr="52473429">
        <w:rPr>
          <w:rFonts w:ascii="PP Neue Montreal" w:hAnsi="PP Neue Montreal"/>
          <w:color w:val="000000" w:themeColor="text1"/>
          <w:sz w:val="22"/>
          <w:szCs w:val="22"/>
        </w:rPr>
        <w:t xml:space="preserve">See </w:t>
      </w:r>
      <w:r w:rsidR="004D22A5" w:rsidRPr="52473429">
        <w:rPr>
          <w:rFonts w:ascii="PP Neue Montreal" w:hAnsi="PP Neue Montreal"/>
          <w:color w:val="000000" w:themeColor="text1"/>
          <w:sz w:val="22"/>
          <w:szCs w:val="22"/>
        </w:rPr>
        <w:t xml:space="preserve">the </w:t>
      </w:r>
      <w:r w:rsidR="1C9EC344" w:rsidRPr="52473429">
        <w:rPr>
          <w:rFonts w:ascii="PP Neue Montreal" w:hAnsi="PP Neue Montreal"/>
          <w:color w:val="000000" w:themeColor="text1"/>
          <w:sz w:val="22"/>
          <w:szCs w:val="22"/>
        </w:rPr>
        <w:t>Appendix</w:t>
      </w:r>
      <w:r w:rsidR="004D22A5">
        <w:rPr>
          <w:rFonts w:ascii="PP Neue Montreal" w:hAnsi="PP Neue Montreal"/>
          <w:color w:val="000000" w:themeColor="text1"/>
          <w:sz w:val="22"/>
          <w:szCs w:val="22"/>
        </w:rPr>
        <w:t xml:space="preserve"> for examples </w:t>
      </w:r>
      <w:r w:rsidR="00FB2B4B">
        <w:rPr>
          <w:rFonts w:ascii="PP Neue Montreal" w:hAnsi="PP Neue Montreal"/>
          <w:color w:val="000000" w:themeColor="text1"/>
          <w:sz w:val="22"/>
          <w:szCs w:val="22"/>
        </w:rPr>
        <w:t xml:space="preserve">of </w:t>
      </w:r>
      <w:r w:rsidR="008D30A8">
        <w:rPr>
          <w:rFonts w:ascii="PP Neue Montreal" w:hAnsi="PP Neue Montreal"/>
          <w:color w:val="000000" w:themeColor="text1"/>
          <w:sz w:val="22"/>
          <w:szCs w:val="22"/>
        </w:rPr>
        <w:t xml:space="preserve">common </w:t>
      </w:r>
      <w:r w:rsidR="00FB2B4B" w:rsidRPr="57E1EF3B">
        <w:rPr>
          <w:rFonts w:ascii="PP Neue Montreal" w:hAnsi="PP Neue Montreal"/>
          <w:color w:val="000000" w:themeColor="text1"/>
          <w:sz w:val="22"/>
          <w:szCs w:val="22"/>
        </w:rPr>
        <w:t>encounter</w:t>
      </w:r>
      <w:r w:rsidR="196939B6" w:rsidRPr="55AD5CEE">
        <w:rPr>
          <w:rFonts w:ascii="PP Neue Montreal" w:hAnsi="PP Neue Montreal"/>
          <w:color w:val="000000" w:themeColor="text1"/>
          <w:sz w:val="22"/>
          <w:szCs w:val="22"/>
        </w:rPr>
        <w:t xml:space="preserve"> types</w:t>
      </w:r>
      <w:r w:rsidR="00FB2B4B">
        <w:rPr>
          <w:rFonts w:ascii="PP Neue Montreal" w:hAnsi="PP Neue Montreal"/>
          <w:color w:val="000000" w:themeColor="text1"/>
          <w:sz w:val="22"/>
          <w:szCs w:val="22"/>
        </w:rPr>
        <w:t xml:space="preserve"> </w:t>
      </w:r>
      <w:r w:rsidR="008D30A8">
        <w:rPr>
          <w:rFonts w:ascii="PP Neue Montreal" w:hAnsi="PP Neue Montreal"/>
          <w:color w:val="000000" w:themeColor="text1"/>
          <w:sz w:val="22"/>
          <w:szCs w:val="22"/>
        </w:rPr>
        <w:t xml:space="preserve">and the economic benefits </w:t>
      </w:r>
      <w:r w:rsidR="007A3FF9">
        <w:rPr>
          <w:rFonts w:ascii="PP Neue Montreal" w:hAnsi="PP Neue Montreal"/>
          <w:color w:val="000000" w:themeColor="text1"/>
          <w:sz w:val="22"/>
          <w:szCs w:val="22"/>
        </w:rPr>
        <w:t xml:space="preserve">that can accrue </w:t>
      </w:r>
      <w:r w:rsidR="1AE577BC" w:rsidRPr="6EA2040A">
        <w:rPr>
          <w:rFonts w:ascii="PP Neue Montreal" w:hAnsi="PP Neue Montreal"/>
          <w:color w:val="000000" w:themeColor="text1"/>
          <w:sz w:val="22"/>
          <w:szCs w:val="22"/>
        </w:rPr>
        <w:t xml:space="preserve">through </w:t>
      </w:r>
      <w:r w:rsidR="1AE577BC" w:rsidRPr="1346F78D">
        <w:rPr>
          <w:rFonts w:ascii="PP Neue Montreal" w:hAnsi="PP Neue Montreal"/>
          <w:color w:val="000000" w:themeColor="text1"/>
          <w:sz w:val="22"/>
          <w:szCs w:val="22"/>
        </w:rPr>
        <w:t xml:space="preserve">different clinician </w:t>
      </w:r>
      <w:r w:rsidR="1AE577BC" w:rsidRPr="74115C99">
        <w:rPr>
          <w:rFonts w:ascii="PP Neue Montreal" w:hAnsi="PP Neue Montreal"/>
          <w:color w:val="000000" w:themeColor="text1"/>
          <w:sz w:val="22"/>
          <w:szCs w:val="22"/>
        </w:rPr>
        <w:t>decisions</w:t>
      </w:r>
      <w:r w:rsidR="403C5E27" w:rsidRPr="6AD4C7C3">
        <w:rPr>
          <w:rFonts w:ascii="PP Neue Montreal" w:hAnsi="PP Neue Montreal"/>
          <w:color w:val="000000" w:themeColor="text1"/>
          <w:sz w:val="22"/>
          <w:szCs w:val="22"/>
        </w:rPr>
        <w:t>.</w:t>
      </w:r>
      <w:r w:rsidR="30C2F437" w:rsidRPr="5C3DB52D">
        <w:rPr>
          <w:rFonts w:ascii="PP Neue Montreal" w:hAnsi="PP Neue Montreal"/>
          <w:color w:val="000000" w:themeColor="text1"/>
          <w:sz w:val="22"/>
          <w:szCs w:val="22"/>
        </w:rPr>
        <w:t xml:space="preserve"> </w:t>
      </w:r>
      <w:r w:rsidR="30C2F437" w:rsidRPr="526CC562">
        <w:rPr>
          <w:rFonts w:ascii="PP Neue Montreal" w:hAnsi="PP Neue Montreal"/>
          <w:color w:val="000000" w:themeColor="text1"/>
          <w:sz w:val="22"/>
          <w:szCs w:val="22"/>
        </w:rPr>
        <w:t xml:space="preserve"> </w:t>
      </w:r>
      <w:r w:rsidR="30C2F437" w:rsidRPr="39F89276">
        <w:rPr>
          <w:rFonts w:ascii="PP Neue Montreal" w:hAnsi="PP Neue Montreal"/>
          <w:color w:val="000000" w:themeColor="text1"/>
          <w:sz w:val="22"/>
          <w:szCs w:val="22"/>
        </w:rPr>
        <w:t>Th</w:t>
      </w:r>
      <w:r w:rsidR="7FD22C11" w:rsidRPr="39F89276">
        <w:rPr>
          <w:rFonts w:ascii="PP Neue Montreal" w:hAnsi="PP Neue Montreal"/>
          <w:color w:val="000000" w:themeColor="text1"/>
          <w:sz w:val="22"/>
          <w:szCs w:val="22"/>
        </w:rPr>
        <w:t>e</w:t>
      </w:r>
      <w:r w:rsidR="32C3BA12" w:rsidRPr="39F89276">
        <w:rPr>
          <w:rFonts w:ascii="PP Neue Montreal" w:hAnsi="PP Neue Montreal"/>
          <w:color w:val="000000" w:themeColor="text1"/>
          <w:sz w:val="22"/>
          <w:szCs w:val="22"/>
        </w:rPr>
        <w:t xml:space="preserve"> inclusion of these</w:t>
      </w:r>
      <w:r w:rsidR="7FD22C11" w:rsidRPr="5C3DB52D">
        <w:rPr>
          <w:rFonts w:ascii="PP Neue Montreal" w:hAnsi="PP Neue Montreal"/>
          <w:color w:val="000000" w:themeColor="text1"/>
          <w:sz w:val="22"/>
          <w:szCs w:val="22"/>
        </w:rPr>
        <w:t xml:space="preserve"> metrics</w:t>
      </w:r>
      <w:r w:rsidR="7AD7EFF1" w:rsidRPr="5C3DB52D">
        <w:rPr>
          <w:rFonts w:ascii="PP Neue Montreal" w:hAnsi="PP Neue Montreal"/>
          <w:color w:val="000000" w:themeColor="text1"/>
          <w:sz w:val="22"/>
          <w:szCs w:val="22"/>
        </w:rPr>
        <w:t xml:space="preserve"> </w:t>
      </w:r>
      <w:r w:rsidR="39265CEF" w:rsidRPr="39F89276">
        <w:rPr>
          <w:rFonts w:ascii="PP Neue Montreal" w:hAnsi="PP Neue Montreal"/>
          <w:color w:val="000000" w:themeColor="text1"/>
          <w:sz w:val="22"/>
          <w:szCs w:val="22"/>
        </w:rPr>
        <w:t>generates</w:t>
      </w:r>
      <w:r w:rsidR="479992A7" w:rsidRPr="5C3DB52D">
        <w:rPr>
          <w:rFonts w:ascii="PP Neue Montreal" w:hAnsi="PP Neue Montreal"/>
          <w:color w:val="000000" w:themeColor="text1"/>
          <w:sz w:val="22"/>
          <w:szCs w:val="22"/>
        </w:rPr>
        <w:t xml:space="preserve"> </w:t>
      </w:r>
      <w:r w:rsidRPr="5C3DB52D">
        <w:rPr>
          <w:rFonts w:ascii="PP Neue Montreal" w:hAnsi="PP Neue Montreal"/>
          <w:color w:val="000000" w:themeColor="text1"/>
          <w:sz w:val="22"/>
          <w:szCs w:val="22"/>
        </w:rPr>
        <w:t xml:space="preserve">an </w:t>
      </w:r>
      <w:hyperlink r:id="rId11">
        <w:r w:rsidRPr="6A825F82">
          <w:rPr>
            <w:rStyle w:val="Hyperlink"/>
            <w:rFonts w:ascii="PP Neue Montreal" w:hAnsi="PP Neue Montreal"/>
            <w:sz w:val="22"/>
            <w:szCs w:val="22"/>
          </w:rPr>
          <w:t>observa</w:t>
        </w:r>
      </w:hyperlink>
      <w:bookmarkStart w:id="6" w:name="_Hlt210045163"/>
      <w:bookmarkStart w:id="7" w:name="_Hlt210045164"/>
      <w:r w:rsidRPr="6A825F82">
        <w:rPr>
          <w:rStyle w:val="Hyperlink"/>
          <w:rFonts w:ascii="PP Neue Montreal" w:hAnsi="PP Neue Montreal"/>
          <w:sz w:val="22"/>
          <w:szCs w:val="22"/>
        </w:rPr>
        <w:t>b</w:t>
      </w:r>
      <w:bookmarkStart w:id="8" w:name="_Hlt210045165"/>
      <w:bookmarkEnd w:id="6"/>
      <w:bookmarkEnd w:id="7"/>
      <w:r w:rsidRPr="6A825F82">
        <w:rPr>
          <w:rStyle w:val="Hyperlink"/>
          <w:rFonts w:ascii="PP Neue Montreal" w:hAnsi="PP Neue Montreal"/>
          <w:sz w:val="22"/>
          <w:szCs w:val="22"/>
        </w:rPr>
        <w:t>i</w:t>
      </w:r>
      <w:bookmarkEnd w:id="8"/>
      <w:r w:rsidRPr="6A825F82">
        <w:rPr>
          <w:rStyle w:val="Hyperlink"/>
          <w:rFonts w:ascii="PP Neue Montreal" w:hAnsi="PP Neue Montreal"/>
          <w:sz w:val="22"/>
          <w:szCs w:val="22"/>
        </w:rPr>
        <w:t>lity</w:t>
      </w:r>
      <w:r w:rsidRPr="5C3DB52D">
        <w:rPr>
          <w:rFonts w:ascii="PP Neue Montreal" w:hAnsi="PP Neue Montreal"/>
          <w:color w:val="000000" w:themeColor="text1"/>
          <w:sz w:val="22"/>
          <w:szCs w:val="22"/>
        </w:rPr>
        <w:t xml:space="preserve"> framework for clinical practice</w:t>
      </w:r>
      <w:r w:rsidR="6C9EBF65" w:rsidRPr="5C3DB52D">
        <w:rPr>
          <w:rFonts w:ascii="PP Neue Montreal" w:hAnsi="PP Neue Montreal"/>
          <w:color w:val="000000" w:themeColor="text1"/>
          <w:sz w:val="22"/>
          <w:szCs w:val="22"/>
        </w:rPr>
        <w:t xml:space="preserve"> embedded </w:t>
      </w:r>
      <w:r w:rsidR="014638C3" w:rsidRPr="5C3DB52D">
        <w:rPr>
          <w:rFonts w:ascii="PP Neue Montreal" w:hAnsi="PP Neue Montreal"/>
          <w:color w:val="000000" w:themeColor="text1"/>
          <w:sz w:val="22"/>
          <w:szCs w:val="22"/>
        </w:rPr>
        <w:t>with</w:t>
      </w:r>
      <w:r w:rsidR="6C9EBF65" w:rsidRPr="5C3DB52D">
        <w:rPr>
          <w:rFonts w:ascii="PP Neue Montreal" w:hAnsi="PP Neue Montreal"/>
          <w:color w:val="000000" w:themeColor="text1"/>
          <w:sz w:val="22"/>
          <w:szCs w:val="22"/>
        </w:rPr>
        <w:t xml:space="preserve">in the </w:t>
      </w:r>
      <w:r w:rsidR="00D81439">
        <w:rPr>
          <w:rFonts w:ascii="PP Neue Montreal" w:hAnsi="PP Neue Montreal"/>
          <w:color w:val="000000" w:themeColor="text1"/>
          <w:sz w:val="22"/>
          <w:szCs w:val="22"/>
        </w:rPr>
        <w:t xml:space="preserve">Cordance </w:t>
      </w:r>
      <w:r w:rsidR="6C9EBF65" w:rsidRPr="5C3DB52D">
        <w:rPr>
          <w:rFonts w:ascii="PP Neue Montreal" w:hAnsi="PP Neue Montreal"/>
          <w:color w:val="000000" w:themeColor="text1"/>
          <w:sz w:val="22"/>
          <w:szCs w:val="22"/>
        </w:rPr>
        <w:t xml:space="preserve">CDS system. </w:t>
      </w:r>
      <w:r w:rsidR="60B58365" w:rsidRPr="5C3DB52D">
        <w:rPr>
          <w:rFonts w:ascii="PP Neue Montreal" w:hAnsi="PP Neue Montreal"/>
          <w:color w:val="000000" w:themeColor="text1"/>
          <w:sz w:val="22"/>
          <w:szCs w:val="22"/>
        </w:rPr>
        <w:t>T</w:t>
      </w:r>
      <w:r w:rsidRPr="5C3DB52D">
        <w:rPr>
          <w:rFonts w:ascii="PP Neue Montreal" w:hAnsi="PP Neue Montreal"/>
          <w:color w:val="000000" w:themeColor="text1"/>
          <w:sz w:val="22"/>
          <w:szCs w:val="22"/>
        </w:rPr>
        <w:t xml:space="preserve">hat </w:t>
      </w:r>
      <w:r w:rsidR="140AA738" w:rsidRPr="5C3DB52D">
        <w:rPr>
          <w:rFonts w:ascii="PP Neue Montreal" w:hAnsi="PP Neue Montreal"/>
          <w:color w:val="000000" w:themeColor="text1"/>
          <w:sz w:val="22"/>
          <w:szCs w:val="22"/>
        </w:rPr>
        <w:t xml:space="preserve">framework will </w:t>
      </w:r>
      <w:r w:rsidRPr="5C3DB52D">
        <w:rPr>
          <w:rFonts w:ascii="PP Neue Montreal" w:hAnsi="PP Neue Montreal"/>
          <w:color w:val="000000" w:themeColor="text1"/>
          <w:sz w:val="22"/>
          <w:szCs w:val="22"/>
        </w:rPr>
        <w:t xml:space="preserve">measure </w:t>
      </w:r>
      <w:r w:rsidR="79B226FB" w:rsidRPr="5C3DB52D">
        <w:rPr>
          <w:rFonts w:ascii="PP Neue Montreal" w:hAnsi="PP Neue Montreal"/>
          <w:color w:val="000000" w:themeColor="text1"/>
          <w:sz w:val="22"/>
          <w:szCs w:val="22"/>
        </w:rPr>
        <w:t xml:space="preserve">shifts </w:t>
      </w:r>
      <w:r w:rsidR="1B9D3C19" w:rsidRPr="5C3DB52D">
        <w:rPr>
          <w:rFonts w:ascii="PP Neue Montreal" w:hAnsi="PP Neue Montreal"/>
          <w:color w:val="000000" w:themeColor="text1"/>
          <w:sz w:val="22"/>
          <w:szCs w:val="22"/>
        </w:rPr>
        <w:t xml:space="preserve">toward, as well as drift away from, </w:t>
      </w:r>
      <w:r w:rsidR="0D2D3C47" w:rsidRPr="5C3DB52D">
        <w:rPr>
          <w:rFonts w:ascii="PP Neue Montreal" w:hAnsi="PP Neue Montreal"/>
          <w:color w:val="000000" w:themeColor="text1"/>
          <w:sz w:val="22"/>
          <w:szCs w:val="22"/>
        </w:rPr>
        <w:t xml:space="preserve">more </w:t>
      </w:r>
      <w:r w:rsidR="1B9D3C19" w:rsidRPr="5C3DB52D">
        <w:rPr>
          <w:rFonts w:ascii="PP Neue Montreal" w:hAnsi="PP Neue Montreal"/>
          <w:color w:val="000000" w:themeColor="text1"/>
          <w:sz w:val="22"/>
          <w:szCs w:val="22"/>
        </w:rPr>
        <w:t>optimal practice</w:t>
      </w:r>
      <w:r w:rsidR="31BC308B" w:rsidRPr="5C3DB52D">
        <w:rPr>
          <w:rFonts w:ascii="PP Neue Montreal" w:hAnsi="PP Neue Montreal"/>
          <w:color w:val="000000" w:themeColor="text1"/>
          <w:sz w:val="22"/>
          <w:szCs w:val="22"/>
        </w:rPr>
        <w:t>.</w:t>
      </w:r>
      <w:r w:rsidR="1B9D3C19" w:rsidRPr="5C3DB52D">
        <w:rPr>
          <w:rFonts w:ascii="PP Neue Montreal" w:hAnsi="PP Neue Montreal"/>
          <w:color w:val="000000" w:themeColor="text1"/>
          <w:sz w:val="22"/>
          <w:szCs w:val="22"/>
        </w:rPr>
        <w:t xml:space="preserve"> </w:t>
      </w:r>
      <w:r w:rsidRPr="0B459426">
        <w:rPr>
          <w:rFonts w:ascii="PP Neue Montreal" w:hAnsi="PP Neue Montreal"/>
          <w:color w:val="000000" w:themeColor="text1"/>
          <w:sz w:val="22"/>
          <w:szCs w:val="22"/>
        </w:rPr>
        <w:t>This</w:t>
      </w:r>
      <w:r w:rsidRPr="5C3DB52D" w:rsidDel="0014451A">
        <w:rPr>
          <w:rFonts w:ascii="PP Neue Montreal" w:hAnsi="PP Neue Montreal"/>
          <w:color w:val="000000" w:themeColor="text1"/>
          <w:sz w:val="22"/>
          <w:szCs w:val="22"/>
        </w:rPr>
        <w:t xml:space="preserve"> </w:t>
      </w:r>
      <w:r w:rsidR="0014451A">
        <w:rPr>
          <w:rFonts w:ascii="PP Neue Montreal" w:hAnsi="PP Neue Montreal"/>
          <w:color w:val="000000" w:themeColor="text1"/>
          <w:sz w:val="22"/>
          <w:szCs w:val="22"/>
        </w:rPr>
        <w:t>shift in practice</w:t>
      </w:r>
      <w:r w:rsidR="0014451A" w:rsidRPr="5C3DB52D">
        <w:rPr>
          <w:rFonts w:ascii="PP Neue Montreal" w:hAnsi="PP Neue Montreal"/>
          <w:color w:val="000000" w:themeColor="text1"/>
          <w:sz w:val="22"/>
          <w:szCs w:val="22"/>
        </w:rPr>
        <w:t xml:space="preserve"> </w:t>
      </w:r>
      <w:r w:rsidRPr="5C3DB52D">
        <w:rPr>
          <w:rFonts w:ascii="PP Neue Montreal" w:hAnsi="PP Neue Montreal"/>
          <w:color w:val="000000" w:themeColor="text1"/>
          <w:sz w:val="22"/>
          <w:szCs w:val="22"/>
        </w:rPr>
        <w:t xml:space="preserve">can be directly tied to quantifiable costs in </w:t>
      </w:r>
      <w:r w:rsidR="008F1C8F">
        <w:rPr>
          <w:rFonts w:ascii="PP Neue Montreal" w:hAnsi="PP Neue Montreal"/>
          <w:color w:val="000000" w:themeColor="text1"/>
          <w:sz w:val="22"/>
          <w:szCs w:val="22"/>
        </w:rPr>
        <w:t xml:space="preserve">patient management, including, in detail, </w:t>
      </w:r>
      <w:r w:rsidRPr="5C3DB52D">
        <w:rPr>
          <w:rFonts w:ascii="PP Neue Montreal" w:hAnsi="PP Neue Montreal"/>
          <w:color w:val="000000" w:themeColor="text1"/>
          <w:sz w:val="22"/>
          <w:szCs w:val="22"/>
        </w:rPr>
        <w:t xml:space="preserve">orders, </w:t>
      </w:r>
      <w:r w:rsidR="008F1C8F">
        <w:rPr>
          <w:rFonts w:ascii="PP Neue Montreal" w:hAnsi="PP Neue Montreal"/>
          <w:color w:val="000000" w:themeColor="text1"/>
          <w:sz w:val="22"/>
          <w:szCs w:val="22"/>
        </w:rPr>
        <w:t>treatment/</w:t>
      </w:r>
      <w:r w:rsidR="00C02F54">
        <w:rPr>
          <w:rFonts w:ascii="PP Neue Montreal" w:hAnsi="PP Neue Montreal"/>
          <w:color w:val="000000" w:themeColor="text1"/>
          <w:sz w:val="22"/>
          <w:szCs w:val="22"/>
        </w:rPr>
        <w:t xml:space="preserve">medications, </w:t>
      </w:r>
      <w:r w:rsidRPr="5C3DB52D">
        <w:rPr>
          <w:rFonts w:ascii="PP Neue Montreal" w:hAnsi="PP Neue Montreal"/>
          <w:color w:val="000000" w:themeColor="text1"/>
          <w:sz w:val="22"/>
          <w:szCs w:val="22"/>
        </w:rPr>
        <w:t>referrals</w:t>
      </w:r>
      <w:r w:rsidR="00C02F54">
        <w:rPr>
          <w:rFonts w:ascii="PP Neue Montreal" w:hAnsi="PP Neue Montreal"/>
          <w:color w:val="000000" w:themeColor="text1"/>
          <w:sz w:val="22"/>
          <w:szCs w:val="22"/>
        </w:rPr>
        <w:t>,</w:t>
      </w:r>
      <w:r w:rsidRPr="5C3DB52D">
        <w:rPr>
          <w:rFonts w:ascii="PP Neue Montreal" w:hAnsi="PP Neue Montreal"/>
          <w:color w:val="000000" w:themeColor="text1"/>
          <w:sz w:val="22"/>
          <w:szCs w:val="22"/>
        </w:rPr>
        <w:t xml:space="preserve"> and outcomes</w:t>
      </w:r>
      <w:r w:rsidR="00FB4C52">
        <w:rPr>
          <w:rFonts w:ascii="PP Neue Montreal" w:hAnsi="PP Neue Montreal"/>
          <w:color w:val="000000" w:themeColor="text1"/>
          <w:sz w:val="22"/>
          <w:szCs w:val="22"/>
        </w:rPr>
        <w:t xml:space="preserve">. </w:t>
      </w:r>
    </w:p>
    <w:p w14:paraId="120EE456" w14:textId="2A12ED45" w:rsidR="60462ED6" w:rsidRDefault="60462ED6" w:rsidP="0B459426">
      <w:pPr>
        <w:spacing w:before="0" w:after="0"/>
        <w:rPr>
          <w:rFonts w:ascii="PP Neue Montreal" w:hAnsi="PP Neue Montreal"/>
          <w:color w:val="000000" w:themeColor="text1"/>
          <w:sz w:val="22"/>
          <w:szCs w:val="22"/>
        </w:rPr>
      </w:pPr>
      <w:r w:rsidRPr="5C3DB52D">
        <w:rPr>
          <w:rFonts w:ascii="PP Neue Montreal" w:hAnsi="PP Neue Montreal"/>
          <w:color w:val="000000" w:themeColor="text1"/>
          <w:sz w:val="22"/>
          <w:szCs w:val="22"/>
        </w:rPr>
        <w:t xml:space="preserve">In clinical practice, Cordance surfaces patterns that help change behavior, bringing physician decisions closer to optimal outcomes – </w:t>
      </w:r>
      <w:r w:rsidR="3FF33529" w:rsidRPr="39F89276">
        <w:rPr>
          <w:rFonts w:ascii="PP Neue Montreal" w:hAnsi="PP Neue Montreal"/>
          <w:color w:val="000000" w:themeColor="text1"/>
          <w:sz w:val="22"/>
          <w:szCs w:val="22"/>
        </w:rPr>
        <w:t>compared</w:t>
      </w:r>
      <w:r w:rsidRPr="39F89276">
        <w:rPr>
          <w:rFonts w:ascii="PP Neue Montreal" w:hAnsi="PP Neue Montreal"/>
          <w:color w:val="000000" w:themeColor="text1"/>
          <w:sz w:val="22"/>
          <w:szCs w:val="22"/>
        </w:rPr>
        <w:t xml:space="preserve"> </w:t>
      </w:r>
      <w:r w:rsidRPr="5C3DB52D">
        <w:rPr>
          <w:rFonts w:ascii="PP Neue Montreal" w:hAnsi="PP Neue Montreal"/>
          <w:color w:val="000000" w:themeColor="text1"/>
          <w:sz w:val="22"/>
          <w:szCs w:val="22"/>
        </w:rPr>
        <w:t xml:space="preserve">against </w:t>
      </w:r>
      <w:r w:rsidR="0C2E59F8" w:rsidRPr="39F89276">
        <w:rPr>
          <w:rFonts w:ascii="PP Neue Montreal" w:hAnsi="PP Neue Montreal"/>
          <w:color w:val="000000" w:themeColor="text1"/>
          <w:sz w:val="22"/>
          <w:szCs w:val="22"/>
        </w:rPr>
        <w:t xml:space="preserve">both </w:t>
      </w:r>
      <w:r w:rsidRPr="5C3DB52D">
        <w:rPr>
          <w:rFonts w:ascii="PP Neue Montreal" w:hAnsi="PP Neue Montreal"/>
          <w:color w:val="000000" w:themeColor="text1"/>
          <w:sz w:val="22"/>
          <w:szCs w:val="22"/>
        </w:rPr>
        <w:t xml:space="preserve">AI recommendations and </w:t>
      </w:r>
      <w:r w:rsidRPr="39F89276">
        <w:rPr>
          <w:rFonts w:ascii="PP Neue Montreal" w:hAnsi="PP Neue Montreal"/>
          <w:color w:val="000000" w:themeColor="text1"/>
          <w:sz w:val="22"/>
          <w:szCs w:val="22"/>
        </w:rPr>
        <w:t>peer</w:t>
      </w:r>
      <w:r w:rsidR="52940B9D" w:rsidRPr="39F89276">
        <w:rPr>
          <w:rFonts w:ascii="PP Neue Montreal" w:hAnsi="PP Neue Montreal"/>
          <w:color w:val="000000" w:themeColor="text1"/>
          <w:sz w:val="22"/>
          <w:szCs w:val="22"/>
        </w:rPr>
        <w:t>s</w:t>
      </w:r>
      <w:r w:rsidRPr="39F89276">
        <w:rPr>
          <w:rFonts w:ascii="PP Neue Montreal" w:hAnsi="PP Neue Montreal"/>
          <w:color w:val="000000" w:themeColor="text1"/>
          <w:sz w:val="22"/>
          <w:szCs w:val="22"/>
        </w:rPr>
        <w:t>.</w:t>
      </w:r>
      <w:r w:rsidRPr="5C3DB52D">
        <w:rPr>
          <w:rFonts w:ascii="PP Neue Montreal" w:hAnsi="PP Neue Montreal"/>
          <w:color w:val="000000" w:themeColor="text1"/>
          <w:sz w:val="22"/>
          <w:szCs w:val="22"/>
        </w:rPr>
        <w:t xml:space="preserve"> This makes physician effectiveness not just observable, but measurable in economic terms, giving health systems a clear, data-driven path to reduce variation, lower costs, and improve outcomes.</w:t>
      </w:r>
    </w:p>
    <w:p w14:paraId="162235FB" w14:textId="751C2309" w:rsidR="00DA0BF4" w:rsidRDefault="60462ED6" w:rsidP="00DA0BF4">
      <w:pPr>
        <w:spacing w:before="240" w:after="0"/>
        <w:rPr>
          <w:rFonts w:ascii="IvyPresto Display Thin" w:hAnsi="IvyPresto Display Thin" w:cs="IvyPresto Display Thin"/>
          <w:b/>
          <w:bCs/>
          <w:color w:val="215E99" w:themeColor="text2" w:themeTint="BF"/>
        </w:rPr>
      </w:pPr>
      <w:r w:rsidRPr="0B459426">
        <w:rPr>
          <w:rFonts w:ascii="PP Neue Montreal" w:eastAsia="PP Neue Montreal" w:hAnsi="PP Neue Montreal" w:cs="PP Neue Montreal"/>
          <w:sz w:val="22"/>
          <w:szCs w:val="22"/>
        </w:rPr>
        <w:t xml:space="preserve">Cordance will validate its ROI hypotheses through a structured, data-driven evaluation framework that will be designed in partnership with our first pilot partners – UMass and Duke. The framework will be designed to isolate Cordance’s impact on clinical decision-making and link it to measurable economic outcomes. We intend for this process to include both observational analytics and </w:t>
      </w:r>
      <w:r w:rsidRPr="61193943">
        <w:rPr>
          <w:rFonts w:ascii="PP Neue Montreal" w:eastAsia="PP Neue Montreal" w:hAnsi="PP Neue Montreal" w:cs="PP Neue Montreal"/>
          <w:sz w:val="22"/>
          <w:szCs w:val="22"/>
        </w:rPr>
        <w:t>behavior</w:t>
      </w:r>
      <w:r w:rsidRPr="0B459426">
        <w:rPr>
          <w:rFonts w:ascii="PP Neue Montreal" w:eastAsia="PP Neue Montreal" w:hAnsi="PP Neue Montreal" w:cs="PP Neue Montreal"/>
          <w:sz w:val="22"/>
          <w:szCs w:val="22"/>
        </w:rPr>
        <w:t xml:space="preserve"> change tracking, with a focus on drift reduction, economic attribution and </w:t>
      </w:r>
      <w:r w:rsidRPr="00F00FDE">
        <w:rPr>
          <w:rFonts w:ascii="PP Neue Montreal" w:eastAsia="PP Neue Montreal" w:hAnsi="PP Neue Montreal" w:cs="PP Neue Montreal"/>
          <w:sz w:val="22"/>
          <w:szCs w:val="22"/>
        </w:rPr>
        <w:t>longitudinal monitoring</w:t>
      </w:r>
      <w:r w:rsidR="2C8D7D4B" w:rsidRPr="00F00FDE">
        <w:rPr>
          <w:rFonts w:ascii="PP Neue Montreal" w:eastAsia="PP Neue Montreal" w:hAnsi="PP Neue Montreal" w:cs="PP Neue Montreal"/>
          <w:sz w:val="22"/>
          <w:szCs w:val="22"/>
        </w:rPr>
        <w:t>.</w:t>
      </w:r>
      <w:r w:rsidR="2C8D7D4B" w:rsidRPr="1D19C356">
        <w:rPr>
          <w:rFonts w:ascii="IvyPresto Display Thin" w:hAnsi="IvyPresto Display Thin" w:cs="IvyPresto Display Thin"/>
          <w:b/>
          <w:bCs/>
          <w:color w:val="215E99" w:themeColor="text2" w:themeTint="BF"/>
        </w:rPr>
        <w:t xml:space="preserve">  </w:t>
      </w:r>
    </w:p>
    <w:p w14:paraId="21110D00" w14:textId="77777777" w:rsidR="00DA0BF4" w:rsidRPr="00DA0BF4" w:rsidRDefault="00DA0BF4" w:rsidP="00DA0BF4">
      <w:pPr>
        <w:spacing w:before="0" w:after="240"/>
        <w:rPr>
          <w:rFonts w:ascii="IvyPresto Display Thin" w:hAnsi="IvyPresto Display Thin" w:cs="IvyPresto Display Thin"/>
          <w:b/>
          <w:color w:val="215E99" w:themeColor="text2" w:themeTint="BF"/>
        </w:rPr>
      </w:pPr>
    </w:p>
    <w:p w14:paraId="06A7E7FD" w14:textId="5FB31D1A" w:rsidR="60462ED6" w:rsidRPr="00C85C8A" w:rsidRDefault="00C85C8A" w:rsidP="0B459426">
      <w:pPr>
        <w:spacing w:before="360" w:after="360"/>
        <w:rPr>
          <w:rFonts w:ascii="PP Neue Montreal" w:hAnsi="PP Neue Montreal"/>
          <w:b/>
          <w:bCs/>
          <w:color w:val="215E99" w:themeColor="text2" w:themeTint="BF"/>
        </w:rPr>
      </w:pPr>
      <w:r w:rsidRPr="00BA6488">
        <w:rPr>
          <w:rFonts w:ascii="IvyPresto Display Thin" w:hAnsi="IvyPresto Display Thin" w:cs="IvyPresto Display Thin"/>
          <w:bCs/>
          <w:color w:val="215E99" w:themeColor="text2" w:themeTint="BF"/>
        </w:rPr>
        <w:t>(2a.)</w:t>
      </w:r>
      <w:r w:rsidRPr="00BA6488">
        <w:rPr>
          <w:rFonts w:ascii="PP Neue Montreal" w:hAnsi="PP Neue Montreal"/>
          <w:b/>
          <w:color w:val="215E99" w:themeColor="text2" w:themeTint="BF"/>
        </w:rPr>
        <w:t xml:space="preserve"> </w:t>
      </w:r>
      <w:r w:rsidR="60462ED6" w:rsidRPr="00BA6488">
        <w:rPr>
          <w:rFonts w:ascii="PP Neue Montreal Book" w:hAnsi="PP Neue Montreal Book" w:cs="IvyPresto Display Thin"/>
          <w:b/>
          <w:color w:val="215E99" w:themeColor="text2" w:themeTint="BF"/>
        </w:rPr>
        <w:t>Framework for ROI Validation</w:t>
      </w:r>
      <w:r w:rsidR="60462ED6" w:rsidRPr="00C85C8A">
        <w:rPr>
          <w:rFonts w:ascii="PP Neue Montreal" w:hAnsi="PP Neue Montreal"/>
          <w:b/>
          <w:bCs/>
          <w:color w:val="215E99" w:themeColor="text2" w:themeTint="BF"/>
        </w:rPr>
        <w:t xml:space="preserve"> </w:t>
      </w:r>
    </w:p>
    <w:p w14:paraId="442B1BD8" w14:textId="059A94F7" w:rsidR="60462ED6" w:rsidRDefault="04AD095E"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5798F1F5">
        <w:rPr>
          <w:rFonts w:ascii="PP Neue Montreal" w:eastAsia="PP Neue Montreal" w:hAnsi="PP Neue Montreal" w:cs="PP Neue Montreal"/>
          <w:color w:val="000000" w:themeColor="text1"/>
          <w:sz w:val="22"/>
          <w:szCs w:val="22"/>
        </w:rPr>
        <w:t xml:space="preserve">Measure </w:t>
      </w:r>
      <w:r w:rsidR="60462ED6" w:rsidRPr="0B459426">
        <w:rPr>
          <w:rFonts w:ascii="PP Neue Montreal" w:eastAsia="PP Neue Montreal" w:hAnsi="PP Neue Montreal" w:cs="PP Neue Montreal"/>
          <w:color w:val="000000" w:themeColor="text1"/>
          <w:sz w:val="22"/>
          <w:szCs w:val="22"/>
        </w:rPr>
        <w:t xml:space="preserve">the Baseline </w:t>
      </w:r>
      <w:r w:rsidR="1C82B6E3" w:rsidRPr="5798F1F5">
        <w:rPr>
          <w:rFonts w:ascii="PP Neue Montreal" w:eastAsia="PP Neue Montreal" w:hAnsi="PP Neue Montreal" w:cs="PP Neue Montreal"/>
          <w:color w:val="000000" w:themeColor="text1"/>
          <w:sz w:val="22"/>
          <w:szCs w:val="22"/>
        </w:rPr>
        <w:t xml:space="preserve">state </w:t>
      </w:r>
      <w:r w:rsidR="60462ED6" w:rsidRPr="0B459426">
        <w:rPr>
          <w:rFonts w:ascii="PP Neue Montreal" w:eastAsia="PP Neue Montreal" w:hAnsi="PP Neue Montreal" w:cs="PP Neue Montreal"/>
          <w:color w:val="000000" w:themeColor="text1"/>
          <w:sz w:val="22"/>
          <w:szCs w:val="22"/>
        </w:rPr>
        <w:t xml:space="preserve">for </w:t>
      </w:r>
      <w:r w:rsidR="763F287E" w:rsidRPr="5798F1F5">
        <w:rPr>
          <w:rFonts w:ascii="PP Neue Montreal" w:eastAsia="PP Neue Montreal" w:hAnsi="PP Neue Montreal" w:cs="PP Neue Montreal"/>
          <w:color w:val="000000" w:themeColor="text1"/>
          <w:sz w:val="22"/>
          <w:szCs w:val="22"/>
        </w:rPr>
        <w:t xml:space="preserve">current </w:t>
      </w:r>
      <w:r w:rsidR="60462ED6" w:rsidRPr="0B459426">
        <w:rPr>
          <w:rFonts w:ascii="PP Neue Montreal" w:eastAsia="PP Neue Montreal" w:hAnsi="PP Neue Montreal" w:cs="PP Neue Montreal"/>
          <w:color w:val="000000" w:themeColor="text1"/>
          <w:sz w:val="22"/>
          <w:szCs w:val="22"/>
        </w:rPr>
        <w:t xml:space="preserve">Clinical </w:t>
      </w:r>
      <w:r w:rsidR="7ADDD05F" w:rsidRPr="5798F1F5">
        <w:rPr>
          <w:rFonts w:ascii="PP Neue Montreal" w:eastAsia="PP Neue Montreal" w:hAnsi="PP Neue Montreal" w:cs="PP Neue Montreal"/>
          <w:color w:val="000000" w:themeColor="text1"/>
          <w:sz w:val="22"/>
          <w:szCs w:val="22"/>
        </w:rPr>
        <w:t>practice</w:t>
      </w:r>
      <w:r w:rsidR="60462ED6" w:rsidRPr="0B459426">
        <w:rPr>
          <w:rFonts w:ascii="PP Neue Montreal" w:eastAsia="PP Neue Montreal" w:hAnsi="PP Neue Montreal" w:cs="PP Neue Montreal"/>
          <w:color w:val="000000" w:themeColor="text1"/>
          <w:sz w:val="22"/>
          <w:szCs w:val="22"/>
        </w:rPr>
        <w:t xml:space="preserve"> </w:t>
      </w:r>
    </w:p>
    <w:p w14:paraId="06DC81C3" w14:textId="086C46FE" w:rsidR="60462ED6" w:rsidRDefault="60462ED6" w:rsidP="002555C1">
      <w:pPr>
        <w:pStyle w:val="ListParagraph"/>
        <w:numPr>
          <w:ilvl w:val="1"/>
          <w:numId w:val="61"/>
        </w:numPr>
        <w:spacing w:before="0" w:after="0"/>
        <w:rPr>
          <w:rFonts w:ascii="PP Neue Montreal" w:eastAsia="PP Neue Montreal" w:hAnsi="PP Neue Montreal" w:cs="PP Neue Montreal"/>
          <w:color w:val="000000" w:themeColor="text1"/>
          <w:sz w:val="22"/>
          <w:szCs w:val="22"/>
        </w:rPr>
      </w:pPr>
      <w:r w:rsidRPr="5C3DB52D">
        <w:rPr>
          <w:rFonts w:ascii="PP Neue Montreal" w:eastAsia="PP Neue Montreal" w:hAnsi="PP Neue Montreal" w:cs="PP Neue Montreal"/>
          <w:color w:val="000000" w:themeColor="text1"/>
          <w:sz w:val="22"/>
          <w:szCs w:val="22"/>
        </w:rPr>
        <w:t xml:space="preserve">Cordance will begin by analyzing historical clinical </w:t>
      </w:r>
      <w:r w:rsidR="238AC8D9" w:rsidRPr="5C3DB52D">
        <w:rPr>
          <w:rFonts w:ascii="PP Neue Montreal" w:eastAsia="PP Neue Montreal" w:hAnsi="PP Neue Montreal" w:cs="PP Neue Montreal"/>
          <w:color w:val="000000" w:themeColor="text1"/>
          <w:sz w:val="22"/>
          <w:szCs w:val="22"/>
        </w:rPr>
        <w:t xml:space="preserve">encounter </w:t>
      </w:r>
      <w:r w:rsidRPr="5C3DB52D">
        <w:rPr>
          <w:rFonts w:ascii="PP Neue Montreal" w:eastAsia="PP Neue Montreal" w:hAnsi="PP Neue Montreal" w:cs="PP Neue Montreal"/>
          <w:color w:val="000000" w:themeColor="text1"/>
          <w:sz w:val="22"/>
          <w:szCs w:val="22"/>
        </w:rPr>
        <w:t xml:space="preserve">decisions to establish a baseline </w:t>
      </w:r>
      <w:r w:rsidR="315E7205" w:rsidRPr="00C85C8A">
        <w:rPr>
          <w:rFonts w:ascii="PP Neue Montreal" w:eastAsia="PP Neue Montreal" w:hAnsi="PP Neue Montreal" w:cs="PP Neue Montreal"/>
          <w:color w:val="000000" w:themeColor="text1"/>
          <w:sz w:val="22"/>
          <w:szCs w:val="22"/>
        </w:rPr>
        <w:t>s</w:t>
      </w:r>
      <w:r w:rsidR="5CC61B79" w:rsidRPr="00C85C8A">
        <w:rPr>
          <w:rFonts w:ascii="PP Neue Montreal" w:eastAsia="PP Neue Montreal" w:hAnsi="PP Neue Montreal" w:cs="PP Neue Montreal"/>
          <w:color w:val="000000" w:themeColor="text1"/>
          <w:sz w:val="22"/>
          <w:szCs w:val="22"/>
        </w:rPr>
        <w:t>et</w:t>
      </w:r>
      <w:r w:rsidR="3DD64C37" w:rsidRPr="5C3DB52D">
        <w:rPr>
          <w:rFonts w:ascii="PP Neue Montreal" w:eastAsia="PP Neue Montreal" w:hAnsi="PP Neue Montreal" w:cs="PP Neue Montreal"/>
          <w:color w:val="000000" w:themeColor="text1"/>
          <w:sz w:val="22"/>
          <w:szCs w:val="22"/>
        </w:rPr>
        <w:t xml:space="preserve"> of metrics </w:t>
      </w:r>
      <w:r w:rsidR="2E23A076" w:rsidRPr="00C85C8A">
        <w:rPr>
          <w:rFonts w:ascii="PP Neue Montreal" w:eastAsia="PP Neue Montreal" w:hAnsi="PP Neue Montreal" w:cs="PP Neue Montreal"/>
          <w:color w:val="000000" w:themeColor="text1"/>
          <w:sz w:val="22"/>
          <w:szCs w:val="22"/>
        </w:rPr>
        <w:t>aligned with</w:t>
      </w:r>
      <w:r w:rsidR="1EF26E29" w:rsidRPr="5C3DB52D">
        <w:rPr>
          <w:rFonts w:ascii="PP Neue Montreal" w:eastAsia="PP Neue Montreal" w:hAnsi="PP Neue Montreal" w:cs="PP Neue Montreal"/>
          <w:color w:val="000000" w:themeColor="text1"/>
          <w:sz w:val="22"/>
          <w:szCs w:val="22"/>
        </w:rPr>
        <w:t xml:space="preserve"> </w:t>
      </w:r>
      <w:r w:rsidRPr="5C3DB52D" w:rsidDel="60462ED6">
        <w:rPr>
          <w:rFonts w:ascii="PP Neue Montreal" w:eastAsia="PP Neue Montreal" w:hAnsi="PP Neue Montreal" w:cs="PP Neue Montreal"/>
          <w:color w:val="000000" w:themeColor="text1"/>
          <w:sz w:val="22"/>
          <w:szCs w:val="22"/>
        </w:rPr>
        <w:t xml:space="preserve">the </w:t>
      </w:r>
      <w:r w:rsidR="2E23A076" w:rsidRPr="00C85C8A">
        <w:rPr>
          <w:rFonts w:ascii="PP Neue Montreal" w:eastAsia="PP Neue Montreal" w:hAnsi="PP Neue Montreal" w:cs="PP Neue Montreal"/>
          <w:color w:val="000000" w:themeColor="text1"/>
          <w:sz w:val="22"/>
          <w:szCs w:val="22"/>
        </w:rPr>
        <w:t>categories described in the Appendix</w:t>
      </w:r>
      <w:r w:rsidR="218ED4B1" w:rsidRPr="00C85C8A">
        <w:rPr>
          <w:rFonts w:ascii="PP Neue Montreal" w:eastAsia="PP Neue Montreal" w:hAnsi="PP Neue Montreal" w:cs="PP Neue Montreal"/>
          <w:color w:val="000000" w:themeColor="text1"/>
          <w:sz w:val="22"/>
          <w:szCs w:val="22"/>
        </w:rPr>
        <w:t>.</w:t>
      </w:r>
      <w:r w:rsidR="218ED4B1" w:rsidRPr="5C3DB52D">
        <w:rPr>
          <w:rFonts w:ascii="PP Neue Montreal" w:eastAsia="PP Neue Montreal" w:hAnsi="PP Neue Montreal" w:cs="PP Neue Montreal"/>
          <w:color w:val="000000" w:themeColor="text1"/>
          <w:sz w:val="22"/>
          <w:szCs w:val="22"/>
        </w:rPr>
        <w:t xml:space="preserve"> This baseline state </w:t>
      </w:r>
      <w:r w:rsidR="218ED4B1" w:rsidRPr="00C85C8A">
        <w:rPr>
          <w:rFonts w:ascii="PP Neue Montreal" w:eastAsia="PP Neue Montreal" w:hAnsi="PP Neue Montreal" w:cs="PP Neue Montreal"/>
          <w:color w:val="000000" w:themeColor="text1"/>
          <w:sz w:val="22"/>
          <w:szCs w:val="22"/>
        </w:rPr>
        <w:t xml:space="preserve">will </w:t>
      </w:r>
      <w:r w:rsidR="0C56E27B" w:rsidRPr="00C85C8A">
        <w:rPr>
          <w:rFonts w:ascii="PP Neue Montreal" w:eastAsia="PP Neue Montreal" w:hAnsi="PP Neue Montreal" w:cs="PP Neue Montreal"/>
          <w:color w:val="000000" w:themeColor="text1"/>
          <w:sz w:val="22"/>
          <w:szCs w:val="22"/>
        </w:rPr>
        <w:t xml:space="preserve">be assessed against </w:t>
      </w:r>
      <w:r w:rsidRPr="00C85C8A">
        <w:rPr>
          <w:rFonts w:ascii="PP Neue Montreal" w:eastAsia="PP Neue Montreal" w:hAnsi="PP Neue Montreal" w:cs="PP Neue Montreal"/>
          <w:color w:val="000000" w:themeColor="text1"/>
          <w:sz w:val="22"/>
          <w:szCs w:val="22"/>
        </w:rPr>
        <w:t>AI recommendations and peer benchmarks.</w:t>
      </w:r>
    </w:p>
    <w:p w14:paraId="77FBD9E2" w14:textId="437A6B57" w:rsidR="60462ED6" w:rsidRDefault="60462ED6" w:rsidP="002555C1">
      <w:pPr>
        <w:pStyle w:val="ListParagraph"/>
        <w:numPr>
          <w:ilvl w:val="1"/>
          <w:numId w:val="61"/>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This</w:t>
      </w:r>
      <w:r w:rsidRPr="4C538F55" w:rsidDel="60462ED6">
        <w:rPr>
          <w:rFonts w:ascii="PP Neue Montreal" w:eastAsia="PP Neue Montreal" w:hAnsi="PP Neue Montreal" w:cs="PP Neue Montreal"/>
          <w:color w:val="000000" w:themeColor="text1"/>
          <w:sz w:val="22"/>
          <w:szCs w:val="22"/>
        </w:rPr>
        <w:t xml:space="preserve"> </w:t>
      </w:r>
      <w:r w:rsidR="68CB1A62" w:rsidRPr="1A55C5EF">
        <w:rPr>
          <w:rFonts w:ascii="PP Neue Montreal" w:eastAsia="PP Neue Montreal" w:hAnsi="PP Neue Montreal" w:cs="PP Neue Montreal"/>
          <w:color w:val="000000" w:themeColor="text1"/>
          <w:sz w:val="22"/>
          <w:szCs w:val="22"/>
        </w:rPr>
        <w:t>baseline</w:t>
      </w:r>
      <w:r w:rsidRPr="0B459426">
        <w:rPr>
          <w:rFonts w:ascii="PP Neue Montreal" w:eastAsia="PP Neue Montreal" w:hAnsi="PP Neue Montreal" w:cs="PP Neue Montreal"/>
          <w:color w:val="000000" w:themeColor="text1"/>
          <w:sz w:val="22"/>
          <w:szCs w:val="22"/>
        </w:rPr>
        <w:t xml:space="preserve"> will be quantified across key use cases (e.g., specialist referrals, suboptimal diagnostics, missed 340B opportunities) using retrospective data.</w:t>
      </w:r>
    </w:p>
    <w:p w14:paraId="14756B1A" w14:textId="03F91E83" w:rsidR="0B459426" w:rsidRDefault="0B459426" w:rsidP="0B459426">
      <w:pPr>
        <w:pStyle w:val="ListParagraph"/>
        <w:spacing w:before="0" w:after="0"/>
        <w:ind w:left="1440" w:hanging="360"/>
        <w:rPr>
          <w:rFonts w:ascii="PP Neue Montreal" w:eastAsia="PP Neue Montreal" w:hAnsi="PP Neue Montreal" w:cs="PP Neue Montreal"/>
          <w:color w:val="000000" w:themeColor="text1"/>
          <w:sz w:val="22"/>
          <w:szCs w:val="22"/>
        </w:rPr>
      </w:pPr>
    </w:p>
    <w:p w14:paraId="50320B9F" w14:textId="34A70F53" w:rsidR="60462ED6" w:rsidRDefault="5C05E914"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020B9A00">
        <w:rPr>
          <w:rFonts w:ascii="PP Neue Montreal" w:eastAsia="PP Neue Montreal" w:hAnsi="PP Neue Montreal" w:cs="PP Neue Montreal"/>
          <w:color w:val="000000" w:themeColor="text1"/>
          <w:sz w:val="22"/>
          <w:szCs w:val="22"/>
        </w:rPr>
        <w:t xml:space="preserve">Selected </w:t>
      </w:r>
      <w:r w:rsidR="60462ED6" w:rsidRPr="0B459426">
        <w:rPr>
          <w:rFonts w:ascii="PP Neue Montreal" w:eastAsia="PP Neue Montreal" w:hAnsi="PP Neue Montreal" w:cs="PP Neue Montreal"/>
          <w:color w:val="000000" w:themeColor="text1"/>
          <w:sz w:val="22"/>
          <w:szCs w:val="22"/>
        </w:rPr>
        <w:t xml:space="preserve">Deployment </w:t>
      </w:r>
      <w:r w:rsidR="3BE6135C" w:rsidRPr="020B9A00">
        <w:rPr>
          <w:rFonts w:ascii="PP Neue Montreal" w:eastAsia="PP Neue Montreal" w:hAnsi="PP Neue Montreal" w:cs="PP Neue Montreal"/>
          <w:color w:val="000000" w:themeColor="text1"/>
          <w:sz w:val="22"/>
          <w:szCs w:val="22"/>
        </w:rPr>
        <w:t>of Clinician behavioral influence</w:t>
      </w:r>
    </w:p>
    <w:p w14:paraId="49B0D8BF" w14:textId="3AA0351F" w:rsidR="60462ED6" w:rsidRDefault="60462ED6" w:rsidP="002555C1">
      <w:pPr>
        <w:pStyle w:val="ListParagraph"/>
        <w:numPr>
          <w:ilvl w:val="1"/>
          <w:numId w:val="62"/>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Cordance will introduce nudges and decision support within the </w:t>
      </w:r>
      <w:r w:rsidR="20EDD109" w:rsidRPr="020B9A00">
        <w:rPr>
          <w:rFonts w:ascii="PP Neue Montreal" w:eastAsia="PP Neue Montreal" w:hAnsi="PP Neue Montreal" w:cs="PP Neue Montreal"/>
          <w:color w:val="000000" w:themeColor="text1"/>
          <w:sz w:val="22"/>
          <w:szCs w:val="22"/>
        </w:rPr>
        <w:t xml:space="preserve">encounter </w:t>
      </w:r>
      <w:r w:rsidRPr="0B459426">
        <w:rPr>
          <w:rFonts w:ascii="PP Neue Montreal" w:eastAsia="PP Neue Montreal" w:hAnsi="PP Neue Montreal" w:cs="PP Neue Montreal"/>
          <w:color w:val="000000" w:themeColor="text1"/>
          <w:sz w:val="22"/>
          <w:szCs w:val="22"/>
        </w:rPr>
        <w:t>workflow for selected use cases</w:t>
      </w:r>
      <w:r w:rsidR="4242ADDF" w:rsidRPr="020B9A00">
        <w:rPr>
          <w:rFonts w:ascii="PP Neue Montreal" w:eastAsia="PP Neue Montreal" w:hAnsi="PP Neue Montreal" w:cs="PP Neue Montreal"/>
          <w:color w:val="000000" w:themeColor="text1"/>
          <w:sz w:val="22"/>
          <w:szCs w:val="22"/>
        </w:rPr>
        <w:t xml:space="preserve"> identified in conjunction with Provider partners</w:t>
      </w:r>
      <w:r w:rsidRPr="020B9A00">
        <w:rPr>
          <w:rFonts w:ascii="PP Neue Montreal" w:eastAsia="PP Neue Montreal" w:hAnsi="PP Neue Montreal" w:cs="PP Neue Montreal"/>
          <w:color w:val="000000" w:themeColor="text1"/>
          <w:sz w:val="22"/>
          <w:szCs w:val="22"/>
        </w:rPr>
        <w:t>.</w:t>
      </w:r>
      <w:r w:rsidRPr="0B459426">
        <w:rPr>
          <w:rFonts w:ascii="PP Neue Montreal" w:eastAsia="PP Neue Montreal" w:hAnsi="PP Neue Montreal" w:cs="PP Neue Montreal"/>
          <w:color w:val="000000" w:themeColor="text1"/>
          <w:sz w:val="22"/>
          <w:szCs w:val="22"/>
        </w:rPr>
        <w:t xml:space="preserve"> Nudges will be designed to guide clinicians toward more economically and clinically optimal decisions.</w:t>
      </w:r>
    </w:p>
    <w:p w14:paraId="3CE965C9" w14:textId="519DAF59" w:rsidR="0B459426" w:rsidRDefault="0B459426" w:rsidP="0B459426">
      <w:pPr>
        <w:pStyle w:val="ListParagraph"/>
        <w:spacing w:before="0" w:after="0"/>
        <w:ind w:left="1440" w:hanging="360"/>
        <w:rPr>
          <w:rFonts w:ascii="PP Neue Montreal" w:eastAsia="PP Neue Montreal" w:hAnsi="PP Neue Montreal" w:cs="PP Neue Montreal"/>
          <w:color w:val="000000" w:themeColor="text1"/>
          <w:sz w:val="22"/>
          <w:szCs w:val="22"/>
        </w:rPr>
      </w:pPr>
    </w:p>
    <w:p w14:paraId="29E20307" w14:textId="7B39F3DD" w:rsidR="60462ED6" w:rsidRDefault="60462ED6"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Concordance/Discordance Reporting </w:t>
      </w:r>
    </w:p>
    <w:p w14:paraId="5A124325" w14:textId="7E410C35"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Generated </w:t>
      </w:r>
      <w:r w:rsidR="6DBB336B" w:rsidRPr="020B9A00">
        <w:rPr>
          <w:rFonts w:ascii="PP Neue Montreal" w:eastAsia="PP Neue Montreal" w:hAnsi="PP Neue Montreal" w:cs="PP Neue Montreal"/>
          <w:color w:val="000000" w:themeColor="text1"/>
          <w:sz w:val="22"/>
          <w:szCs w:val="22"/>
        </w:rPr>
        <w:t xml:space="preserve">periodic (e.g. </w:t>
      </w:r>
      <w:r w:rsidRPr="0B459426">
        <w:rPr>
          <w:rFonts w:ascii="PP Neue Montreal" w:eastAsia="PP Neue Montreal" w:hAnsi="PP Neue Montreal" w:cs="PP Neue Montreal"/>
          <w:color w:val="000000" w:themeColor="text1"/>
          <w:sz w:val="22"/>
          <w:szCs w:val="22"/>
        </w:rPr>
        <w:t>weekly</w:t>
      </w:r>
      <w:r w:rsidR="469E262F" w:rsidRPr="020B9A00">
        <w:rPr>
          <w:rFonts w:ascii="PP Neue Montreal" w:eastAsia="PP Neue Montreal" w:hAnsi="PP Neue Montreal" w:cs="PP Neue Montreal"/>
          <w:color w:val="000000" w:themeColor="text1"/>
          <w:sz w:val="22"/>
          <w:szCs w:val="22"/>
        </w:rPr>
        <w:t>, monthly)</w:t>
      </w:r>
      <w:r w:rsidRPr="0B459426">
        <w:rPr>
          <w:rFonts w:ascii="PP Neue Montreal" w:eastAsia="PP Neue Montreal" w:hAnsi="PP Neue Montreal" w:cs="PP Neue Montreal"/>
          <w:color w:val="000000" w:themeColor="text1"/>
          <w:sz w:val="22"/>
          <w:szCs w:val="22"/>
        </w:rPr>
        <w:t xml:space="preserve"> reports showing each clinician’s concordance (alignment) or discordance (drift) with recommended care pathways will compare individual behavior to both AI-generated best practices and peer group norms, creating a feedback loop that encourages improvement. (This approach is inspired by observability tools used in engineering – e.g., Jira/GitHub – where performance is tracked and benchmarked to drive improvement). </w:t>
      </w:r>
      <w:r>
        <w:br/>
      </w:r>
    </w:p>
    <w:p w14:paraId="237D00BA" w14:textId="150E26F1" w:rsidR="60462ED6" w:rsidRDefault="60462ED6"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Behavioral Change Tracking </w:t>
      </w:r>
    </w:p>
    <w:p w14:paraId="5D03FB70" w14:textId="23EAF047"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Cordance will monitor whether clinicians adopt the nudged recommendations and how their behavior evolves over time, tracking longitudinally to allow for before-and-after comparisons at the individual and cohort levels.</w:t>
      </w:r>
      <w:r w:rsidR="1573661D" w:rsidRPr="66214854">
        <w:rPr>
          <w:rFonts w:ascii="PP Neue Montreal" w:eastAsia="PP Neue Montreal" w:hAnsi="PP Neue Montreal" w:cs="PP Neue Montreal"/>
          <w:color w:val="000000" w:themeColor="text1"/>
          <w:sz w:val="22"/>
          <w:szCs w:val="22"/>
        </w:rPr>
        <w:t xml:space="preserve"> </w:t>
      </w:r>
      <w:r w:rsidR="1573661D" w:rsidRPr="6B3D5B38">
        <w:rPr>
          <w:rFonts w:ascii="PP Neue Montreal" w:eastAsia="PP Neue Montreal" w:hAnsi="PP Neue Montreal" w:cs="PP Neue Montreal"/>
          <w:color w:val="000000" w:themeColor="text1"/>
          <w:sz w:val="22"/>
          <w:szCs w:val="22"/>
        </w:rPr>
        <w:t xml:space="preserve">Provider partners will determine the strength of language used for the nudges </w:t>
      </w:r>
      <w:r w:rsidR="00B69266" w:rsidRPr="6B3D5B38">
        <w:rPr>
          <w:rFonts w:ascii="PP Neue Montreal" w:eastAsia="PP Neue Montreal" w:hAnsi="PP Neue Montreal" w:cs="PP Neue Montreal"/>
          <w:color w:val="000000" w:themeColor="text1"/>
          <w:sz w:val="22"/>
          <w:szCs w:val="22"/>
        </w:rPr>
        <w:t xml:space="preserve">included in the tool </w:t>
      </w:r>
      <w:r w:rsidR="1573661D" w:rsidRPr="6B3D5B38">
        <w:rPr>
          <w:rFonts w:ascii="PP Neue Montreal" w:eastAsia="PP Neue Montreal" w:hAnsi="PP Neue Montreal" w:cs="PP Neue Montreal"/>
          <w:color w:val="000000" w:themeColor="text1"/>
          <w:sz w:val="22"/>
          <w:szCs w:val="22"/>
        </w:rPr>
        <w:t>as well as other communications</w:t>
      </w:r>
      <w:r w:rsidR="199BD761" w:rsidRPr="6B3D5B38">
        <w:rPr>
          <w:rFonts w:ascii="PP Neue Montreal" w:eastAsia="PP Neue Montreal" w:hAnsi="PP Neue Montreal" w:cs="PP Neue Montreal"/>
          <w:color w:val="000000" w:themeColor="text1"/>
          <w:sz w:val="22"/>
          <w:szCs w:val="22"/>
        </w:rPr>
        <w:t xml:space="preserve"> outside the platform</w:t>
      </w:r>
      <w:r w:rsidR="1573661D" w:rsidRPr="6B3D5B38">
        <w:rPr>
          <w:rFonts w:ascii="PP Neue Montreal" w:eastAsia="PP Neue Montreal" w:hAnsi="PP Neue Montreal" w:cs="PP Neue Montreal"/>
          <w:color w:val="000000" w:themeColor="text1"/>
          <w:sz w:val="22"/>
          <w:szCs w:val="22"/>
        </w:rPr>
        <w:t>.</w:t>
      </w:r>
    </w:p>
    <w:p w14:paraId="7E3AB1A9" w14:textId="5BCEBBA4" w:rsidR="0B459426" w:rsidRDefault="0B459426" w:rsidP="0B459426">
      <w:pPr>
        <w:pStyle w:val="ListParagraph"/>
        <w:spacing w:before="0" w:after="0"/>
        <w:ind w:left="1440" w:hanging="360"/>
        <w:rPr>
          <w:rFonts w:ascii="PP Neue Montreal" w:eastAsia="PP Neue Montreal" w:hAnsi="PP Neue Montreal" w:cs="PP Neue Montreal"/>
          <w:color w:val="000000" w:themeColor="text1"/>
          <w:sz w:val="22"/>
          <w:szCs w:val="22"/>
        </w:rPr>
      </w:pPr>
    </w:p>
    <w:p w14:paraId="06BFDB61" w14:textId="62314DCC" w:rsidR="60462ED6" w:rsidRDefault="60462ED6"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Economic Attribution Modeling </w:t>
      </w:r>
    </w:p>
    <w:p w14:paraId="42D5AD89" w14:textId="71E9E653"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For each use case, Cordance will estimate the financial impact of behavior change (e.g., reduced unnecessary imaging, increased in-system referrals).</w:t>
      </w:r>
    </w:p>
    <w:p w14:paraId="41B5E661" w14:textId="5D7DBBBF"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Attribution will be based on observed variance reduction. For example, if </w:t>
      </w:r>
      <w:r w:rsidR="5BFFBC39" w:rsidRPr="10F5853D">
        <w:rPr>
          <w:rFonts w:ascii="PP Neue Montreal" w:eastAsia="PP Neue Montreal" w:hAnsi="PP Neue Montreal" w:cs="PP Neue Montreal"/>
          <w:color w:val="000000" w:themeColor="text1"/>
          <w:sz w:val="22"/>
          <w:szCs w:val="22"/>
        </w:rPr>
        <w:t>medically</w:t>
      </w:r>
      <w:r w:rsidR="00557407" w:rsidRPr="10F5853D">
        <w:rPr>
          <w:rFonts w:ascii="PP Neue Montreal" w:eastAsia="PP Neue Montreal" w:hAnsi="PP Neue Montreal" w:cs="PP Neue Montreal"/>
          <w:color w:val="000000" w:themeColor="text1"/>
          <w:sz w:val="22"/>
          <w:szCs w:val="22"/>
        </w:rPr>
        <w:t xml:space="preserve"> </w:t>
      </w:r>
      <w:r w:rsidR="5BFFBC39" w:rsidRPr="10F5853D">
        <w:rPr>
          <w:rFonts w:ascii="PP Neue Montreal" w:eastAsia="PP Neue Montreal" w:hAnsi="PP Neue Montreal" w:cs="PP Neue Montreal"/>
          <w:color w:val="000000" w:themeColor="text1"/>
          <w:sz w:val="22"/>
          <w:szCs w:val="22"/>
        </w:rPr>
        <w:t xml:space="preserve">unnecessary </w:t>
      </w:r>
      <w:r w:rsidRPr="0B459426">
        <w:rPr>
          <w:rFonts w:ascii="PP Neue Montreal" w:eastAsia="PP Neue Montreal" w:hAnsi="PP Neue Montreal" w:cs="PP Neue Montreal"/>
          <w:color w:val="000000" w:themeColor="text1"/>
          <w:sz w:val="22"/>
          <w:szCs w:val="22"/>
        </w:rPr>
        <w:t>urine culture ordering drops from 30% to 10% post-intervention, Cordance can reasonably claim credit for the 20% improvement.</w:t>
      </w:r>
    </w:p>
    <w:p w14:paraId="574F1DF5" w14:textId="1ABFF6C7" w:rsidR="0B459426" w:rsidRDefault="0B459426" w:rsidP="0B459426">
      <w:pPr>
        <w:pStyle w:val="ListParagraph"/>
        <w:spacing w:before="0" w:after="0"/>
        <w:ind w:left="1440" w:hanging="360"/>
        <w:rPr>
          <w:rFonts w:ascii="PP Neue Montreal" w:eastAsia="PP Neue Montreal" w:hAnsi="PP Neue Montreal" w:cs="PP Neue Montreal"/>
          <w:color w:val="000000" w:themeColor="text1"/>
          <w:sz w:val="22"/>
          <w:szCs w:val="22"/>
        </w:rPr>
      </w:pPr>
    </w:p>
    <w:p w14:paraId="15881535" w14:textId="22230DDC" w:rsidR="60462ED6" w:rsidRDefault="60462ED6"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Control Group Comparison </w:t>
      </w:r>
    </w:p>
    <w:p w14:paraId="249789C9" w14:textId="4AE91787"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To strengthen attribution, Cordance will maintain control groups (clinicians not yet exposed to nudges) and compare their behavior to intervention groups.</w:t>
      </w:r>
    </w:p>
    <w:p w14:paraId="7E554727" w14:textId="09AB8F10"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This quasi-experimental design </w:t>
      </w:r>
      <w:r w:rsidR="7925CD9A" w:rsidRPr="6B3D5B38">
        <w:rPr>
          <w:rFonts w:ascii="PP Neue Montreal" w:eastAsia="PP Neue Montreal" w:hAnsi="PP Neue Montreal" w:cs="PP Neue Montreal"/>
          <w:color w:val="000000" w:themeColor="text1"/>
          <w:sz w:val="22"/>
          <w:szCs w:val="22"/>
        </w:rPr>
        <w:t xml:space="preserve">(difference in differences) </w:t>
      </w:r>
      <w:r w:rsidRPr="0B459426">
        <w:rPr>
          <w:rFonts w:ascii="PP Neue Montreal" w:eastAsia="PP Neue Montreal" w:hAnsi="PP Neue Montreal" w:cs="PP Neue Montreal"/>
          <w:color w:val="000000" w:themeColor="text1"/>
          <w:sz w:val="22"/>
          <w:szCs w:val="22"/>
        </w:rPr>
        <w:t>will help isolate Cordance’s effect from other system-wide changes (e.g., CMS guidance, internal policy shifts).</w:t>
      </w:r>
    </w:p>
    <w:p w14:paraId="060F980A" w14:textId="2F5B462B" w:rsidR="0B459426" w:rsidRDefault="0B459426" w:rsidP="0B459426">
      <w:pPr>
        <w:pStyle w:val="ListParagraph"/>
        <w:spacing w:before="0" w:after="0"/>
        <w:ind w:left="1440" w:hanging="360"/>
        <w:rPr>
          <w:rFonts w:ascii="PP Neue Montreal" w:eastAsia="PP Neue Montreal" w:hAnsi="PP Neue Montreal" w:cs="PP Neue Montreal"/>
          <w:color w:val="000000" w:themeColor="text1"/>
          <w:sz w:val="22"/>
          <w:szCs w:val="22"/>
        </w:rPr>
      </w:pPr>
    </w:p>
    <w:p w14:paraId="578A8DEC" w14:textId="77777777" w:rsidR="00096765" w:rsidRDefault="00096765" w:rsidP="002555C1">
      <w:pPr>
        <w:pStyle w:val="ListParagraph"/>
        <w:spacing w:before="0" w:after="0"/>
        <w:ind w:left="1440" w:hanging="360"/>
        <w:rPr>
          <w:rFonts w:ascii="PP Neue Montreal" w:eastAsia="PP Neue Montreal" w:hAnsi="PP Neue Montreal" w:cs="PP Neue Montreal"/>
          <w:color w:val="000000" w:themeColor="text1"/>
          <w:sz w:val="22"/>
          <w:szCs w:val="22"/>
        </w:rPr>
      </w:pPr>
    </w:p>
    <w:p w14:paraId="396F5D65" w14:textId="12CA9F15" w:rsidR="60462ED6" w:rsidRDefault="60462ED6" w:rsidP="002555C1">
      <w:pPr>
        <w:pStyle w:val="ListParagraph"/>
        <w:numPr>
          <w:ilvl w:val="0"/>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 xml:space="preserve">Economic Evaluation </w:t>
      </w:r>
    </w:p>
    <w:p w14:paraId="48087029" w14:textId="77DF102D"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In addition to internal measurement mechanisms, Cordance has budgeted for a formal, academically rigorous economic evaluation within its pilot programs. This work will be conducted in partnership with UMass Chan Medical School and other collaborators and is designed to validate Cordance’s ROI thesis through independent analysis.</w:t>
      </w:r>
    </w:p>
    <w:p w14:paraId="0A65583B" w14:textId="5F3DB60C"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Unlike the attribution modeling and drift tracking described above, this evaluation will serve as a structured, third-party assessment of Cordance’s financial impact. It will include:</w:t>
      </w:r>
    </w:p>
    <w:p w14:paraId="7652D233" w14:textId="6F9D75A7" w:rsidR="60462ED6" w:rsidRDefault="60462ED6" w:rsidP="002555C1">
      <w:pPr>
        <w:pStyle w:val="ListParagraph"/>
        <w:numPr>
          <w:ilvl w:val="2"/>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Cost-benefit analysis of prioritized use cases (e.g., imaging leakage, specialist escalation, 340B optimization).</w:t>
      </w:r>
    </w:p>
    <w:p w14:paraId="394D248F" w14:textId="55BE3AF0" w:rsidR="60462ED6" w:rsidRDefault="60462ED6" w:rsidP="002555C1">
      <w:pPr>
        <w:pStyle w:val="ListParagraph"/>
        <w:numPr>
          <w:ilvl w:val="2"/>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ROI modeling that incorporates both direct financial impact and indirect margin enhancement (e.g., reduced burnout, improved throughput).</w:t>
      </w:r>
    </w:p>
    <w:p w14:paraId="6A3B3E87" w14:textId="1B2991F5" w:rsidR="60462ED6" w:rsidRDefault="60462ED6" w:rsidP="002555C1">
      <w:pPr>
        <w:pStyle w:val="ListParagraph"/>
        <w:numPr>
          <w:ilvl w:val="2"/>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Sensitivity testing across health system types, contract structures, and baseline performance levels.</w:t>
      </w:r>
    </w:p>
    <w:p w14:paraId="3FFA383F" w14:textId="1FD23191"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The evaluation will explore longitudinal value durability to assess whether improvements persist over time and how Cordance’s observability framework helps prevent drift.</w:t>
      </w:r>
    </w:p>
    <w:p w14:paraId="4C601F1E" w14:textId="52D00B7C" w:rsidR="0B459426" w:rsidRDefault="0B459426" w:rsidP="0B459426">
      <w:pPr>
        <w:pStyle w:val="ListParagraph"/>
        <w:spacing w:before="0" w:after="0"/>
        <w:ind w:left="1440" w:hanging="360"/>
        <w:rPr>
          <w:rFonts w:ascii="PP Neue Montreal" w:eastAsia="PP Neue Montreal" w:hAnsi="PP Neue Montreal" w:cs="PP Neue Montreal"/>
          <w:color w:val="000000" w:themeColor="text1"/>
          <w:sz w:val="22"/>
          <w:szCs w:val="22"/>
        </w:rPr>
      </w:pPr>
    </w:p>
    <w:p w14:paraId="0A7ED749" w14:textId="57A9508D" w:rsidR="60462ED6" w:rsidRDefault="60462ED6" w:rsidP="002555C1">
      <w:pPr>
        <w:pStyle w:val="ListParagraph"/>
        <w:numPr>
          <w:ilvl w:val="0"/>
          <w:numId w:val="60"/>
        </w:numPr>
        <w:spacing w:before="360" w:after="360"/>
        <w:rPr>
          <w:rFonts w:ascii="PP Neue Montreal" w:eastAsia="PP Neue Montreal" w:hAnsi="PP Neue Montreal" w:cs="PP Neue Montreal"/>
          <w:color w:val="000000" w:themeColor="text1"/>
        </w:rPr>
      </w:pPr>
      <w:r w:rsidRPr="0B459426">
        <w:rPr>
          <w:rFonts w:ascii="PP Neue Montreal" w:eastAsia="PP Neue Montreal" w:hAnsi="PP Neue Montreal" w:cs="PP Neue Montreal"/>
          <w:color w:val="000000" w:themeColor="text1"/>
          <w:sz w:val="22"/>
          <w:szCs w:val="22"/>
        </w:rPr>
        <w:t xml:space="preserve">Sustainability &amp; Drift Prevention </w:t>
      </w:r>
    </w:p>
    <w:p w14:paraId="00D7B75E" w14:textId="668EAA2A" w:rsidR="60462ED6"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B459426">
        <w:rPr>
          <w:rFonts w:ascii="PP Neue Montreal" w:eastAsia="PP Neue Montreal" w:hAnsi="PP Neue Montreal" w:cs="PP Neue Montreal"/>
          <w:color w:val="000000" w:themeColor="text1"/>
          <w:sz w:val="22"/>
          <w:szCs w:val="22"/>
        </w:rPr>
        <w:t>Beyond initial improvements, Cordance will continuously monitor for backsliding and reintroduce nudges as needed.</w:t>
      </w:r>
    </w:p>
    <w:p w14:paraId="728F14A0" w14:textId="2B219199" w:rsidR="60462ED6" w:rsidRPr="000E3955" w:rsidRDefault="60462ED6" w:rsidP="002555C1">
      <w:pPr>
        <w:pStyle w:val="ListParagraph"/>
        <w:numPr>
          <w:ilvl w:val="1"/>
          <w:numId w:val="60"/>
        </w:numPr>
        <w:spacing w:before="0" w:after="0"/>
        <w:rPr>
          <w:rFonts w:ascii="PP Neue Montreal" w:eastAsia="PP Neue Montreal" w:hAnsi="PP Neue Montreal" w:cs="PP Neue Montreal"/>
          <w:color w:val="000000" w:themeColor="text1"/>
          <w:sz w:val="22"/>
          <w:szCs w:val="22"/>
        </w:rPr>
      </w:pPr>
      <w:r w:rsidRPr="000E3955">
        <w:rPr>
          <w:rFonts w:ascii="PP Neue Montreal" w:eastAsia="PP Neue Montreal" w:hAnsi="PP Neue Montreal" w:cs="PP Neue Montreal"/>
          <w:color w:val="000000" w:themeColor="text1"/>
          <w:sz w:val="22"/>
          <w:szCs w:val="22"/>
        </w:rPr>
        <w:t xml:space="preserve">While attribution may become more complex over time, Cordance’s continuous observability will help maintain behavioral alignment and prevent erosion of value. </w:t>
      </w:r>
    </w:p>
    <w:p w14:paraId="39AC43BB" w14:textId="428782A0" w:rsidR="0B459426" w:rsidRDefault="0B459426" w:rsidP="0B459426">
      <w:pPr>
        <w:spacing w:before="0" w:after="0"/>
      </w:pPr>
    </w:p>
    <w:p w14:paraId="5EA6BDB5" w14:textId="2E21EA60" w:rsidR="00821870" w:rsidRDefault="5DF569C9" w:rsidP="00821870">
      <w:pPr>
        <w:pStyle w:val="Heading1"/>
        <w:rPr>
          <w:rFonts w:ascii="IvyPresto Display Thin" w:hAnsi="IvyPresto Display Thin" w:cs="IvyPresto Display Thin"/>
          <w:b/>
          <w:i/>
          <w:color w:val="4C94D8" w:themeColor="text2" w:themeTint="80"/>
          <w:sz w:val="32"/>
          <w:szCs w:val="32"/>
        </w:rPr>
      </w:pPr>
      <w:r w:rsidRPr="00BA6488">
        <w:rPr>
          <w:rFonts w:ascii="IvyPresto Display Thin" w:hAnsi="IvyPresto Display Thin" w:cs="IvyPresto Display Thin"/>
          <w:b/>
          <w:iCs/>
          <w:color w:val="4C94D8" w:themeColor="text2" w:themeTint="80"/>
          <w:sz w:val="32"/>
          <w:szCs w:val="32"/>
        </w:rPr>
        <w:t>3</w:t>
      </w:r>
      <w:r w:rsidR="00821870" w:rsidRPr="00BA6488">
        <w:rPr>
          <w:rFonts w:ascii="IvyPresto Display Thin" w:hAnsi="IvyPresto Display Thin" w:cs="IvyPresto Display Thin"/>
          <w:b/>
          <w:i/>
          <w:color w:val="0E2841" w:themeColor="text2"/>
          <w:sz w:val="32"/>
          <w:szCs w:val="32"/>
          <w14:textFill>
            <w14:solidFill>
              <w14:schemeClr w14:val="tx2">
                <w14:lumMod w14:val="50000"/>
                <w14:lumOff w14:val="50000"/>
                <w14:lumOff w14:val="50000"/>
                <w14:lumMod w14:val="50000"/>
              </w14:schemeClr>
            </w14:solidFill>
          </w14:textFill>
        </w:rPr>
        <w:t>.</w:t>
      </w:r>
      <w:r w:rsidR="00821870" w:rsidRPr="00BA6488">
        <w:rPr>
          <w:rFonts w:ascii="IvyPresto Display Thin" w:hAnsi="IvyPresto Display Thin" w:cs="IvyPresto Display Thin"/>
          <w:b/>
          <w:i/>
          <w:color w:val="4C94D8" w:themeColor="text2" w:themeTint="80"/>
          <w:sz w:val="32"/>
          <w:szCs w:val="32"/>
        </w:rPr>
        <w:t xml:space="preserve"> </w:t>
      </w:r>
      <w:r w:rsidR="00821870" w:rsidRPr="00EA42BA">
        <w:rPr>
          <w:rFonts w:ascii="IvyPresto Display Thin" w:hAnsi="IvyPresto Display Thin" w:cs="IvyPresto Display Thin"/>
          <w:b/>
          <w:i/>
          <w:color w:val="4C94D8" w:themeColor="text2" w:themeTint="80"/>
          <w:sz w:val="32"/>
          <w:szCs w:val="32"/>
        </w:rPr>
        <w:t xml:space="preserve">Cordance </w:t>
      </w:r>
      <w:r w:rsidR="005113F6">
        <w:rPr>
          <w:rFonts w:ascii="IvyPresto Display Thin" w:hAnsi="IvyPresto Display Thin" w:cs="IvyPresto Display Thin"/>
          <w:b/>
          <w:i/>
          <w:color w:val="4C94D8" w:themeColor="text2" w:themeTint="80"/>
          <w:sz w:val="32"/>
          <w:szCs w:val="32"/>
        </w:rPr>
        <w:t>Revenue Model &amp; Business Plan</w:t>
      </w:r>
      <w:r w:rsidR="00F74031" w:rsidRPr="56359B2B">
        <w:rPr>
          <w:rFonts w:ascii="IvyPresto Display Thin" w:hAnsi="IvyPresto Display Thin" w:cs="IvyPresto Display Thin"/>
          <w:b/>
          <w:bCs/>
          <w:i/>
          <w:iCs/>
          <w:color w:val="4C94D8" w:themeColor="text2" w:themeTint="80"/>
          <w:sz w:val="32"/>
          <w:szCs w:val="32"/>
        </w:rPr>
        <w:fldChar w:fldCharType="begin"/>
      </w:r>
      <w:r w:rsidR="00F74031" w:rsidRPr="56359B2B">
        <w:rPr>
          <w:rFonts w:ascii="IvyPresto Display Thin" w:hAnsi="IvyPresto Display Thin" w:cs="IvyPresto Display Thin"/>
          <w:b/>
          <w:bCs/>
          <w:i/>
          <w:iCs/>
          <w:color w:val="4C94D8" w:themeColor="text2" w:themeTint="80"/>
          <w:sz w:val="32"/>
          <w:szCs w:val="32"/>
        </w:rPr>
        <w:instrText xml:space="preserve"> </w:instrText>
      </w:r>
      <w:r w:rsidR="00F74031" w:rsidRPr="56359B2B">
        <w:rPr>
          <w:rFonts w:ascii="IvyPresto Display Thin" w:hAnsi="IvyPresto Display Thin" w:cs="IvyPresto Display Thin"/>
          <w:color w:val="4C94D8" w:themeColor="text2" w:themeTint="80"/>
          <w:sz w:val="18"/>
          <w:szCs w:val="18"/>
        </w:rPr>
        <w:instrText>TC "</w:instrText>
      </w:r>
      <w:bookmarkStart w:id="9" w:name="_Toc210111357"/>
      <w:bookmarkStart w:id="10" w:name="_Toc210111403"/>
      <w:bookmarkStart w:id="11" w:name="_Toc210125535"/>
      <w:r w:rsidR="00F74031" w:rsidRPr="56359B2B">
        <w:rPr>
          <w:rFonts w:ascii="IvyPresto Display Thin" w:hAnsi="IvyPresto Display Thin" w:cs="IvyPresto Display Thin"/>
          <w:color w:val="4C94D8" w:themeColor="text2" w:themeTint="80"/>
          <w:sz w:val="18"/>
          <w:szCs w:val="18"/>
        </w:rPr>
        <w:instrText>3. Approach to Pricing</w:instrText>
      </w:r>
      <w:bookmarkEnd w:id="9"/>
      <w:bookmarkEnd w:id="10"/>
      <w:bookmarkEnd w:id="11"/>
      <w:r w:rsidR="00F74031" w:rsidRPr="56359B2B">
        <w:rPr>
          <w:rFonts w:ascii="IvyPresto Display Thin" w:hAnsi="IvyPresto Display Thin" w:cs="IvyPresto Display Thin"/>
          <w:b/>
          <w:bCs/>
          <w:i/>
          <w:iCs/>
          <w:color w:val="4C94D8" w:themeColor="text2" w:themeTint="80"/>
          <w:sz w:val="32"/>
          <w:szCs w:val="32"/>
        </w:rPr>
        <w:instrText xml:space="preserve">" </w:instrText>
      </w:r>
      <w:r w:rsidR="00F74031" w:rsidRPr="56359B2B">
        <w:rPr>
          <w:rFonts w:ascii="IvyPresto Display Thin" w:hAnsi="IvyPresto Display Thin" w:cs="IvyPresto Display Thin"/>
          <w:b/>
          <w:bCs/>
          <w:i/>
          <w:iCs/>
          <w:color w:val="4C94D8" w:themeColor="text2" w:themeTint="80"/>
          <w:sz w:val="32"/>
          <w:szCs w:val="32"/>
        </w:rPr>
        <w:fldChar w:fldCharType="end"/>
      </w:r>
    </w:p>
    <w:p w14:paraId="253E4767" w14:textId="671CD7EE" w:rsidR="003727F1" w:rsidRDefault="00E11D94" w:rsidP="0B459426">
      <w:pPr>
        <w:spacing w:before="360" w:after="360"/>
        <w:rPr>
          <w:rFonts w:ascii="PP Neue Montreal" w:eastAsia="PP Neue Montreal" w:hAnsi="PP Neue Montreal" w:cs="PP Neue Montreal"/>
          <w:color w:val="000000" w:themeColor="text1"/>
          <w:sz w:val="22"/>
          <w:szCs w:val="22"/>
        </w:rPr>
      </w:pPr>
      <w:r>
        <w:rPr>
          <w:rFonts w:ascii="PP Neue Montreal" w:eastAsia="PP Neue Montreal" w:hAnsi="PP Neue Montreal" w:cs="PP Neue Montreal"/>
          <w:color w:val="000000" w:themeColor="text1"/>
          <w:sz w:val="22"/>
          <w:szCs w:val="22"/>
        </w:rPr>
        <w:t xml:space="preserve">Our pricing </w:t>
      </w:r>
      <w:r w:rsidR="14F8EECD" w:rsidRPr="30A21492">
        <w:rPr>
          <w:rFonts w:ascii="PP Neue Montreal" w:eastAsia="PP Neue Montreal" w:hAnsi="PP Neue Montreal" w:cs="PP Neue Montreal"/>
          <w:color w:val="000000" w:themeColor="text1"/>
          <w:sz w:val="22"/>
          <w:szCs w:val="22"/>
        </w:rPr>
        <w:t xml:space="preserve">will </w:t>
      </w:r>
      <w:r>
        <w:rPr>
          <w:rFonts w:ascii="PP Neue Montreal" w:eastAsia="PP Neue Montreal" w:hAnsi="PP Neue Montreal" w:cs="PP Neue Montreal"/>
          <w:color w:val="000000" w:themeColor="text1"/>
          <w:sz w:val="22"/>
          <w:szCs w:val="22"/>
        </w:rPr>
        <w:t xml:space="preserve">align with </w:t>
      </w:r>
      <w:r w:rsidR="45A73036" w:rsidRPr="66BB9B3F">
        <w:rPr>
          <w:rFonts w:ascii="PP Neue Montreal" w:eastAsia="PP Neue Montreal" w:hAnsi="PP Neue Montreal" w:cs="PP Neue Montreal"/>
          <w:color w:val="000000" w:themeColor="text1"/>
          <w:sz w:val="22"/>
          <w:szCs w:val="22"/>
        </w:rPr>
        <w:t xml:space="preserve">the </w:t>
      </w:r>
      <w:r>
        <w:rPr>
          <w:rFonts w:ascii="PP Neue Montreal" w:eastAsia="PP Neue Montreal" w:hAnsi="PP Neue Montreal" w:cs="PP Neue Montreal"/>
          <w:color w:val="000000" w:themeColor="text1"/>
          <w:sz w:val="22"/>
          <w:szCs w:val="22"/>
        </w:rPr>
        <w:t xml:space="preserve">value </w:t>
      </w:r>
      <w:r w:rsidR="45A73036" w:rsidRPr="691E4C38">
        <w:rPr>
          <w:rFonts w:ascii="PP Neue Montreal" w:eastAsia="PP Neue Montreal" w:hAnsi="PP Neue Montreal" w:cs="PP Neue Montreal"/>
          <w:color w:val="000000" w:themeColor="text1"/>
          <w:sz w:val="22"/>
          <w:szCs w:val="22"/>
        </w:rPr>
        <w:t xml:space="preserve">we create for </w:t>
      </w:r>
      <w:r w:rsidRPr="7EE03462">
        <w:rPr>
          <w:rFonts w:ascii="PP Neue Montreal" w:eastAsia="PP Neue Montreal" w:hAnsi="PP Neue Montreal" w:cs="PP Neue Montreal"/>
          <w:color w:val="000000" w:themeColor="text1"/>
          <w:sz w:val="22"/>
          <w:szCs w:val="22"/>
        </w:rPr>
        <w:t>customer</w:t>
      </w:r>
      <w:r w:rsidR="628190B8" w:rsidRPr="7EE03462">
        <w:rPr>
          <w:rFonts w:ascii="PP Neue Montreal" w:eastAsia="PP Neue Montreal" w:hAnsi="PP Neue Montreal" w:cs="PP Neue Montreal"/>
          <w:color w:val="000000" w:themeColor="text1"/>
          <w:sz w:val="22"/>
          <w:szCs w:val="22"/>
        </w:rPr>
        <w:t>s</w:t>
      </w:r>
      <w:r w:rsidR="14F8EECD" w:rsidRPr="621F4ED5">
        <w:rPr>
          <w:rFonts w:ascii="PP Neue Montreal" w:eastAsia="PP Neue Montreal" w:hAnsi="PP Neue Montreal" w:cs="PP Neue Montreal"/>
          <w:color w:val="000000" w:themeColor="text1"/>
          <w:sz w:val="22"/>
          <w:szCs w:val="22"/>
        </w:rPr>
        <w:t>.</w:t>
      </w:r>
      <w:r w:rsidR="14F8EECD" w:rsidRPr="30A21492">
        <w:rPr>
          <w:rFonts w:ascii="PP Neue Montreal" w:eastAsia="PP Neue Montreal" w:hAnsi="PP Neue Montreal" w:cs="PP Neue Montreal"/>
          <w:color w:val="000000" w:themeColor="text1"/>
          <w:sz w:val="22"/>
          <w:szCs w:val="22"/>
        </w:rPr>
        <w:t xml:space="preserve"> Because the value created is a function of the number </w:t>
      </w:r>
      <w:r w:rsidR="6778B1A1" w:rsidRPr="30A21492">
        <w:rPr>
          <w:rFonts w:ascii="PP Neue Montreal" w:eastAsia="PP Neue Montreal" w:hAnsi="PP Neue Montreal" w:cs="PP Neue Montreal"/>
          <w:color w:val="000000" w:themeColor="text1"/>
          <w:sz w:val="22"/>
          <w:szCs w:val="22"/>
        </w:rPr>
        <w:t xml:space="preserve">of encounters, we will likely tie pricing to the number of encounters. </w:t>
      </w:r>
      <w:r w:rsidR="5F775343" w:rsidRPr="42C75CAA">
        <w:rPr>
          <w:rFonts w:ascii="PP Neue Montreal" w:eastAsia="PP Neue Montreal" w:hAnsi="PP Neue Montreal" w:cs="PP Neue Montreal"/>
          <w:color w:val="000000" w:themeColor="text1"/>
          <w:sz w:val="22"/>
          <w:szCs w:val="22"/>
        </w:rPr>
        <w:t>We are evaluating</w:t>
      </w:r>
      <w:r w:rsidR="232E68C8" w:rsidRPr="42C75CAA">
        <w:rPr>
          <w:rFonts w:ascii="PP Neue Montreal" w:eastAsia="PP Neue Montreal" w:hAnsi="PP Neue Montreal" w:cs="PP Neue Montreal"/>
          <w:color w:val="000000" w:themeColor="text1"/>
          <w:sz w:val="22"/>
          <w:szCs w:val="22"/>
        </w:rPr>
        <w:t xml:space="preserve"> several revenue</w:t>
      </w:r>
      <w:r w:rsidR="5F775343" w:rsidRPr="42C75CAA">
        <w:rPr>
          <w:rFonts w:ascii="PP Neue Montreal" w:eastAsia="PP Neue Montreal" w:hAnsi="PP Neue Montreal" w:cs="PP Neue Montreal"/>
          <w:color w:val="000000" w:themeColor="text1"/>
          <w:sz w:val="22"/>
          <w:szCs w:val="22"/>
        </w:rPr>
        <w:t xml:space="preserve"> model designs that will scale with health system size and usage, while aligning with the economic value Cordance creates. Our intention is to refine the business model </w:t>
      </w:r>
      <w:r w:rsidR="689487ED" w:rsidRPr="42C75CAA">
        <w:rPr>
          <w:rFonts w:ascii="PP Neue Montreal" w:eastAsia="PP Neue Montreal" w:hAnsi="PP Neue Montreal" w:cs="PP Neue Montreal"/>
          <w:color w:val="000000" w:themeColor="text1"/>
          <w:sz w:val="22"/>
          <w:szCs w:val="22"/>
        </w:rPr>
        <w:t>as we gain real-life experience with our first customer development partners</w:t>
      </w:r>
      <w:r w:rsidR="008956A6">
        <w:rPr>
          <w:rFonts w:ascii="PP Neue Montreal" w:eastAsia="PP Neue Montreal" w:hAnsi="PP Neue Montreal" w:cs="PP Neue Montreal"/>
          <w:color w:val="000000" w:themeColor="text1"/>
          <w:sz w:val="22"/>
          <w:szCs w:val="22"/>
        </w:rPr>
        <w:t xml:space="preserve"> </w:t>
      </w:r>
      <w:r w:rsidR="6FD600FA" w:rsidRPr="42C75CAA">
        <w:rPr>
          <w:rFonts w:ascii="PP Neue Montreal" w:eastAsia="PP Neue Montreal" w:hAnsi="PP Neue Montreal" w:cs="PP Neue Montreal"/>
          <w:color w:val="000000" w:themeColor="text1"/>
          <w:sz w:val="22"/>
          <w:szCs w:val="22"/>
        </w:rPr>
        <w:t>and collaborate</w:t>
      </w:r>
      <w:r w:rsidR="5F775343" w:rsidRPr="42C75CAA">
        <w:rPr>
          <w:rFonts w:ascii="PP Neue Montreal" w:eastAsia="PP Neue Montreal" w:hAnsi="PP Neue Montreal" w:cs="PP Neue Montreal"/>
          <w:color w:val="000000" w:themeColor="text1"/>
          <w:sz w:val="22"/>
          <w:szCs w:val="22"/>
        </w:rPr>
        <w:t xml:space="preserve"> with </w:t>
      </w:r>
      <w:r w:rsidR="5A51B9B6" w:rsidRPr="42C75CAA">
        <w:rPr>
          <w:rFonts w:ascii="PP Neue Montreal" w:eastAsia="PP Neue Montreal" w:hAnsi="PP Neue Montreal" w:cs="PP Neue Montreal"/>
          <w:color w:val="000000" w:themeColor="text1"/>
          <w:sz w:val="22"/>
          <w:szCs w:val="22"/>
        </w:rPr>
        <w:t xml:space="preserve">our </w:t>
      </w:r>
      <w:r w:rsidR="5F775343" w:rsidRPr="42C75CAA">
        <w:rPr>
          <w:rFonts w:ascii="PP Neue Montreal" w:eastAsia="PP Neue Montreal" w:hAnsi="PP Neue Montreal" w:cs="PP Neue Montreal"/>
          <w:color w:val="000000" w:themeColor="text1"/>
          <w:sz w:val="22"/>
          <w:szCs w:val="22"/>
        </w:rPr>
        <w:t xml:space="preserve">equity-pilot partners to </w:t>
      </w:r>
      <w:r w:rsidR="5509F265" w:rsidRPr="42C75CAA">
        <w:rPr>
          <w:rFonts w:ascii="PP Neue Montreal" w:eastAsia="PP Neue Montreal" w:hAnsi="PP Neue Montreal" w:cs="PP Neue Montreal"/>
          <w:color w:val="000000" w:themeColor="text1"/>
          <w:sz w:val="22"/>
          <w:szCs w:val="22"/>
        </w:rPr>
        <w:t xml:space="preserve">land on the option </w:t>
      </w:r>
      <w:r w:rsidR="5F775343" w:rsidRPr="42C75CAA">
        <w:rPr>
          <w:rFonts w:ascii="PP Neue Montreal" w:eastAsia="PP Neue Montreal" w:hAnsi="PP Neue Montreal" w:cs="PP Neue Montreal"/>
          <w:color w:val="000000" w:themeColor="text1"/>
          <w:sz w:val="22"/>
          <w:szCs w:val="22"/>
        </w:rPr>
        <w:t>that is both sustainable and profitable</w:t>
      </w:r>
      <w:r w:rsidR="49FBF5D7" w:rsidRPr="30A21492">
        <w:rPr>
          <w:rFonts w:ascii="PP Neue Montreal" w:eastAsia="PP Neue Montreal" w:hAnsi="PP Neue Montreal" w:cs="PP Neue Montreal"/>
          <w:color w:val="000000" w:themeColor="text1"/>
          <w:sz w:val="22"/>
          <w:szCs w:val="22"/>
        </w:rPr>
        <w:t>.</w:t>
      </w:r>
    </w:p>
    <w:p w14:paraId="38A8BA08" w14:textId="2B7FF074" w:rsidR="00E70E6D" w:rsidRPr="009A0747" w:rsidRDefault="00E70E6D" w:rsidP="009A0747">
      <w:pPr>
        <w:spacing w:before="240" w:after="240"/>
        <w:rPr>
          <w:rFonts w:ascii="PP Neue Montreal" w:eastAsia="PP Neue Montreal" w:hAnsi="PP Neue Montreal" w:cs="PP Neue Montreal"/>
          <w:sz w:val="22"/>
          <w:szCs w:val="22"/>
        </w:rPr>
      </w:pPr>
      <w:r w:rsidRPr="009A0747">
        <w:rPr>
          <w:rFonts w:ascii="IvyPresto Display Thin" w:eastAsiaTheme="majorEastAsia" w:hAnsi="IvyPresto Display Thin" w:cs="IvyPresto Display Thin"/>
          <w:b/>
          <w:i/>
          <w:color w:val="4C94D8" w:themeColor="text2" w:themeTint="80"/>
          <w:sz w:val="32"/>
          <w:szCs w:val="32"/>
        </w:rPr>
        <w:br w:type="page"/>
      </w:r>
    </w:p>
    <w:p w14:paraId="21260DC5" w14:textId="6761D8E9" w:rsidR="003C3C20" w:rsidRPr="00BA6488" w:rsidRDefault="00BA6488" w:rsidP="00BA6488">
      <w:pPr>
        <w:keepNext/>
        <w:keepLines/>
        <w:spacing w:before="360"/>
        <w:outlineLvl w:val="0"/>
        <w:rPr>
          <w:rFonts w:ascii="IvyPresto Display Thin" w:eastAsiaTheme="majorEastAsia" w:hAnsi="IvyPresto Display Thin" w:cs="IvyPresto Display Thin"/>
          <w:b/>
          <w:i/>
          <w:color w:val="4C94D8" w:themeColor="text2" w:themeTint="80"/>
          <w:sz w:val="32"/>
          <w:szCs w:val="32"/>
        </w:rPr>
      </w:pPr>
      <w:r w:rsidRPr="00BA6488">
        <w:rPr>
          <w:rFonts w:ascii="IvyPresto Display Thin" w:eastAsiaTheme="majorEastAsia" w:hAnsi="IvyPresto Display Thin" w:cs="IvyPresto Display Thin"/>
          <w:b/>
          <w:iCs/>
          <w:color w:val="4C94D8" w:themeColor="text2" w:themeTint="80"/>
          <w:sz w:val="32"/>
          <w:szCs w:val="32"/>
        </w:rPr>
        <w:t>4</w:t>
      </w:r>
      <w:r>
        <w:rPr>
          <w:rFonts w:ascii="IvyPresto Display Thin" w:eastAsiaTheme="majorEastAsia" w:hAnsi="IvyPresto Display Thin" w:cs="IvyPresto Display Thin"/>
          <w:b/>
          <w:i/>
          <w:color w:val="4C94D8" w:themeColor="text2" w:themeTint="80"/>
          <w:sz w:val="32"/>
          <w:szCs w:val="32"/>
        </w:rPr>
        <w:t xml:space="preserve">. </w:t>
      </w:r>
      <w:r w:rsidR="003C3C20" w:rsidRPr="00BA6488">
        <w:rPr>
          <w:rFonts w:ascii="IvyPresto Display Thin" w:eastAsiaTheme="majorEastAsia" w:hAnsi="IvyPresto Display Thin" w:cs="IvyPresto Display Thin"/>
          <w:b/>
          <w:i/>
          <w:color w:val="4C94D8" w:themeColor="text2" w:themeTint="80"/>
          <w:sz w:val="32"/>
          <w:szCs w:val="32"/>
        </w:rPr>
        <w:t>Appendix</w:t>
      </w:r>
      <w:r w:rsidR="00F74031" w:rsidRPr="00BA6488">
        <w:rPr>
          <w:rFonts w:ascii="IvyPresto Display Thin" w:eastAsiaTheme="majorEastAsia" w:hAnsi="IvyPresto Display Thin" w:cs="IvyPresto Display Thin"/>
          <w:b/>
          <w:i/>
          <w:color w:val="4C94D8" w:themeColor="text2" w:themeTint="80"/>
          <w:sz w:val="32"/>
          <w:szCs w:val="32"/>
        </w:rPr>
        <w:fldChar w:fldCharType="begin"/>
      </w:r>
      <w:r w:rsidR="00F74031" w:rsidRPr="00BA6488">
        <w:rPr>
          <w:rFonts w:ascii="IvyPresto Display Thin" w:eastAsiaTheme="majorEastAsia" w:hAnsi="IvyPresto Display Thin" w:cs="IvyPresto Display Thin"/>
          <w:b/>
          <w:i/>
          <w:color w:val="4C94D8" w:themeColor="text2" w:themeTint="80"/>
          <w:sz w:val="32"/>
          <w:szCs w:val="32"/>
        </w:rPr>
        <w:instrText xml:space="preserve"> </w:instrText>
      </w:r>
      <w:r w:rsidR="00F74031" w:rsidRPr="00BA6488">
        <w:rPr>
          <w:rFonts w:ascii="IvyPresto Display Thin" w:eastAsiaTheme="majorEastAsia" w:hAnsi="IvyPresto Display Thin" w:cs="IvyPresto Display Thin"/>
          <w:b/>
          <w:i/>
          <w:color w:val="4C94D8" w:themeColor="text2" w:themeTint="80"/>
          <w:sz w:val="15"/>
          <w:szCs w:val="15"/>
        </w:rPr>
        <w:instrText>TC "</w:instrText>
      </w:r>
      <w:bookmarkStart w:id="12" w:name="_Toc210111358"/>
      <w:bookmarkStart w:id="13" w:name="_Toc210111404"/>
      <w:bookmarkStart w:id="14" w:name="_Toc210125536"/>
      <w:r w:rsidR="00F74031" w:rsidRPr="00BA6488">
        <w:rPr>
          <w:rFonts w:ascii="IvyPresto Display Thin" w:eastAsiaTheme="majorEastAsia" w:hAnsi="IvyPresto Display Thin" w:cs="IvyPresto Display Thin"/>
          <w:b/>
          <w:i/>
          <w:color w:val="4C94D8" w:themeColor="text2" w:themeTint="80"/>
          <w:sz w:val="15"/>
          <w:szCs w:val="15"/>
        </w:rPr>
        <w:instrText>4. Appendix - Detailed ROI Analysis</w:instrText>
      </w:r>
      <w:bookmarkEnd w:id="12"/>
      <w:bookmarkEnd w:id="13"/>
      <w:bookmarkEnd w:id="14"/>
      <w:r w:rsidR="00F74031" w:rsidRPr="00BA6488">
        <w:rPr>
          <w:rFonts w:ascii="IvyPresto Display Thin" w:eastAsiaTheme="majorEastAsia" w:hAnsi="IvyPresto Display Thin" w:cs="IvyPresto Display Thin"/>
          <w:b/>
          <w:i/>
          <w:color w:val="4C94D8" w:themeColor="text2" w:themeTint="80"/>
          <w:sz w:val="15"/>
          <w:szCs w:val="15"/>
        </w:rPr>
        <w:instrText xml:space="preserve">" </w:instrText>
      </w:r>
      <w:r w:rsidR="00F74031" w:rsidRPr="00BA6488">
        <w:rPr>
          <w:rFonts w:ascii="IvyPresto Display Thin" w:eastAsiaTheme="majorEastAsia" w:hAnsi="IvyPresto Display Thin" w:cs="IvyPresto Display Thin"/>
          <w:b/>
          <w:i/>
          <w:color w:val="4C94D8" w:themeColor="text2" w:themeTint="80"/>
          <w:sz w:val="32"/>
          <w:szCs w:val="32"/>
        </w:rPr>
        <w:fldChar w:fldCharType="end"/>
      </w:r>
    </w:p>
    <w:p w14:paraId="33630111" w14:textId="77777777" w:rsidR="001B4488" w:rsidRDefault="001B4488" w:rsidP="00E70E6D">
      <w:pPr>
        <w:rPr>
          <w:rFonts w:ascii="PP Neue Montreal Medium" w:hAnsi="PP Neue Montreal Medium"/>
          <w:sz w:val="28"/>
          <w:szCs w:val="28"/>
        </w:rPr>
      </w:pPr>
    </w:p>
    <w:p w14:paraId="4B5B9E83" w14:textId="6C01EE76" w:rsidR="00E70E6D" w:rsidRPr="00160A3F" w:rsidRDefault="00E70E6D" w:rsidP="00E70E6D">
      <w:pPr>
        <w:rPr>
          <w:rFonts w:ascii="PP Neue Montreal Medium" w:hAnsi="PP Neue Montreal Medium"/>
          <w:b/>
          <w:bCs/>
        </w:rPr>
      </w:pPr>
      <w:r w:rsidRPr="00160A3F">
        <w:rPr>
          <w:rFonts w:ascii="PP Neue Montreal Medium" w:hAnsi="PP Neue Montreal Medium"/>
          <w:b/>
          <w:bCs/>
        </w:rPr>
        <w:t>Quantitative Analysis of Cordance Health's Return on Investment for Health System Partners</w:t>
      </w:r>
    </w:p>
    <w:p w14:paraId="22E97DFB" w14:textId="6669A394" w:rsidR="005C5C1A" w:rsidRPr="005C5C1A" w:rsidRDefault="005C5C1A" w:rsidP="00482B31">
      <w:pPr>
        <w:keepNext/>
        <w:keepLines/>
        <w:spacing w:before="100" w:beforeAutospacing="1" w:after="100" w:afterAutospacing="1"/>
        <w:outlineLvl w:val="0"/>
        <w:rPr>
          <w:rFonts w:ascii="IvyPresto Display Thin" w:eastAsiaTheme="majorEastAsia" w:hAnsi="IvyPresto Display Thin" w:cs="IvyPresto Display Thin"/>
          <w:b/>
          <w:i/>
          <w:color w:val="4C94D8" w:themeColor="text2" w:themeTint="80"/>
          <w:sz w:val="32"/>
          <w:szCs w:val="32"/>
        </w:rPr>
      </w:pPr>
      <w:r w:rsidRPr="005C5C1A">
        <w:rPr>
          <w:rFonts w:ascii="IvyPresto Display Thin" w:eastAsiaTheme="majorEastAsia" w:hAnsi="IvyPresto Display Thin" w:cs="IvyPresto Display Thin"/>
          <w:b/>
          <w:i/>
          <w:color w:val="4C94D8" w:themeColor="text2" w:themeTint="80"/>
          <w:sz w:val="32"/>
          <w:szCs w:val="32"/>
        </w:rPr>
        <w:t>Executive Summary</w:t>
      </w:r>
    </w:p>
    <w:p w14:paraId="6ACCFA32" w14:textId="77777777" w:rsidR="005C5C1A" w:rsidRPr="005C5C1A" w:rsidRDefault="005C5C1A" w:rsidP="00BD6BEC">
      <w:pPr>
        <w:rPr>
          <w:rFonts w:ascii="PP Neue Montreal Book" w:hAnsi="PP Neue Montreal Book"/>
          <w:sz w:val="22"/>
          <w:szCs w:val="22"/>
        </w:rPr>
      </w:pPr>
      <w:r w:rsidRPr="005C5C1A">
        <w:rPr>
          <w:rFonts w:ascii="PP Neue Montreal Book" w:hAnsi="PP Neue Montreal Book"/>
          <w:sz w:val="22"/>
          <w:szCs w:val="22"/>
        </w:rPr>
        <w:t>This report presents a financial analysis of the Cordance Health platform, quantifying its potential return on investment (ROI) for a representative medium-to-large U.S. health system serving approximately 2 million patients annually. The analysis demonstrates that Cordance is positioned to generate substantial economic value by addressing deeply entrenched operational and clinical inefficiencies that erode health system margins. By systematically influencing physician decision-making at the point of care (both synchronous and asynchronously), the platform creates measurable opportunities for both revenue enhancement and cost reduction.</w:t>
      </w:r>
    </w:p>
    <w:p w14:paraId="7DD081BB" w14:textId="77777777" w:rsidR="00BD6BEC" w:rsidRDefault="00BD6BEC" w:rsidP="00BD6BEC">
      <w:pPr>
        <w:rPr>
          <w:rFonts w:ascii="PP Neue Montreal Book" w:hAnsi="PP Neue Montreal Book"/>
          <w:sz w:val="22"/>
          <w:szCs w:val="22"/>
        </w:rPr>
      </w:pPr>
    </w:p>
    <w:p w14:paraId="038D0730" w14:textId="4C1227DD" w:rsidR="005C5C1A" w:rsidRPr="005C5C1A" w:rsidRDefault="005C5C1A" w:rsidP="00E70E6D">
      <w:pPr>
        <w:rPr>
          <w:rFonts w:ascii="PP Neue Montreal Book" w:hAnsi="PP Neue Montreal Book"/>
          <w:sz w:val="22"/>
          <w:szCs w:val="22"/>
        </w:rPr>
      </w:pPr>
      <w:r w:rsidRPr="005C5C1A">
        <w:rPr>
          <w:rFonts w:ascii="PP Neue Montreal Book" w:hAnsi="PP Neue Montreal Book"/>
          <w:sz w:val="22"/>
          <w:szCs w:val="22"/>
        </w:rPr>
        <w:t xml:space="preserve">Based on conservative modeling and data from authoritative industry sources, this analysis estimates that the Cordance Health platform can generate over </w:t>
      </w:r>
      <w:r w:rsidRPr="005C5C1A">
        <w:rPr>
          <w:rFonts w:ascii="PP Neue Montreal Book" w:hAnsi="PP Neue Montreal Book"/>
          <w:b/>
          <w:bCs/>
          <w:sz w:val="22"/>
          <w:szCs w:val="22"/>
        </w:rPr>
        <w:t>$3</w:t>
      </w:r>
      <w:r w:rsidR="009C623B">
        <w:rPr>
          <w:rFonts w:ascii="PP Neue Montreal Book" w:hAnsi="PP Neue Montreal Book"/>
          <w:b/>
          <w:bCs/>
          <w:sz w:val="22"/>
          <w:szCs w:val="22"/>
        </w:rPr>
        <w:t>6</w:t>
      </w:r>
      <w:r w:rsidRPr="005C5C1A">
        <w:rPr>
          <w:rFonts w:ascii="PP Neue Montreal Book" w:hAnsi="PP Neue Montreal Book"/>
          <w:b/>
          <w:bCs/>
          <w:sz w:val="22"/>
          <w:szCs w:val="22"/>
        </w:rPr>
        <w:t xml:space="preserve"> million</w:t>
      </w:r>
      <w:r w:rsidRPr="005C5C1A">
        <w:rPr>
          <w:rFonts w:ascii="PP Neue Montreal Book" w:hAnsi="PP Neue Montreal Book"/>
          <w:sz w:val="22"/>
          <w:szCs w:val="22"/>
        </w:rPr>
        <w:t xml:space="preserve"> in total annual economic value for a partner health system. This value is composed of approximately </w:t>
      </w:r>
      <w:r w:rsidRPr="005C5C1A">
        <w:rPr>
          <w:rFonts w:ascii="PP Neue Montreal Book" w:hAnsi="PP Neue Montreal Book"/>
          <w:b/>
          <w:bCs/>
          <w:sz w:val="22"/>
          <w:szCs w:val="22"/>
        </w:rPr>
        <w:t>$</w:t>
      </w:r>
      <w:r w:rsidR="009C623B">
        <w:rPr>
          <w:rFonts w:ascii="PP Neue Montreal Book" w:hAnsi="PP Neue Montreal Book"/>
          <w:b/>
          <w:bCs/>
          <w:sz w:val="22"/>
          <w:szCs w:val="22"/>
        </w:rPr>
        <w:t>22</w:t>
      </w:r>
      <w:r w:rsidRPr="005C5C1A">
        <w:rPr>
          <w:rFonts w:ascii="PP Neue Montreal Book" w:hAnsi="PP Neue Montreal Book"/>
          <w:b/>
          <w:bCs/>
          <w:sz w:val="22"/>
          <w:szCs w:val="22"/>
        </w:rPr>
        <w:t xml:space="preserve"> million</w:t>
      </w:r>
      <w:r w:rsidRPr="005C5C1A">
        <w:rPr>
          <w:rFonts w:ascii="PP Neue Montreal Book" w:hAnsi="PP Neue Montreal Book"/>
          <w:sz w:val="22"/>
          <w:szCs w:val="22"/>
        </w:rPr>
        <w:t xml:space="preserve"> in new or recaptured revenue and </w:t>
      </w:r>
      <w:r w:rsidRPr="00607309">
        <w:rPr>
          <w:rFonts w:ascii="PP Neue Montreal Book" w:hAnsi="PP Neue Montreal Book"/>
          <w:b/>
          <w:bCs/>
          <w:sz w:val="22"/>
          <w:szCs w:val="22"/>
        </w:rPr>
        <w:t>$</w:t>
      </w:r>
      <w:r w:rsidRPr="005C5C1A">
        <w:rPr>
          <w:rFonts w:ascii="PP Neue Montreal Book" w:hAnsi="PP Neue Montreal Book"/>
          <w:b/>
          <w:bCs/>
          <w:sz w:val="22"/>
          <w:szCs w:val="22"/>
        </w:rPr>
        <w:t>1</w:t>
      </w:r>
      <w:r w:rsidR="007A1A99">
        <w:rPr>
          <w:rFonts w:ascii="PP Neue Montreal Book" w:hAnsi="PP Neue Montreal Book"/>
          <w:b/>
          <w:bCs/>
          <w:sz w:val="22"/>
          <w:szCs w:val="22"/>
        </w:rPr>
        <w:t>4</w:t>
      </w:r>
      <w:r w:rsidRPr="005C5C1A">
        <w:rPr>
          <w:rFonts w:ascii="PP Neue Montreal Book" w:hAnsi="PP Neue Montreal Book"/>
          <w:b/>
          <w:bCs/>
          <w:sz w:val="22"/>
          <w:szCs w:val="22"/>
        </w:rPr>
        <w:t xml:space="preserve"> million </w:t>
      </w:r>
      <w:r w:rsidRPr="005C5C1A">
        <w:rPr>
          <w:rFonts w:ascii="PP Neue Montreal Book" w:hAnsi="PP Neue Montreal Book"/>
          <w:sz w:val="22"/>
          <w:szCs w:val="22"/>
        </w:rPr>
        <w:t>in direct and indirect cost savings.</w:t>
      </w:r>
    </w:p>
    <w:p w14:paraId="4D83E146" w14:textId="77777777" w:rsidR="00DE16A0" w:rsidRPr="005C5C1A" w:rsidRDefault="00DE16A0" w:rsidP="002555C1">
      <w:pPr>
        <w:rPr>
          <w:rFonts w:ascii="PP Neue Montreal Book" w:hAnsi="PP Neue Montreal Book"/>
          <w:sz w:val="22"/>
          <w:szCs w:val="22"/>
        </w:rPr>
      </w:pPr>
    </w:p>
    <w:p w14:paraId="54A72E7F" w14:textId="77777777" w:rsidR="005C5C1A" w:rsidRPr="005C5C1A" w:rsidRDefault="005C5C1A" w:rsidP="00E70E6D">
      <w:pPr>
        <w:rPr>
          <w:rFonts w:ascii="PP Neue Montreal Book" w:hAnsi="PP Neue Montreal Book"/>
          <w:sz w:val="22"/>
          <w:szCs w:val="22"/>
        </w:rPr>
      </w:pPr>
      <w:r w:rsidRPr="005C5C1A">
        <w:rPr>
          <w:rFonts w:ascii="PP Neue Montreal Book" w:hAnsi="PP Neue Montreal Book"/>
          <w:sz w:val="22"/>
          <w:szCs w:val="22"/>
        </w:rPr>
        <w:t>The revenue opportunities are driven by optimizing underutilized programs like 340B, improving specialist case mix to favor higher-margin procedures, and significantly reducing patient referral leakage for high-value services such as advanced imaging. The cost reduction opportunities stem from guiding clinicians toward more cost-effective diagnostics and therapeutics, preventing unnecessary specialist escalations, mitigating the financial impact of preventable adverse events like operating room cancellations, and reducing significant overhead associated with administrative tasks and physician turnover.</w:t>
      </w:r>
    </w:p>
    <w:p w14:paraId="00D6FBBF" w14:textId="77777777" w:rsidR="00DE16A0" w:rsidRPr="005C5C1A" w:rsidRDefault="00DE16A0" w:rsidP="002555C1">
      <w:pPr>
        <w:rPr>
          <w:rFonts w:ascii="PP Neue Montreal Book" w:hAnsi="PP Neue Montreal Book"/>
          <w:sz w:val="22"/>
          <w:szCs w:val="22"/>
        </w:rPr>
      </w:pPr>
    </w:p>
    <w:p w14:paraId="5C2BB48B" w14:textId="692FBE7E" w:rsidR="005C5C1A" w:rsidRPr="005C5C1A" w:rsidRDefault="005C5C1A" w:rsidP="00C61346">
      <w:r w:rsidRPr="005C5C1A">
        <w:rPr>
          <w:rFonts w:ascii="PP Neue Montreal Book" w:eastAsiaTheme="majorEastAsia" w:hAnsi="PP Neue Montreal Book" w:cstheme="majorBidi"/>
          <w:color w:val="000000" w:themeColor="text1"/>
          <w:sz w:val="22"/>
          <w:szCs w:val="22"/>
        </w:rPr>
        <w:t>Crucially, the financial projections detailed herein are built upon a transparent and defensible methodology. Each estimate is derived from a step-by-step model that incorporates current healthcare economic data, clinical utilization rates, and conservative assumptions regarding the platform's adoption and efficacy. This rigorous approach provides a credible framework for validating Cordance Health's value proposition and establishes a clear, data-driven path for health systems to improve financial performance while simultaneously enhancing the quality of care.</w:t>
      </w:r>
    </w:p>
    <w:p w14:paraId="69D473ED" w14:textId="4F04B1D8" w:rsidR="00A928F6" w:rsidRPr="00996CDF" w:rsidRDefault="00A928F6" w:rsidP="00081E7E">
      <w:pPr>
        <w:pStyle w:val="TOC1"/>
        <w:rPr>
          <w:color w:val="000000" w:themeColor="text1"/>
        </w:rPr>
      </w:pPr>
      <w:r w:rsidRPr="00996CDF">
        <w:rPr>
          <w:color w:val="000000" w:themeColor="text1"/>
        </w:rPr>
        <w:fldChar w:fldCharType="begin"/>
      </w:r>
      <w:r w:rsidRPr="00996CDF">
        <w:rPr>
          <w:color w:val="000000" w:themeColor="text1"/>
        </w:rPr>
        <w:instrText xml:space="preserve"> TOC \o "3-3" \f \h \z </w:instrText>
      </w:r>
      <w:r w:rsidRPr="00996CDF">
        <w:rPr>
          <w:color w:val="000000" w:themeColor="text1"/>
        </w:rPr>
        <w:fldChar w:fldCharType="separate"/>
      </w:r>
      <w:r w:rsidRPr="00996CDF">
        <w:fldChar w:fldCharType="begin"/>
      </w:r>
      <w:r w:rsidRPr="00996CDF">
        <w:rPr>
          <w:color w:val="000000" w:themeColor="text1"/>
        </w:rPr>
        <w:instrText xml:space="preserve"> TOC \o "3-3" \f \h \z \u </w:instrText>
      </w:r>
      <w:r w:rsidRPr="00996CDF">
        <w:fldChar w:fldCharType="separate"/>
      </w:r>
    </w:p>
    <w:p w14:paraId="6A06E465" w14:textId="2CF6328E" w:rsidR="00A928F6" w:rsidRPr="00996CDF" w:rsidRDefault="00A928F6" w:rsidP="00081E7E">
      <w:pPr>
        <w:pStyle w:val="TOC1"/>
        <w:rPr>
          <w:rFonts w:eastAsiaTheme="minorEastAsia"/>
          <w:b/>
          <w:bCs/>
          <w:color w:val="000000" w:themeColor="text1"/>
        </w:rPr>
      </w:pPr>
      <w:hyperlink w:anchor="_Toc210125537" w:history="1">
        <w:r w:rsidRPr="00996CDF">
          <w:rPr>
            <w:rStyle w:val="Hyperlink"/>
            <w:i w:val="0"/>
            <w:iCs w:val="0"/>
            <w:color w:val="000000" w:themeColor="text1"/>
          </w:rPr>
          <w:t>Part 1: Summary of Financial Projections and Strategic Implications</w:t>
        </w:r>
        <w:r w:rsidRPr="00996CDF">
          <w:rPr>
            <w:webHidden/>
            <w:color w:val="000000" w:themeColor="text1"/>
          </w:rPr>
          <w:t xml:space="preserve"> </w:t>
        </w:r>
        <w:r w:rsidR="00DE16A0" w:rsidRPr="00996CDF">
          <w:rPr>
            <w:webHidden/>
            <w:color w:val="000000" w:themeColor="text1"/>
          </w:rPr>
          <w:tab/>
        </w:r>
        <w:r w:rsidRPr="00562976">
          <w:rPr>
            <w:i w:val="0"/>
            <w:iCs w:val="0"/>
            <w:webHidden/>
            <w:color w:val="000000" w:themeColor="text1"/>
          </w:rPr>
          <w:fldChar w:fldCharType="begin"/>
        </w:r>
        <w:r w:rsidRPr="00562976">
          <w:rPr>
            <w:i w:val="0"/>
            <w:iCs w:val="0"/>
            <w:webHidden/>
            <w:color w:val="000000" w:themeColor="text1"/>
          </w:rPr>
          <w:instrText xml:space="preserve"> PAGEREF _Toc210125537 \h </w:instrText>
        </w:r>
        <w:r w:rsidRPr="00562976">
          <w:rPr>
            <w:i w:val="0"/>
            <w:iCs w:val="0"/>
            <w:webHidden/>
            <w:color w:val="000000" w:themeColor="text1"/>
          </w:rPr>
        </w:r>
        <w:r w:rsidRPr="00562976">
          <w:rPr>
            <w:i w:val="0"/>
            <w:iCs w:val="0"/>
            <w:webHidden/>
            <w:color w:val="000000" w:themeColor="text1"/>
          </w:rPr>
          <w:fldChar w:fldCharType="separate"/>
        </w:r>
        <w:r w:rsidR="00E972DE">
          <w:rPr>
            <w:i w:val="0"/>
            <w:iCs w:val="0"/>
            <w:webHidden/>
            <w:color w:val="000000" w:themeColor="text1"/>
          </w:rPr>
          <w:t>7</w:t>
        </w:r>
        <w:r w:rsidRPr="00562976">
          <w:rPr>
            <w:i w:val="0"/>
            <w:iCs w:val="0"/>
            <w:webHidden/>
            <w:color w:val="000000" w:themeColor="text1"/>
          </w:rPr>
          <w:fldChar w:fldCharType="end"/>
        </w:r>
      </w:hyperlink>
    </w:p>
    <w:p w14:paraId="1670477B" w14:textId="62B23F06" w:rsidR="00A928F6" w:rsidRPr="00996CDF" w:rsidRDefault="00A928F6" w:rsidP="00081E7E">
      <w:pPr>
        <w:pStyle w:val="TOC1"/>
        <w:rPr>
          <w:rFonts w:eastAsiaTheme="minorEastAsia"/>
          <w:b/>
          <w:bCs/>
          <w:color w:val="000000" w:themeColor="text1"/>
        </w:rPr>
      </w:pPr>
      <w:hyperlink w:anchor="_Toc210125538" w:history="1">
        <w:r w:rsidRPr="00996CDF">
          <w:rPr>
            <w:rStyle w:val="Hyperlink"/>
            <w:i w:val="0"/>
            <w:iCs w:val="0"/>
            <w:color w:val="000000" w:themeColor="text1"/>
          </w:rPr>
          <w:t>Part 2: Analysis of Revenue Generation/Cost Reduction Opportunities</w:t>
        </w:r>
        <w:r w:rsidRPr="00996CDF">
          <w:rPr>
            <w:webHidden/>
            <w:color w:val="000000" w:themeColor="text1"/>
          </w:rPr>
          <w:t xml:space="preserve"> </w:t>
        </w:r>
        <w:r w:rsidR="00DE16A0" w:rsidRPr="00996CDF">
          <w:rPr>
            <w:webHidden/>
            <w:color w:val="000000" w:themeColor="text1"/>
          </w:rPr>
          <w:tab/>
        </w:r>
        <w:r w:rsidRPr="00562976">
          <w:rPr>
            <w:i w:val="0"/>
            <w:iCs w:val="0"/>
            <w:webHidden/>
            <w:color w:val="000000" w:themeColor="text1"/>
          </w:rPr>
          <w:fldChar w:fldCharType="begin"/>
        </w:r>
        <w:r w:rsidRPr="00562976">
          <w:rPr>
            <w:i w:val="0"/>
            <w:iCs w:val="0"/>
            <w:webHidden/>
            <w:color w:val="000000" w:themeColor="text1"/>
          </w:rPr>
          <w:instrText xml:space="preserve"> PAGEREF _Toc210125538 \h </w:instrText>
        </w:r>
        <w:r w:rsidRPr="00562976">
          <w:rPr>
            <w:i w:val="0"/>
            <w:iCs w:val="0"/>
            <w:webHidden/>
            <w:color w:val="000000" w:themeColor="text1"/>
          </w:rPr>
        </w:r>
        <w:r w:rsidRPr="00562976">
          <w:rPr>
            <w:i w:val="0"/>
            <w:iCs w:val="0"/>
            <w:webHidden/>
            <w:color w:val="000000" w:themeColor="text1"/>
          </w:rPr>
          <w:fldChar w:fldCharType="separate"/>
        </w:r>
        <w:r w:rsidR="00E972DE">
          <w:rPr>
            <w:i w:val="0"/>
            <w:iCs w:val="0"/>
            <w:webHidden/>
            <w:color w:val="000000" w:themeColor="text1"/>
          </w:rPr>
          <w:t>12</w:t>
        </w:r>
        <w:r w:rsidRPr="00562976">
          <w:rPr>
            <w:i w:val="0"/>
            <w:iCs w:val="0"/>
            <w:webHidden/>
            <w:color w:val="000000" w:themeColor="text1"/>
          </w:rPr>
          <w:fldChar w:fldCharType="end"/>
        </w:r>
      </w:hyperlink>
    </w:p>
    <w:p w14:paraId="5DB91AC4" w14:textId="5C810E6E" w:rsidR="00CF1268" w:rsidRPr="00E972DE" w:rsidRDefault="00A928F6" w:rsidP="009064B7">
      <w:pPr>
        <w:pStyle w:val="TOC1"/>
        <w:rPr>
          <w:rFonts w:cstheme="majorBidi"/>
          <w:b/>
          <w:bCs/>
          <w:color w:val="215E99" w:themeColor="text2" w:themeTint="BF"/>
          <w:kern w:val="0"/>
          <w14:ligatures w14:val="none"/>
        </w:rPr>
      </w:pPr>
      <w:r w:rsidRPr="00996CDF">
        <w:rPr>
          <w:rStyle w:val="Hyperlink"/>
          <w:color w:val="000000" w:themeColor="text1"/>
        </w:rPr>
        <w:fldChar w:fldCharType="end"/>
      </w:r>
      <w:r w:rsidRPr="00996CDF">
        <w:rPr>
          <w:color w:val="000000" w:themeColor="text1"/>
        </w:rPr>
        <w:fldChar w:fldCharType="end"/>
      </w:r>
    </w:p>
    <w:p w14:paraId="3BEE7B5F" w14:textId="77777777" w:rsidR="00A03667" w:rsidRPr="00DE16A0" w:rsidRDefault="00A03667" w:rsidP="0020647C">
      <w:pPr>
        <w:tabs>
          <w:tab w:val="right" w:pos="9923"/>
        </w:tabs>
        <w:rPr>
          <w:rFonts w:ascii="PP Neue Montreal" w:eastAsiaTheme="majorEastAsia" w:hAnsi="PP Neue Montreal" w:cstheme="majorBidi"/>
          <w:color w:val="215E99" w:themeColor="text2" w:themeTint="BF"/>
          <w:kern w:val="0"/>
          <w14:ligatures w14:val="none"/>
        </w:rPr>
      </w:pPr>
    </w:p>
    <w:p w14:paraId="3D4C316E" w14:textId="77777777" w:rsidR="00DE16A0" w:rsidRDefault="00DE16A0">
      <w:pPr>
        <w:rPr>
          <w:rFonts w:ascii="PP Neue Montreal" w:eastAsiaTheme="majorEastAsia" w:hAnsi="PP Neue Montreal" w:cstheme="majorBidi"/>
          <w:b/>
          <w:bCs/>
          <w:color w:val="215E99" w:themeColor="text2" w:themeTint="BF"/>
          <w:kern w:val="0"/>
          <w14:ligatures w14:val="none"/>
        </w:rPr>
      </w:pPr>
      <w:r>
        <w:rPr>
          <w:rFonts w:ascii="PP Neue Montreal" w:eastAsiaTheme="majorEastAsia" w:hAnsi="PP Neue Montreal" w:cstheme="majorBidi"/>
          <w:b/>
          <w:bCs/>
          <w:color w:val="215E99" w:themeColor="text2" w:themeTint="BF"/>
          <w:kern w:val="0"/>
          <w14:ligatures w14:val="none"/>
        </w:rPr>
        <w:br w:type="page"/>
      </w:r>
    </w:p>
    <w:p w14:paraId="12A8438F" w14:textId="52846CBB" w:rsidR="003F1179" w:rsidRDefault="003F1179" w:rsidP="002555C1">
      <w:pPr>
        <w:rPr>
          <w:rFonts w:ascii="PP Neue Montreal" w:eastAsiaTheme="majorEastAsia" w:hAnsi="PP Neue Montreal" w:cstheme="majorBidi"/>
          <w:b/>
          <w:bCs/>
          <w:color w:val="215E99" w:themeColor="text2" w:themeTint="BF"/>
          <w:kern w:val="0"/>
          <w14:ligatures w14:val="none"/>
        </w:rPr>
      </w:pPr>
      <w:r>
        <w:rPr>
          <w:rFonts w:ascii="PP Neue Montreal" w:eastAsiaTheme="majorEastAsia" w:hAnsi="PP Neue Montreal" w:cstheme="majorBidi"/>
          <w:b/>
          <w:bCs/>
          <w:color w:val="215E99" w:themeColor="text2" w:themeTint="BF"/>
          <w:kern w:val="0"/>
          <w14:ligatures w14:val="none"/>
        </w:rPr>
        <w:t>Part 1:</w:t>
      </w:r>
    </w:p>
    <w:p w14:paraId="776DAA56" w14:textId="5FF6236D" w:rsidR="008A69DC" w:rsidRPr="00D81668" w:rsidRDefault="003F1179" w:rsidP="008A69DC">
      <w:pPr>
        <w:keepNext/>
        <w:keepLines/>
        <w:spacing w:before="100" w:beforeAutospacing="1" w:after="100" w:afterAutospacing="1"/>
        <w:outlineLvl w:val="0"/>
        <w:rPr>
          <w:rFonts w:ascii="PP Neue Montreal" w:eastAsiaTheme="majorEastAsia" w:hAnsi="PP Neue Montreal" w:cstheme="majorBidi"/>
          <w:i/>
          <w:iCs/>
          <w:color w:val="4C94D8" w:themeColor="text2" w:themeTint="80"/>
          <w:sz w:val="32"/>
          <w:szCs w:val="32"/>
        </w:rPr>
      </w:pPr>
      <w:r>
        <w:rPr>
          <w:rFonts w:ascii="IvyPresto Display Thin" w:eastAsiaTheme="majorEastAsia" w:hAnsi="IvyPresto Display Thin" w:cs="IvyPresto Display Thin"/>
          <w:b/>
          <w:color w:val="4C94D8" w:themeColor="text2" w:themeTint="80"/>
          <w:sz w:val="32"/>
          <w:szCs w:val="32"/>
        </w:rPr>
        <w:t>1</w:t>
      </w:r>
      <w:r w:rsidR="008A69DC" w:rsidRPr="001E6D89">
        <w:rPr>
          <w:rFonts w:ascii="IvyPresto Display Thin" w:eastAsiaTheme="majorEastAsia" w:hAnsi="IvyPresto Display Thin" w:cs="IvyPresto Display Thin"/>
          <w:b/>
          <w:i/>
          <w:iCs/>
          <w:color w:val="4C94D8" w:themeColor="text2" w:themeTint="80"/>
          <w:sz w:val="32"/>
          <w:szCs w:val="32"/>
        </w:rPr>
        <w:t>. Summary of Financial Projections and Strategic Implications</w:t>
      </w:r>
      <w:r w:rsidR="00CF1268">
        <w:rPr>
          <w:rFonts w:ascii="IvyPresto Display Thin" w:eastAsiaTheme="majorEastAsia" w:hAnsi="IvyPresto Display Thin" w:cs="IvyPresto Display Thin"/>
          <w:b/>
          <w:i/>
          <w:iCs/>
          <w:color w:val="4C94D8" w:themeColor="text2" w:themeTint="80"/>
          <w:sz w:val="32"/>
          <w:szCs w:val="32"/>
        </w:rPr>
        <w:fldChar w:fldCharType="begin"/>
      </w:r>
      <w:r w:rsidR="00CF1268">
        <w:rPr>
          <w:rFonts w:ascii="IvyPresto Display Thin" w:eastAsiaTheme="majorEastAsia" w:hAnsi="IvyPresto Display Thin" w:cs="IvyPresto Display Thin"/>
          <w:b/>
          <w:i/>
          <w:iCs/>
          <w:color w:val="4C94D8" w:themeColor="text2" w:themeTint="80"/>
          <w:sz w:val="32"/>
          <w:szCs w:val="32"/>
        </w:rPr>
        <w:instrText xml:space="preserve"> TC "</w:instrText>
      </w:r>
      <w:bookmarkStart w:id="15" w:name="_Toc210125537"/>
      <w:r w:rsidR="00CF1268">
        <w:rPr>
          <w:rFonts w:ascii="IvyPresto Display Thin" w:eastAsiaTheme="majorEastAsia" w:hAnsi="IvyPresto Display Thin" w:cs="IvyPresto Display Thin"/>
          <w:b/>
          <w:i/>
          <w:iCs/>
          <w:color w:val="4C94D8" w:themeColor="text2" w:themeTint="80"/>
          <w:sz w:val="32"/>
          <w:szCs w:val="32"/>
        </w:rPr>
        <w:instrText>Part 1: Summary of Financial Projections and Strategic Implications</w:instrText>
      </w:r>
      <w:bookmarkEnd w:id="15"/>
      <w:r w:rsidR="00CF1268">
        <w:rPr>
          <w:rFonts w:ascii="IvyPresto Display Thin" w:eastAsiaTheme="majorEastAsia" w:hAnsi="IvyPresto Display Thin" w:cs="IvyPresto Display Thin"/>
          <w:b/>
          <w:i/>
          <w:iCs/>
          <w:color w:val="4C94D8" w:themeColor="text2" w:themeTint="80"/>
          <w:sz w:val="32"/>
          <w:szCs w:val="32"/>
        </w:rPr>
        <w:instrText xml:space="preserve">" </w:instrText>
      </w:r>
      <w:r w:rsidR="00CF1268">
        <w:rPr>
          <w:rFonts w:ascii="IvyPresto Display Thin" w:eastAsiaTheme="majorEastAsia" w:hAnsi="IvyPresto Display Thin" w:cs="IvyPresto Display Thin"/>
          <w:b/>
          <w:i/>
          <w:iCs/>
          <w:color w:val="4C94D8" w:themeColor="text2" w:themeTint="80"/>
          <w:sz w:val="32"/>
          <w:szCs w:val="32"/>
        </w:rPr>
        <w:fldChar w:fldCharType="end"/>
      </w:r>
    </w:p>
    <w:p w14:paraId="452CA931" w14:textId="77777777" w:rsidR="008A69DC" w:rsidRPr="005C5C1A" w:rsidRDefault="008A69DC" w:rsidP="008A69DC">
      <w:pPr>
        <w:pBdr>
          <w:top w:val="nil"/>
          <w:left w:val="nil"/>
          <w:bottom w:val="nil"/>
          <w:right w:val="nil"/>
          <w:between w:val="nil"/>
        </w:pBdr>
        <w:spacing w:before="100" w:beforeAutospacing="1" w:after="100" w:afterAutospacing="1"/>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This section consolidates the findings from the preceding analysis into a clear and comprehensive summary. It synthesizes the total estimated economic value that the Cordance Health platform can deliver to a partner health system.</w:t>
      </w:r>
    </w:p>
    <w:p w14:paraId="5D6391B1" w14:textId="67DDB507" w:rsidR="008A69DC" w:rsidRPr="00095483" w:rsidRDefault="008A69DC" w:rsidP="008A69DC">
      <w:pPr>
        <w:pBdr>
          <w:top w:val="nil"/>
          <w:left w:val="nil"/>
          <w:bottom w:val="nil"/>
          <w:right w:val="nil"/>
          <w:between w:val="nil"/>
        </w:pBdr>
        <w:spacing w:after="240"/>
        <w:rPr>
          <w:rFonts w:ascii="PP Neue Montreal Book" w:eastAsia="Google Sans Text" w:hAnsi="PP Neue Montreal Book" w:cs="Google Sans Text"/>
          <w:color w:val="215E99"/>
          <w:sz w:val="22"/>
          <w:szCs w:val="22"/>
        </w:rPr>
      </w:pPr>
      <w:r w:rsidRPr="00095483">
        <w:rPr>
          <w:rFonts w:ascii="IvyPresto Display Thin" w:hAnsi="IvyPresto Display Thin" w:cs="IvyPresto Display Thin"/>
          <w:b/>
          <w:color w:val="215E99"/>
        </w:rPr>
        <w:t>(</w:t>
      </w:r>
      <w:r w:rsidR="003F1179">
        <w:rPr>
          <w:rFonts w:ascii="IvyPresto Display Thin" w:hAnsi="IvyPresto Display Thin" w:cs="IvyPresto Display Thin"/>
          <w:b/>
          <w:color w:val="215E99"/>
        </w:rPr>
        <w:t>1</w:t>
      </w:r>
      <w:r w:rsidRPr="00095483">
        <w:rPr>
          <w:rFonts w:ascii="IvyPresto Display Thin" w:hAnsi="IvyPresto Display Thin" w:cs="IvyPresto Display Thin"/>
          <w:b/>
          <w:color w:val="215E99"/>
        </w:rPr>
        <w:t xml:space="preserve">a.) </w:t>
      </w:r>
      <w:r w:rsidRPr="00095483">
        <w:rPr>
          <w:rFonts w:ascii="PP Neue Montreal Book" w:hAnsi="PP Neue Montreal Book" w:cs="IvyPresto Display Thin"/>
          <w:b/>
          <w:color w:val="215E99"/>
        </w:rPr>
        <w:t>Completed ROI &amp;</w:t>
      </w:r>
      <w:r w:rsidRPr="00095483">
        <w:rPr>
          <w:rFonts w:ascii="PP Neue Montreal" w:hAnsi="PP Neue Montreal"/>
          <w:b/>
          <w:color w:val="215E99"/>
        </w:rPr>
        <w:t xml:space="preserve"> </w:t>
      </w:r>
      <w:r w:rsidRPr="00095483">
        <w:rPr>
          <w:rFonts w:ascii="IvyPresto Display Thin" w:hAnsi="IvyPresto Display Thin" w:cs="IvyPresto Display Thin"/>
          <w:bCs/>
          <w:i/>
          <w:iCs/>
          <w:color w:val="215E99"/>
        </w:rPr>
        <w:t>Revenue Tables</w:t>
      </w:r>
    </w:p>
    <w:p w14:paraId="59719ADB" w14:textId="519452AD" w:rsidR="008A69DC" w:rsidRPr="005C5C1A" w:rsidRDefault="008A69DC" w:rsidP="00500E5F">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 xml:space="preserve">The following tables have been populated with the estimates derived from the detailed financial modeling in Sections </w:t>
      </w:r>
      <w:r w:rsidR="00883B1B">
        <w:rPr>
          <w:rFonts w:ascii="PP Neue Montreal Book" w:eastAsia="Google Sans Text" w:hAnsi="PP Neue Montreal Book" w:cs="Google Sans Text"/>
          <w:color w:val="1B1C1D"/>
          <w:sz w:val="22"/>
          <w:szCs w:val="22"/>
        </w:rPr>
        <w:t>2</w:t>
      </w:r>
      <w:r w:rsidRPr="005C5C1A">
        <w:rPr>
          <w:rFonts w:ascii="PP Neue Montreal Book" w:eastAsia="Google Sans Text" w:hAnsi="PP Neue Montreal Book" w:cs="Google Sans Text"/>
          <w:color w:val="1B1C1D"/>
          <w:sz w:val="22"/>
          <w:szCs w:val="22"/>
        </w:rPr>
        <w:t xml:space="preserve"> and </w:t>
      </w:r>
      <w:r w:rsidR="00883B1B">
        <w:rPr>
          <w:rFonts w:ascii="PP Neue Montreal Book" w:eastAsia="Google Sans Text" w:hAnsi="PP Neue Montreal Book" w:cs="Google Sans Text"/>
          <w:color w:val="1B1C1D"/>
          <w:sz w:val="22"/>
          <w:szCs w:val="22"/>
        </w:rPr>
        <w:t>3</w:t>
      </w:r>
      <w:r w:rsidRPr="005C5C1A">
        <w:rPr>
          <w:rFonts w:ascii="PP Neue Montreal Book" w:eastAsia="Google Sans Text" w:hAnsi="PP Neue Montreal Book" w:cs="Google Sans Text"/>
          <w:color w:val="1B1C1D"/>
          <w:sz w:val="22"/>
          <w:szCs w:val="22"/>
        </w:rPr>
        <w:t>. They provide a quantitative summary of the Cordance Health value proposition for a medium-to-large health system serving approximately 2 million patients.</w:t>
      </w:r>
    </w:p>
    <w:p w14:paraId="764E9F6B" w14:textId="77777777" w:rsidR="008A69DC" w:rsidRPr="00095483" w:rsidRDefault="008A69DC" w:rsidP="008A69DC">
      <w:pPr>
        <w:keepNext/>
        <w:keepLines/>
        <w:spacing w:before="0" w:after="120" w:line="275" w:lineRule="auto"/>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Table 1: Creating Additional Revenue for Health System Partners</w:t>
      </w:r>
    </w:p>
    <w:tbl>
      <w:tblPr>
        <w:tblStyle w:val="TableGrid"/>
        <w:tblW w:w="10910" w:type="dxa"/>
        <w:tblLayout w:type="fixed"/>
        <w:tblLook w:val="04A0" w:firstRow="1" w:lastRow="0" w:firstColumn="1" w:lastColumn="0" w:noHBand="0" w:noVBand="1"/>
      </w:tblPr>
      <w:tblGrid>
        <w:gridCol w:w="1980"/>
        <w:gridCol w:w="1984"/>
        <w:gridCol w:w="993"/>
        <w:gridCol w:w="1701"/>
        <w:gridCol w:w="1413"/>
        <w:gridCol w:w="1280"/>
        <w:gridCol w:w="1559"/>
      </w:tblGrid>
      <w:tr w:rsidR="008A69DC" w:rsidRPr="005C5C1A" w14:paraId="3FB6D49C" w14:textId="77777777" w:rsidTr="25740446">
        <w:trPr>
          <w:trHeight w:val="300"/>
        </w:trPr>
        <w:tc>
          <w:tcPr>
            <w:tcW w:w="1980" w:type="dxa"/>
            <w:shd w:val="clear" w:color="auto" w:fill="0097F0"/>
            <w:vAlign w:val="center"/>
          </w:tcPr>
          <w:p w14:paraId="4146C03C" w14:textId="77777777" w:rsidR="008A69DC" w:rsidRPr="005C5C1A" w:rsidRDefault="008A69DC">
            <w:pPr>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Category</w:t>
            </w:r>
          </w:p>
        </w:tc>
        <w:tc>
          <w:tcPr>
            <w:tcW w:w="1984" w:type="dxa"/>
            <w:shd w:val="clear" w:color="auto" w:fill="0097F0"/>
            <w:vAlign w:val="center"/>
          </w:tcPr>
          <w:p w14:paraId="52499B15" w14:textId="77777777" w:rsidR="008A69DC" w:rsidRPr="005C5C1A" w:rsidRDefault="008A69DC">
            <w:pPr>
              <w:spacing w:before="0" w:after="0"/>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Existing Challenge</w:t>
            </w:r>
          </w:p>
        </w:tc>
        <w:tc>
          <w:tcPr>
            <w:tcW w:w="993" w:type="dxa"/>
            <w:shd w:val="clear" w:color="auto" w:fill="0097F0"/>
            <w:vAlign w:val="center"/>
          </w:tcPr>
          <w:p w14:paraId="6CCF53EF" w14:textId="77777777" w:rsidR="008A69DC" w:rsidRPr="005C5C1A" w:rsidRDefault="008A69DC">
            <w:pPr>
              <w:spacing w:before="0" w:after="0"/>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Contract Relevance</w:t>
            </w:r>
          </w:p>
        </w:tc>
        <w:tc>
          <w:tcPr>
            <w:tcW w:w="1701" w:type="dxa"/>
            <w:shd w:val="clear" w:color="auto" w:fill="0097F0"/>
            <w:vAlign w:val="center"/>
          </w:tcPr>
          <w:p w14:paraId="68D3F9D3" w14:textId="77777777" w:rsidR="008A69DC" w:rsidRPr="005C5C1A" w:rsidRDefault="008A69DC">
            <w:pPr>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 xml:space="preserve">What Cordance </w:t>
            </w:r>
            <w:r w:rsidRPr="005C5C1A">
              <w:rPr>
                <w:rFonts w:ascii="IvyPresto Display Thin" w:hAnsi="IvyPresto Display Thin" w:cs="IvyPresto Display Thin"/>
                <w:i/>
                <w:iCs/>
                <w:color w:val="FFFFFF" w:themeColor="background1"/>
                <w:sz w:val="18"/>
                <w:szCs w:val="18"/>
              </w:rPr>
              <w:t>Can Do</w:t>
            </w:r>
          </w:p>
        </w:tc>
        <w:tc>
          <w:tcPr>
            <w:tcW w:w="1413" w:type="dxa"/>
            <w:shd w:val="clear" w:color="auto" w:fill="0097F0"/>
            <w:vAlign w:val="center"/>
          </w:tcPr>
          <w:p w14:paraId="2723F330" w14:textId="77777777" w:rsidR="008A69DC" w:rsidRPr="005C5C1A" w:rsidRDefault="008A69DC">
            <w:pPr>
              <w:spacing w:before="0" w:after="0"/>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 xml:space="preserve">Estimated Savings </w:t>
            </w:r>
            <w:r w:rsidRPr="005C5C1A">
              <w:rPr>
                <w:rFonts w:ascii="IvyPresto Display Thin" w:hAnsi="IvyPresto Display Thin" w:cs="IvyPresto Display Thin"/>
                <w:i/>
                <w:iCs/>
                <w:color w:val="FFFFFF" w:themeColor="background1"/>
                <w:sz w:val="18"/>
                <w:szCs w:val="18"/>
              </w:rPr>
              <w:t>Per visit/example</w:t>
            </w:r>
          </w:p>
          <w:p w14:paraId="2935429E" w14:textId="77777777" w:rsidR="008A69DC" w:rsidRPr="005C5C1A" w:rsidRDefault="008A69DC">
            <w:pPr>
              <w:spacing w:before="0" w:after="0"/>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5"/>
                <w:szCs w:val="15"/>
              </w:rPr>
              <w:t xml:space="preserve">(Example </w:t>
            </w:r>
            <w:r w:rsidRPr="005C5C1A">
              <w:rPr>
                <w:rFonts w:ascii="IvyPresto Display Thin" w:hAnsi="IvyPresto Display Thin" w:cs="IvyPresto Display Thin"/>
                <w:i/>
                <w:iCs/>
                <w:color w:val="FFFFFF" w:themeColor="background1"/>
                <w:sz w:val="15"/>
                <w:szCs w:val="15"/>
              </w:rPr>
              <w:t>Only</w:t>
            </w:r>
            <w:r w:rsidRPr="005C5C1A">
              <w:rPr>
                <w:rFonts w:ascii="IvyPresto Display Thin" w:hAnsi="IvyPresto Display Thin" w:cs="IvyPresto Display Thin"/>
                <w:i/>
                <w:color w:val="FFFFFF" w:themeColor="background1"/>
                <w:sz w:val="15"/>
                <w:szCs w:val="15"/>
              </w:rPr>
              <w:t>)</w:t>
            </w:r>
          </w:p>
        </w:tc>
        <w:tc>
          <w:tcPr>
            <w:tcW w:w="1280" w:type="dxa"/>
            <w:shd w:val="clear" w:color="auto" w:fill="0097F0"/>
            <w:vAlign w:val="center"/>
          </w:tcPr>
          <w:p w14:paraId="7B497A7E" w14:textId="77777777" w:rsidR="008A69DC" w:rsidRPr="005C5C1A" w:rsidRDefault="008A69DC">
            <w:pPr>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iCs/>
                <w:color w:val="FFFFFF" w:themeColor="background1"/>
                <w:sz w:val="18"/>
                <w:szCs w:val="18"/>
              </w:rPr>
              <w:t xml:space="preserve">Annual Health System (2M Patients) </w:t>
            </w:r>
            <w:r w:rsidRPr="005C5C1A">
              <w:rPr>
                <w:rFonts w:ascii="IvyPresto Display Thin" w:hAnsi="IvyPresto Display Thin" w:cs="IvyPresto Display Thin"/>
                <w:i/>
                <w:color w:val="FFFFFF" w:themeColor="background1"/>
                <w:sz w:val="18"/>
                <w:szCs w:val="18"/>
              </w:rPr>
              <w:t>$ Extrapolation</w:t>
            </w:r>
          </w:p>
        </w:tc>
        <w:tc>
          <w:tcPr>
            <w:tcW w:w="1559" w:type="dxa"/>
            <w:shd w:val="clear" w:color="auto" w:fill="0097F0"/>
            <w:vAlign w:val="center"/>
          </w:tcPr>
          <w:p w14:paraId="4CED1E79" w14:textId="77777777" w:rsidR="008A69DC" w:rsidRPr="005C5C1A" w:rsidRDefault="008A69DC">
            <w:pPr>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Assumptions</w:t>
            </w:r>
            <w:r w:rsidRPr="005C5C1A">
              <w:rPr>
                <w:rFonts w:ascii="IvyPresto Display Thin" w:hAnsi="IvyPresto Display Thin" w:cs="IvyPresto Display Thin"/>
                <w:i/>
                <w:iCs/>
                <w:color w:val="FFFFFF" w:themeColor="background1"/>
                <w:sz w:val="18"/>
                <w:szCs w:val="18"/>
              </w:rPr>
              <w:t xml:space="preserve"> Comments </w:t>
            </w:r>
          </w:p>
        </w:tc>
      </w:tr>
      <w:tr w:rsidR="008A69DC" w:rsidRPr="005C5C1A" w14:paraId="42A0E94E" w14:textId="77777777" w:rsidTr="25740446">
        <w:tc>
          <w:tcPr>
            <w:tcW w:w="1980" w:type="dxa"/>
            <w:shd w:val="clear" w:color="auto" w:fill="DAE9F7" w:themeFill="text2" w:themeFillTint="1A"/>
          </w:tcPr>
          <w:p w14:paraId="6407378A" w14:textId="77777777" w:rsidR="008A69DC" w:rsidRPr="00B111B5" w:rsidRDefault="008A69DC">
            <w:pPr>
              <w:spacing w:before="40" w:after="40"/>
              <w:rPr>
                <w:rFonts w:ascii="PP Neue Montreal Medium" w:hAnsi="PP Neue Montreal Medium"/>
                <w:sz w:val="20"/>
                <w:szCs w:val="20"/>
              </w:rPr>
            </w:pPr>
            <w:r w:rsidRPr="00B111B5">
              <w:rPr>
                <w:rFonts w:ascii="PP Neue Montreal Medium" w:hAnsi="PP Neue Montreal Medium"/>
                <w:sz w:val="20"/>
                <w:szCs w:val="20"/>
              </w:rPr>
              <w:t>Increase revenue from health system's in-house specialists/surgeons by reducing referrals of lower complexity patients &amp; freeing up their schedules for more complex/higher revenue generating cases</w:t>
            </w:r>
          </w:p>
        </w:tc>
        <w:tc>
          <w:tcPr>
            <w:tcW w:w="1984" w:type="dxa"/>
          </w:tcPr>
          <w:p w14:paraId="03EAA54B" w14:textId="77777777" w:rsidR="008A69DC" w:rsidRPr="00B8443C" w:rsidRDefault="008A69DC">
            <w:pPr>
              <w:spacing w:before="40" w:after="40"/>
              <w:rPr>
                <w:rFonts w:ascii="PP Neue Montreal Book" w:hAnsi="PP Neue Montreal Book"/>
                <w:sz w:val="20"/>
                <w:szCs w:val="20"/>
              </w:rPr>
            </w:pPr>
            <w:r>
              <w:rPr>
                <w:rFonts w:ascii="PP Neue Montreal Book" w:hAnsi="PP Neue Montreal Book"/>
                <w:sz w:val="20"/>
                <w:szCs w:val="20"/>
              </w:rPr>
              <w:t>Surgeon’s schedules filled with lower complexity cases, limited time for high-value/high-revenue procedures (e.g., Orthopedics, Cardiology, Neurosurgery, GI, Urology)</w:t>
            </w:r>
          </w:p>
        </w:tc>
        <w:tc>
          <w:tcPr>
            <w:tcW w:w="993" w:type="dxa"/>
          </w:tcPr>
          <w:p w14:paraId="5BD3E0E5" w14:textId="77777777" w:rsidR="008A69DC" w:rsidRPr="00B8443C" w:rsidRDefault="008A69DC">
            <w:pPr>
              <w:spacing w:before="40" w:after="40"/>
              <w:rPr>
                <w:rFonts w:ascii="PP Neue Montreal Book" w:hAnsi="PP Neue Montreal Book"/>
                <w:sz w:val="20"/>
                <w:szCs w:val="20"/>
              </w:rPr>
            </w:pPr>
            <w:r>
              <w:rPr>
                <w:rFonts w:ascii="PP Neue Montreal Book" w:hAnsi="PP Neue Montreal Book"/>
                <w:sz w:val="20"/>
                <w:szCs w:val="20"/>
              </w:rPr>
              <w:t>FFS and VBC</w:t>
            </w:r>
          </w:p>
        </w:tc>
        <w:tc>
          <w:tcPr>
            <w:tcW w:w="1701" w:type="dxa"/>
          </w:tcPr>
          <w:p w14:paraId="6A67A94D" w14:textId="77777777" w:rsidR="008A69DC" w:rsidRPr="00B8443C" w:rsidRDefault="008A69DC">
            <w:pPr>
              <w:spacing w:before="40" w:after="40"/>
              <w:rPr>
                <w:rFonts w:ascii="PP Neue Montreal Book" w:hAnsi="PP Neue Montreal Book"/>
                <w:sz w:val="20"/>
                <w:szCs w:val="20"/>
              </w:rPr>
            </w:pPr>
            <w:r w:rsidRPr="004A35D7">
              <w:rPr>
                <w:rFonts w:ascii="PP Neue Montreal Book" w:hAnsi="PP Neue Montreal Book"/>
                <w:sz w:val="20"/>
                <w:szCs w:val="20"/>
              </w:rPr>
              <w:t>Cordance provides physician with better management guidance, reducing low yield specialty referrals.</w:t>
            </w:r>
          </w:p>
        </w:tc>
        <w:tc>
          <w:tcPr>
            <w:tcW w:w="1413" w:type="dxa"/>
          </w:tcPr>
          <w:p w14:paraId="25D6CF55" w14:textId="77777777" w:rsidR="008A69DC" w:rsidRPr="00B8443C" w:rsidRDefault="008A69DC">
            <w:pPr>
              <w:spacing w:before="40" w:after="40"/>
              <w:rPr>
                <w:rFonts w:ascii="PP Neue Montreal Book" w:hAnsi="PP Neue Montreal Book"/>
                <w:sz w:val="20"/>
                <w:szCs w:val="20"/>
              </w:rPr>
            </w:pPr>
            <w:r w:rsidRPr="004A35D7">
              <w:rPr>
                <w:rFonts w:ascii="PP Neue Montreal Book" w:hAnsi="PP Neue Montreal Book"/>
                <w:sz w:val="20"/>
                <w:szCs w:val="20"/>
              </w:rPr>
              <w:t>$144,000 per surgeon</w:t>
            </w:r>
          </w:p>
        </w:tc>
        <w:tc>
          <w:tcPr>
            <w:tcW w:w="1280" w:type="dxa"/>
          </w:tcPr>
          <w:p w14:paraId="3CDCB9FC" w14:textId="77777777" w:rsidR="008A69DC" w:rsidRPr="00B8443C" w:rsidRDefault="008A69DC">
            <w:pPr>
              <w:spacing w:before="40" w:after="40"/>
              <w:rPr>
                <w:rFonts w:ascii="PP Neue Montreal Book" w:hAnsi="PP Neue Montreal Book"/>
                <w:sz w:val="20"/>
                <w:szCs w:val="20"/>
              </w:rPr>
            </w:pPr>
            <w:r>
              <w:rPr>
                <w:rFonts w:ascii="PP Neue Montreal Book" w:hAnsi="PP Neue Montreal Book"/>
                <w:sz w:val="20"/>
                <w:szCs w:val="20"/>
              </w:rPr>
              <w:t>$10,080,000 (including $720,000 ENT)</w:t>
            </w:r>
          </w:p>
        </w:tc>
        <w:tc>
          <w:tcPr>
            <w:tcW w:w="1559" w:type="dxa"/>
          </w:tcPr>
          <w:p w14:paraId="7AD7C4AC" w14:textId="25ECEE69" w:rsidR="008A69DC" w:rsidRPr="00B8443C" w:rsidRDefault="008A69DC">
            <w:pPr>
              <w:spacing w:before="40" w:after="40"/>
              <w:rPr>
                <w:rFonts w:ascii="PP Neue Montreal Book" w:hAnsi="PP Neue Montreal Book"/>
                <w:sz w:val="20"/>
                <w:szCs w:val="20"/>
              </w:rPr>
            </w:pPr>
            <w:r w:rsidRPr="25740446">
              <w:rPr>
                <w:rFonts w:ascii="PP Neue Montreal Book" w:hAnsi="PP Neue Montreal Book"/>
                <w:sz w:val="20"/>
                <w:szCs w:val="20"/>
              </w:rPr>
              <w:t>Assumes 70 total surgeons each perform 1 additional revenue ($3</w:t>
            </w:r>
            <w:r w:rsidR="03F28238" w:rsidRPr="25740446">
              <w:rPr>
                <w:rFonts w:ascii="PP Neue Montreal Book" w:hAnsi="PP Neue Montreal Book"/>
                <w:sz w:val="20"/>
                <w:szCs w:val="20"/>
              </w:rPr>
              <w:t>,</w:t>
            </w:r>
            <w:r w:rsidRPr="25740446">
              <w:rPr>
                <w:rFonts w:ascii="PP Neue Montreal Book" w:hAnsi="PP Neue Montreal Book"/>
                <w:sz w:val="20"/>
                <w:szCs w:val="20"/>
              </w:rPr>
              <w:t>000) procedure per week by shifting case mix.</w:t>
            </w:r>
          </w:p>
        </w:tc>
      </w:tr>
      <w:tr w:rsidR="008A69DC" w:rsidRPr="005C5C1A" w14:paraId="4522C2D4" w14:textId="77777777" w:rsidTr="25740446">
        <w:tc>
          <w:tcPr>
            <w:tcW w:w="1980" w:type="dxa"/>
            <w:shd w:val="clear" w:color="auto" w:fill="CEF2FF"/>
          </w:tcPr>
          <w:p w14:paraId="322321B0" w14:textId="59A6E964" w:rsidR="008A69DC" w:rsidRPr="00B111B5" w:rsidRDefault="007A60F3">
            <w:pPr>
              <w:spacing w:before="40" w:after="40"/>
              <w:rPr>
                <w:rFonts w:ascii="PP Neue Montreal Medium" w:hAnsi="PP Neue Montreal Medium"/>
                <w:color w:val="000000" w:themeColor="text1"/>
                <w:sz w:val="20"/>
                <w:szCs w:val="20"/>
              </w:rPr>
            </w:pPr>
            <w:r w:rsidRPr="00B111B5">
              <w:rPr>
                <w:rFonts w:ascii="PP Neue Montreal Medium" w:hAnsi="PP Neue Montreal Medium"/>
                <w:sz w:val="20"/>
                <w:szCs w:val="20"/>
              </w:rPr>
              <w:t>Build market share (and attract new clinicians to serve same) as health system's reputation for less stressful environment/better patient experience takes hold in market</w:t>
            </w:r>
          </w:p>
        </w:tc>
        <w:tc>
          <w:tcPr>
            <w:tcW w:w="1984" w:type="dxa"/>
            <w:shd w:val="clear" w:color="auto" w:fill="F2F2F2" w:themeFill="background1" w:themeFillShade="F2"/>
          </w:tcPr>
          <w:p w14:paraId="08D03A4D" w14:textId="0A08FDAD" w:rsidR="008A69DC" w:rsidRPr="00B8443C" w:rsidRDefault="007A60F3">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Hallmarks of today's hospital experience include stressed/burnt out physicians and low customer (patient) service expectations.</w:t>
            </w:r>
          </w:p>
        </w:tc>
        <w:tc>
          <w:tcPr>
            <w:tcW w:w="993" w:type="dxa"/>
            <w:shd w:val="clear" w:color="auto" w:fill="F2F2F2" w:themeFill="background1" w:themeFillShade="F2"/>
          </w:tcPr>
          <w:p w14:paraId="37595BE3" w14:textId="7D42A998" w:rsidR="008A69DC" w:rsidRPr="00B8443C" w:rsidRDefault="007A60F3">
            <w:pPr>
              <w:spacing w:before="40" w:after="40"/>
              <w:rPr>
                <w:rFonts w:ascii="PP Neue Montreal Book" w:hAnsi="PP Neue Montreal Book"/>
                <w:sz w:val="20"/>
                <w:szCs w:val="20"/>
              </w:rPr>
            </w:pPr>
            <w:r w:rsidRPr="004A35D7">
              <w:rPr>
                <w:rFonts w:ascii="PP Neue Montreal Book" w:hAnsi="PP Neue Montreal Book"/>
                <w:sz w:val="20"/>
                <w:szCs w:val="20"/>
              </w:rPr>
              <w:t>N/A</w:t>
            </w:r>
          </w:p>
        </w:tc>
        <w:tc>
          <w:tcPr>
            <w:tcW w:w="1701" w:type="dxa"/>
            <w:shd w:val="clear" w:color="auto" w:fill="F2F2F2" w:themeFill="background1" w:themeFillShade="F2"/>
          </w:tcPr>
          <w:p w14:paraId="7A26EAFA" w14:textId="6C18901E" w:rsidR="008A69DC" w:rsidRPr="00B8443C" w:rsidRDefault="007A60F3">
            <w:pPr>
              <w:spacing w:before="40" w:after="40"/>
              <w:rPr>
                <w:rFonts w:ascii="PP Neue Montreal Book" w:hAnsi="PP Neue Montreal Book"/>
                <w:sz w:val="20"/>
                <w:szCs w:val="20"/>
              </w:rPr>
            </w:pPr>
            <w:r w:rsidRPr="004A35D7">
              <w:rPr>
                <w:rFonts w:ascii="PP Neue Montreal Book" w:hAnsi="PP Neue Montreal Book"/>
                <w:sz w:val="20"/>
                <w:szCs w:val="20"/>
              </w:rPr>
              <w:t>Cordance reduces physician and patient stress and facilitates better care/outcomes/economics.</w:t>
            </w:r>
          </w:p>
        </w:tc>
        <w:tc>
          <w:tcPr>
            <w:tcW w:w="1413" w:type="dxa"/>
            <w:shd w:val="clear" w:color="auto" w:fill="F2F2F2" w:themeFill="background1" w:themeFillShade="F2"/>
          </w:tcPr>
          <w:p w14:paraId="42117F04" w14:textId="7B439120" w:rsidR="008A69DC" w:rsidRPr="00B8443C" w:rsidRDefault="007A60F3">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0.25% of system revenue</w:t>
            </w:r>
          </w:p>
        </w:tc>
        <w:tc>
          <w:tcPr>
            <w:tcW w:w="1280" w:type="dxa"/>
            <w:shd w:val="clear" w:color="auto" w:fill="F2F2F2" w:themeFill="background1" w:themeFillShade="F2"/>
          </w:tcPr>
          <w:p w14:paraId="3442A295" w14:textId="6F07415D" w:rsidR="008A69DC" w:rsidRPr="00B8443C" w:rsidRDefault="008A69DC">
            <w:pPr>
              <w:spacing w:before="40" w:after="40"/>
              <w:rPr>
                <w:rFonts w:ascii="PP Neue Montreal Book" w:hAnsi="PP Neue Montreal Book"/>
                <w:i/>
                <w:sz w:val="20"/>
                <w:szCs w:val="20"/>
              </w:rPr>
            </w:pPr>
            <w:r w:rsidRPr="004A35D7">
              <w:rPr>
                <w:rFonts w:ascii="PP Neue Montreal Book" w:hAnsi="PP Neue Montreal Book"/>
                <w:sz w:val="20"/>
                <w:szCs w:val="20"/>
              </w:rPr>
              <w:t>$</w:t>
            </w:r>
            <w:r w:rsidR="007A60F3" w:rsidRPr="004A35D7">
              <w:rPr>
                <w:rFonts w:ascii="PP Neue Montreal Book" w:hAnsi="PP Neue Montreal Book"/>
                <w:sz w:val="20"/>
                <w:szCs w:val="20"/>
              </w:rPr>
              <w:t>7,500</w:t>
            </w:r>
            <w:r w:rsidRPr="004A35D7">
              <w:rPr>
                <w:rFonts w:ascii="PP Neue Montreal Book" w:hAnsi="PP Neue Montreal Book"/>
                <w:sz w:val="20"/>
                <w:szCs w:val="20"/>
              </w:rPr>
              <w:t>,000</w:t>
            </w:r>
          </w:p>
        </w:tc>
        <w:tc>
          <w:tcPr>
            <w:tcW w:w="1559" w:type="dxa"/>
            <w:shd w:val="clear" w:color="auto" w:fill="F2F2F2" w:themeFill="background1" w:themeFillShade="F2"/>
          </w:tcPr>
          <w:p w14:paraId="7B63F7B5" w14:textId="79B47C9F" w:rsidR="008A69DC" w:rsidRPr="00B8443C" w:rsidRDefault="007A60F3">
            <w:pPr>
              <w:spacing w:before="40" w:after="40"/>
              <w:rPr>
                <w:rFonts w:ascii="PP Neue Montreal Book" w:hAnsi="PP Neue Montreal Book"/>
                <w:i/>
                <w:sz w:val="20"/>
                <w:szCs w:val="20"/>
              </w:rPr>
            </w:pPr>
            <w:r w:rsidRPr="004A35D7">
              <w:rPr>
                <w:rFonts w:ascii="PP Neue Montreal Book" w:hAnsi="PP Neue Montreal Book"/>
                <w:sz w:val="20"/>
                <w:szCs w:val="20"/>
              </w:rPr>
              <w:t>Based on a long-term 0.25% market share gain on a $3B revenue base, driven by improved patient and physician satisfaction.</w:t>
            </w:r>
          </w:p>
        </w:tc>
      </w:tr>
      <w:tr w:rsidR="008A69DC" w:rsidRPr="005C5C1A" w14:paraId="4218D287" w14:textId="77777777" w:rsidTr="25740446">
        <w:tc>
          <w:tcPr>
            <w:tcW w:w="1980" w:type="dxa"/>
            <w:shd w:val="clear" w:color="auto" w:fill="D7E5F3"/>
          </w:tcPr>
          <w:p w14:paraId="61992464" w14:textId="422B6CA2" w:rsidR="008A69DC" w:rsidRPr="00B111B5" w:rsidRDefault="007A60F3">
            <w:pPr>
              <w:spacing w:before="40" w:after="40"/>
              <w:rPr>
                <w:rFonts w:ascii="PP Neue Montreal Medium" w:hAnsi="PP Neue Montreal Medium"/>
                <w:sz w:val="20"/>
                <w:szCs w:val="20"/>
              </w:rPr>
            </w:pPr>
            <w:r w:rsidRPr="00B111B5">
              <w:rPr>
                <w:rFonts w:ascii="PP Neue Montreal Medium" w:hAnsi="PP Neue Montreal Medium"/>
                <w:sz w:val="20"/>
                <w:szCs w:val="20"/>
              </w:rPr>
              <w:t>Increase revenue by stemming "leakage" of referrals where hospital's capabilities/economics are advantageous</w:t>
            </w:r>
          </w:p>
        </w:tc>
        <w:tc>
          <w:tcPr>
            <w:tcW w:w="1984" w:type="dxa"/>
            <w:shd w:val="clear" w:color="auto" w:fill="FFFFFF" w:themeFill="background1"/>
          </w:tcPr>
          <w:p w14:paraId="4B160750" w14:textId="127115E1" w:rsidR="008A69DC" w:rsidRPr="004A35D7" w:rsidRDefault="007A60F3">
            <w:pPr>
              <w:spacing w:before="40" w:after="40"/>
              <w:rPr>
                <w:rFonts w:ascii="PP Neue Montreal Book" w:hAnsi="PP Neue Montreal Book"/>
                <w:sz w:val="20"/>
                <w:szCs w:val="20"/>
              </w:rPr>
            </w:pPr>
            <w:r w:rsidRPr="004A35D7">
              <w:rPr>
                <w:rFonts w:ascii="PP Neue Montreal Book" w:hAnsi="PP Neue Montreal Book"/>
                <w:sz w:val="20"/>
                <w:szCs w:val="20"/>
              </w:rPr>
              <w:t>Patient has imaging done outside of hospital system even though hospital system has capacity and economics are attractive for the system.</w:t>
            </w:r>
          </w:p>
        </w:tc>
        <w:tc>
          <w:tcPr>
            <w:tcW w:w="993" w:type="dxa"/>
            <w:shd w:val="clear" w:color="auto" w:fill="FFFFFF" w:themeFill="background1"/>
          </w:tcPr>
          <w:p w14:paraId="272372FD" w14:textId="02B9792A" w:rsidR="008A69DC" w:rsidRPr="004A35D7" w:rsidRDefault="007A60F3">
            <w:pPr>
              <w:spacing w:before="40" w:after="40"/>
              <w:rPr>
                <w:rFonts w:ascii="PP Neue Montreal Book" w:hAnsi="PP Neue Montreal Book"/>
                <w:sz w:val="20"/>
                <w:szCs w:val="20"/>
              </w:rPr>
            </w:pPr>
            <w:r w:rsidRPr="004A35D7">
              <w:rPr>
                <w:rFonts w:ascii="PP Neue Montreal Book" w:hAnsi="PP Neue Montreal Book"/>
                <w:sz w:val="20"/>
                <w:szCs w:val="20"/>
              </w:rPr>
              <w:t>FFS</w:t>
            </w:r>
          </w:p>
        </w:tc>
        <w:tc>
          <w:tcPr>
            <w:tcW w:w="1701" w:type="dxa"/>
            <w:shd w:val="clear" w:color="auto" w:fill="FFFFFF" w:themeFill="background1"/>
          </w:tcPr>
          <w:p w14:paraId="15FF0F1B" w14:textId="19933DAD" w:rsidR="008A69DC" w:rsidRPr="004A35D7" w:rsidRDefault="007A60F3">
            <w:pPr>
              <w:spacing w:before="40" w:after="40"/>
              <w:rPr>
                <w:rFonts w:ascii="PP Neue Montreal Book" w:hAnsi="PP Neue Montreal Book"/>
                <w:sz w:val="20"/>
                <w:szCs w:val="20"/>
              </w:rPr>
            </w:pPr>
            <w:r w:rsidRPr="004A35D7">
              <w:rPr>
                <w:rFonts w:ascii="PP Neue Montreal Book" w:hAnsi="PP Neue Montreal Book"/>
                <w:sz w:val="20"/>
                <w:szCs w:val="20"/>
              </w:rPr>
              <w:t>Cordance can nudge physicians to make in-house imaging referrals.</w:t>
            </w:r>
          </w:p>
        </w:tc>
        <w:tc>
          <w:tcPr>
            <w:tcW w:w="1413" w:type="dxa"/>
            <w:shd w:val="clear" w:color="auto" w:fill="FFFFFF" w:themeFill="background1"/>
          </w:tcPr>
          <w:p w14:paraId="74F34550" w14:textId="00207FD8" w:rsidR="008A69DC" w:rsidRPr="004A35D7" w:rsidRDefault="007A60F3">
            <w:pPr>
              <w:spacing w:before="40" w:after="40"/>
              <w:rPr>
                <w:rFonts w:ascii="PP Neue Montreal Book" w:hAnsi="PP Neue Montreal Book"/>
                <w:sz w:val="20"/>
                <w:szCs w:val="20"/>
              </w:rPr>
            </w:pPr>
            <w:r w:rsidRPr="004A35D7">
              <w:rPr>
                <w:rFonts w:ascii="PP Neue Montreal Book" w:hAnsi="PP Neue Montreal Book"/>
                <w:sz w:val="20"/>
                <w:szCs w:val="20"/>
              </w:rPr>
              <w:t>$1,500 per MRI</w:t>
            </w:r>
          </w:p>
        </w:tc>
        <w:tc>
          <w:tcPr>
            <w:tcW w:w="1280" w:type="dxa"/>
            <w:shd w:val="clear" w:color="auto" w:fill="FFFFFF" w:themeFill="background1"/>
          </w:tcPr>
          <w:p w14:paraId="33B70B58" w14:textId="0470ED2D" w:rsidR="008A69DC" w:rsidRPr="004A35D7" w:rsidRDefault="008A69DC">
            <w:pPr>
              <w:spacing w:before="40" w:after="40"/>
              <w:rPr>
                <w:rFonts w:ascii="PP Neue Montreal Book" w:hAnsi="PP Neue Montreal Book"/>
                <w:sz w:val="20"/>
                <w:szCs w:val="20"/>
              </w:rPr>
            </w:pPr>
            <w:r w:rsidRPr="004A35D7">
              <w:rPr>
                <w:rFonts w:ascii="PP Neue Montreal Book" w:hAnsi="PP Neue Montreal Book"/>
                <w:sz w:val="20"/>
                <w:szCs w:val="20"/>
              </w:rPr>
              <w:t>$</w:t>
            </w:r>
            <w:r w:rsidR="007A60F3" w:rsidRPr="004A35D7">
              <w:rPr>
                <w:rFonts w:ascii="PP Neue Montreal Book" w:hAnsi="PP Neue Montreal Book"/>
                <w:sz w:val="20"/>
                <w:szCs w:val="20"/>
              </w:rPr>
              <w:t>3,600</w:t>
            </w:r>
            <w:r w:rsidRPr="004A35D7">
              <w:rPr>
                <w:rFonts w:ascii="PP Neue Montreal Book" w:hAnsi="PP Neue Montreal Book"/>
                <w:sz w:val="20"/>
                <w:szCs w:val="20"/>
              </w:rPr>
              <w:t>,000</w:t>
            </w:r>
          </w:p>
        </w:tc>
        <w:tc>
          <w:tcPr>
            <w:tcW w:w="1559" w:type="dxa"/>
            <w:shd w:val="clear" w:color="auto" w:fill="FFFFFF" w:themeFill="background1"/>
          </w:tcPr>
          <w:p w14:paraId="103AFD6C" w14:textId="02F04EF7" w:rsidR="008A69DC" w:rsidRPr="004A35D7" w:rsidRDefault="007A60F3">
            <w:pPr>
              <w:spacing w:before="40" w:after="40"/>
              <w:rPr>
                <w:rFonts w:ascii="PP Neue Montreal Book" w:hAnsi="PP Neue Montreal Book"/>
                <w:sz w:val="20"/>
                <w:szCs w:val="20"/>
              </w:rPr>
            </w:pPr>
            <w:r w:rsidRPr="004A35D7">
              <w:rPr>
                <w:rFonts w:ascii="PP Neue Montreal Book" w:hAnsi="PP Neue Montreal Book"/>
                <w:sz w:val="20"/>
                <w:szCs w:val="20"/>
              </w:rPr>
              <w:t>Assumes 500 physicians leak 48 scans/year; Cordance recaptures 10% of these at an average revenue of $1,500/scan.</w:t>
            </w:r>
          </w:p>
        </w:tc>
      </w:tr>
      <w:tr w:rsidR="008A69DC" w:rsidRPr="005C5C1A" w14:paraId="70D0217C" w14:textId="77777777" w:rsidTr="25740446">
        <w:tc>
          <w:tcPr>
            <w:tcW w:w="1980" w:type="dxa"/>
            <w:shd w:val="clear" w:color="auto" w:fill="CEF3FF"/>
          </w:tcPr>
          <w:p w14:paraId="4D516B05" w14:textId="5911B057" w:rsidR="008A69DC" w:rsidRPr="00B111B5" w:rsidRDefault="0003167F">
            <w:pPr>
              <w:spacing w:before="40" w:after="40"/>
              <w:rPr>
                <w:rFonts w:ascii="PP Neue Montreal Medium" w:hAnsi="PP Neue Montreal Medium"/>
                <w:color w:val="000000" w:themeColor="text1"/>
                <w:sz w:val="20"/>
                <w:szCs w:val="20"/>
              </w:rPr>
            </w:pPr>
            <w:r w:rsidRPr="00B111B5">
              <w:rPr>
                <w:rFonts w:ascii="PP Neue Montreal Medium" w:hAnsi="PP Neue Montreal Medium"/>
                <w:sz w:val="20"/>
                <w:szCs w:val="20"/>
              </w:rPr>
              <w:t>Increase revenue from health system's in-house specialists/surgeons by reducing referrals of lower complexity patients &amp; freeing up their schedules for more complex/higher revenue generating cases</w:t>
            </w:r>
          </w:p>
        </w:tc>
        <w:tc>
          <w:tcPr>
            <w:tcW w:w="1984" w:type="dxa"/>
            <w:shd w:val="clear" w:color="auto" w:fill="F2F2F2" w:themeFill="background1" w:themeFillShade="F2"/>
          </w:tcPr>
          <w:p w14:paraId="478380D3" w14:textId="1C7186E7" w:rsidR="008A69DC" w:rsidRPr="00B8443C" w:rsidRDefault="0003167F">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Clinician refers chronic sinusitis patient to health system's ENT surgeon limiting ENT's availability for more serious / higher revenue cases.</w:t>
            </w:r>
          </w:p>
        </w:tc>
        <w:tc>
          <w:tcPr>
            <w:tcW w:w="993" w:type="dxa"/>
            <w:shd w:val="clear" w:color="auto" w:fill="F2F2F2" w:themeFill="background1" w:themeFillShade="F2"/>
          </w:tcPr>
          <w:p w14:paraId="1AF1E89C" w14:textId="22E95A44" w:rsidR="008A69DC" w:rsidRPr="00B8443C" w:rsidRDefault="0003167F">
            <w:pPr>
              <w:spacing w:before="40" w:after="40"/>
              <w:rPr>
                <w:rFonts w:ascii="PP Neue Montreal Book" w:hAnsi="PP Neue Montreal Book"/>
                <w:sz w:val="20"/>
                <w:szCs w:val="20"/>
              </w:rPr>
            </w:pPr>
            <w:r w:rsidRPr="004A35D7">
              <w:rPr>
                <w:rFonts w:ascii="PP Neue Montreal Book" w:hAnsi="PP Neue Montreal Book"/>
                <w:sz w:val="20"/>
                <w:szCs w:val="20"/>
              </w:rPr>
              <w:t>FFS and VBC</w:t>
            </w:r>
          </w:p>
        </w:tc>
        <w:tc>
          <w:tcPr>
            <w:tcW w:w="1701" w:type="dxa"/>
            <w:shd w:val="clear" w:color="auto" w:fill="F2F2F2" w:themeFill="background1" w:themeFillShade="F2"/>
          </w:tcPr>
          <w:p w14:paraId="4D7566DD" w14:textId="339A9E32" w:rsidR="008A69DC" w:rsidRPr="00B8443C" w:rsidRDefault="0003167F">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Cordance provides physician with better management guidance, reducing low yield specialty referrals.</w:t>
            </w:r>
          </w:p>
        </w:tc>
        <w:tc>
          <w:tcPr>
            <w:tcW w:w="1413" w:type="dxa"/>
            <w:shd w:val="clear" w:color="auto" w:fill="F2F2F2" w:themeFill="background1" w:themeFillShade="F2"/>
          </w:tcPr>
          <w:p w14:paraId="2BF7FCFC" w14:textId="03703F55" w:rsidR="008A69DC" w:rsidRPr="00B8443C" w:rsidRDefault="0003167F">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$144,000 per surgeon</w:t>
            </w:r>
          </w:p>
        </w:tc>
        <w:tc>
          <w:tcPr>
            <w:tcW w:w="1280" w:type="dxa"/>
            <w:shd w:val="clear" w:color="auto" w:fill="F2F2F2" w:themeFill="background1" w:themeFillShade="F2"/>
          </w:tcPr>
          <w:p w14:paraId="63B11B13" w14:textId="4CF89797" w:rsidR="008A69DC" w:rsidRPr="00B8443C" w:rsidRDefault="008A69DC">
            <w:pPr>
              <w:spacing w:before="40" w:after="40"/>
              <w:rPr>
                <w:rFonts w:ascii="PP Neue Montreal Book" w:hAnsi="PP Neue Montreal Book"/>
                <w:i/>
                <w:iCs/>
                <w:color w:val="000000" w:themeColor="text1"/>
                <w:sz w:val="20"/>
                <w:szCs w:val="20"/>
              </w:rPr>
            </w:pPr>
            <w:r w:rsidRPr="004A35D7">
              <w:rPr>
                <w:rFonts w:ascii="PP Neue Montreal Book" w:hAnsi="PP Neue Montreal Book"/>
                <w:sz w:val="20"/>
                <w:szCs w:val="20"/>
              </w:rPr>
              <w:t>$</w:t>
            </w:r>
            <w:r w:rsidR="0003167F" w:rsidRPr="004A35D7">
              <w:rPr>
                <w:rFonts w:ascii="PP Neue Montreal Book" w:hAnsi="PP Neue Montreal Book"/>
                <w:sz w:val="20"/>
                <w:szCs w:val="20"/>
              </w:rPr>
              <w:t>720</w:t>
            </w:r>
            <w:r w:rsidRPr="004A35D7">
              <w:rPr>
                <w:rFonts w:ascii="PP Neue Montreal Book" w:hAnsi="PP Neue Montreal Book"/>
                <w:sz w:val="20"/>
                <w:szCs w:val="20"/>
              </w:rPr>
              <w:t>,000</w:t>
            </w:r>
          </w:p>
        </w:tc>
        <w:tc>
          <w:tcPr>
            <w:tcW w:w="1559" w:type="dxa"/>
            <w:shd w:val="clear" w:color="auto" w:fill="F2F2F2" w:themeFill="background1" w:themeFillShade="F2"/>
          </w:tcPr>
          <w:p w14:paraId="1C688557" w14:textId="5DFAFADD" w:rsidR="008A69DC" w:rsidRPr="00B8443C" w:rsidRDefault="0003167F">
            <w:pPr>
              <w:spacing w:before="40" w:after="40" w:line="259" w:lineRule="auto"/>
              <w:rPr>
                <w:rFonts w:ascii="PP Neue Montreal Book" w:eastAsia="PP Neue Montreal Book" w:hAnsi="PP Neue Montreal Book" w:cs="PP Neue Montreal Book"/>
                <w:sz w:val="20"/>
                <w:szCs w:val="20"/>
              </w:rPr>
            </w:pPr>
            <w:r w:rsidRPr="004A35D7">
              <w:rPr>
                <w:rFonts w:ascii="PP Neue Montreal Book" w:hAnsi="PP Neue Montreal Book"/>
                <w:sz w:val="20"/>
                <w:szCs w:val="20"/>
              </w:rPr>
              <w:t>Assumes 5 ENT surgeons each perform 1 additional high-revenue ($3,000) procedure per week by shifting case mix.</w:t>
            </w:r>
          </w:p>
        </w:tc>
      </w:tr>
      <w:tr w:rsidR="008A69DC" w:rsidRPr="005C5C1A" w14:paraId="0B9BAC23" w14:textId="77777777" w:rsidTr="25740446">
        <w:tc>
          <w:tcPr>
            <w:tcW w:w="1980" w:type="dxa"/>
            <w:shd w:val="clear" w:color="auto" w:fill="D7E5F3"/>
          </w:tcPr>
          <w:p w14:paraId="7BA18BCD" w14:textId="77777777" w:rsidR="008A69DC" w:rsidRPr="00B111B5" w:rsidRDefault="008A69DC">
            <w:pPr>
              <w:spacing w:before="40" w:after="40"/>
              <w:rPr>
                <w:rFonts w:ascii="PP Neue Montreal Medium" w:hAnsi="PP Neue Montreal Medium"/>
                <w:color w:val="000000" w:themeColor="text1"/>
                <w:sz w:val="20"/>
                <w:szCs w:val="20"/>
              </w:rPr>
            </w:pPr>
            <w:r w:rsidRPr="00B111B5">
              <w:rPr>
                <w:rFonts w:ascii="PP Neue Montreal Medium" w:hAnsi="PP Neue Montreal Medium"/>
                <w:sz w:val="20"/>
                <w:szCs w:val="20"/>
              </w:rPr>
              <w:t>Increase revenue (margin) by directing patients to in-house pharmacy when economics advantageous</w:t>
            </w:r>
          </w:p>
        </w:tc>
        <w:tc>
          <w:tcPr>
            <w:tcW w:w="1984" w:type="dxa"/>
            <w:shd w:val="clear" w:color="auto" w:fill="FFFFFF" w:themeFill="background1"/>
          </w:tcPr>
          <w:p w14:paraId="7F7D3E1E" w14:textId="77777777" w:rsidR="008A69DC" w:rsidRPr="00B8443C" w:rsidRDefault="008A69DC">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Patient fills Rx outside of hospital system. System has discounted price for Medicaid Rx's dispensed from in-house pharmacy. Physician possibly unaware of the 340b contract.</w:t>
            </w:r>
          </w:p>
        </w:tc>
        <w:tc>
          <w:tcPr>
            <w:tcW w:w="993" w:type="dxa"/>
            <w:shd w:val="clear" w:color="auto" w:fill="FFFFFF" w:themeFill="background1"/>
          </w:tcPr>
          <w:p w14:paraId="02C4EE7A" w14:textId="77777777" w:rsidR="008A69DC" w:rsidRPr="00B8443C" w:rsidRDefault="008A69DC">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FFS and VBC</w:t>
            </w:r>
          </w:p>
        </w:tc>
        <w:tc>
          <w:tcPr>
            <w:tcW w:w="1701" w:type="dxa"/>
            <w:shd w:val="clear" w:color="auto" w:fill="FFFFFF" w:themeFill="background1"/>
          </w:tcPr>
          <w:p w14:paraId="57FD6F3F" w14:textId="77777777" w:rsidR="008A69DC" w:rsidRPr="00B8443C" w:rsidRDefault="008A69DC">
            <w:pPr>
              <w:spacing w:before="40" w:after="40"/>
              <w:rPr>
                <w:rFonts w:ascii="PP Neue Montreal Book" w:hAnsi="PP Neue Montreal Book"/>
                <w:color w:val="000000" w:themeColor="text1"/>
                <w:sz w:val="20"/>
                <w:szCs w:val="20"/>
              </w:rPr>
            </w:pPr>
            <w:r w:rsidRPr="004A35D7">
              <w:rPr>
                <w:rFonts w:ascii="PP Neue Montreal Book" w:hAnsi="PP Neue Montreal Book"/>
                <w:sz w:val="20"/>
                <w:szCs w:val="20"/>
              </w:rPr>
              <w:t>Cordance can nudge physicians to suggest patients visit in-house pharmacy on way out to fill Rx.</w:t>
            </w:r>
          </w:p>
        </w:tc>
        <w:tc>
          <w:tcPr>
            <w:tcW w:w="1413" w:type="dxa"/>
            <w:shd w:val="clear" w:color="auto" w:fill="FFFFFF" w:themeFill="background1"/>
          </w:tcPr>
          <w:p w14:paraId="30A1B52F" w14:textId="77777777" w:rsidR="008A69DC" w:rsidRPr="00B8443C" w:rsidRDefault="008A69DC">
            <w:pPr>
              <w:spacing w:before="40" w:after="40"/>
              <w:rPr>
                <w:rFonts w:ascii="PP Neue Montreal Book" w:hAnsi="PP Neue Montreal Book"/>
                <w:i/>
                <w:iCs/>
                <w:color w:val="000000" w:themeColor="text1"/>
                <w:sz w:val="20"/>
                <w:szCs w:val="20"/>
              </w:rPr>
            </w:pPr>
            <w:r w:rsidRPr="004A35D7">
              <w:rPr>
                <w:rFonts w:ascii="PP Neue Montreal Book" w:hAnsi="PP Neue Montreal Book"/>
                <w:sz w:val="20"/>
                <w:szCs w:val="20"/>
              </w:rPr>
              <w:t>$100 per prescription</w:t>
            </w:r>
          </w:p>
        </w:tc>
        <w:tc>
          <w:tcPr>
            <w:tcW w:w="1280" w:type="dxa"/>
            <w:shd w:val="clear" w:color="auto" w:fill="FFFFFF" w:themeFill="background1"/>
          </w:tcPr>
          <w:p w14:paraId="46B088C4" w14:textId="77777777" w:rsidR="008A69DC" w:rsidRPr="00B8443C" w:rsidRDefault="008A69DC">
            <w:pPr>
              <w:spacing w:before="40" w:after="40"/>
              <w:rPr>
                <w:rFonts w:ascii="PP Neue Montreal Book" w:hAnsi="PP Neue Montreal Book"/>
                <w:i/>
                <w:iCs/>
                <w:color w:val="000000" w:themeColor="text1"/>
                <w:sz w:val="20"/>
                <w:szCs w:val="20"/>
              </w:rPr>
            </w:pPr>
            <w:r w:rsidRPr="004A35D7">
              <w:rPr>
                <w:rFonts w:ascii="PP Neue Montreal Book" w:hAnsi="PP Neue Montreal Book"/>
                <w:sz w:val="20"/>
                <w:szCs w:val="20"/>
              </w:rPr>
              <w:t>$500,000</w:t>
            </w:r>
          </w:p>
        </w:tc>
        <w:tc>
          <w:tcPr>
            <w:tcW w:w="1559" w:type="dxa"/>
            <w:shd w:val="clear" w:color="auto" w:fill="FFFFFF" w:themeFill="background1"/>
          </w:tcPr>
          <w:p w14:paraId="7D7BA5FC" w14:textId="77777777" w:rsidR="008A69DC" w:rsidRPr="00B8443C" w:rsidRDefault="008A69DC">
            <w:pPr>
              <w:spacing w:before="40" w:after="40"/>
              <w:ind w:right="29"/>
              <w:rPr>
                <w:rFonts w:ascii="PP Neue Montreal Book" w:eastAsia="PP Neue Montreal Book" w:hAnsi="PP Neue Montreal Book" w:cs="PP Neue Montreal Book"/>
                <w:sz w:val="20"/>
                <w:szCs w:val="20"/>
              </w:rPr>
            </w:pPr>
            <w:r w:rsidRPr="004A35D7">
              <w:rPr>
                <w:rFonts w:ascii="PP Neue Montreal Book" w:hAnsi="PP Neue Montreal Book"/>
                <w:sz w:val="20"/>
                <w:szCs w:val="20"/>
              </w:rPr>
              <w:t>Assumes 2,000 eligible patients are redirected for 25% of their 10 annual prescriptions, generating $100 in 340B margin per Rx.</w:t>
            </w:r>
          </w:p>
        </w:tc>
      </w:tr>
      <w:tr w:rsidR="008A69DC" w:rsidRPr="005C5C1A" w14:paraId="471F0DCB" w14:textId="77777777" w:rsidTr="25740446">
        <w:tc>
          <w:tcPr>
            <w:tcW w:w="1980" w:type="dxa"/>
            <w:shd w:val="clear" w:color="auto" w:fill="CEF3FF"/>
          </w:tcPr>
          <w:p w14:paraId="6E276A4B" w14:textId="77777777" w:rsidR="008A69DC" w:rsidRPr="00B111B5" w:rsidRDefault="008A69DC">
            <w:pPr>
              <w:spacing w:before="40" w:after="40"/>
              <w:rPr>
                <w:rFonts w:ascii="PP Neue Montreal Medium" w:hAnsi="PP Neue Montreal Medium"/>
                <w:sz w:val="20"/>
                <w:szCs w:val="20"/>
              </w:rPr>
            </w:pPr>
            <w:r w:rsidRPr="00B111B5">
              <w:rPr>
                <w:rFonts w:ascii="PP Neue Montreal Medium" w:hAnsi="PP Neue Montreal Medium"/>
                <w:sz w:val="20"/>
                <w:szCs w:val="20"/>
              </w:rPr>
              <w:t>Increase revenue by stemming "leakage" of referrals where hospital's capabilities/economics are advantageous</w:t>
            </w:r>
          </w:p>
        </w:tc>
        <w:tc>
          <w:tcPr>
            <w:tcW w:w="1984" w:type="dxa"/>
            <w:shd w:val="clear" w:color="auto" w:fill="F2F2F2" w:themeFill="background1" w:themeFillShade="F2"/>
          </w:tcPr>
          <w:p w14:paraId="7925A632" w14:textId="77777777" w:rsidR="008A69DC" w:rsidRPr="00B8443C" w:rsidRDefault="008A69DC">
            <w:pPr>
              <w:spacing w:before="40" w:after="40"/>
              <w:rPr>
                <w:rFonts w:ascii="PP Neue Montreal Book" w:hAnsi="PP Neue Montreal Book"/>
                <w:sz w:val="20"/>
                <w:szCs w:val="20"/>
              </w:rPr>
            </w:pPr>
            <w:r w:rsidRPr="004A35D7">
              <w:rPr>
                <w:rFonts w:ascii="PP Neue Montreal Book" w:hAnsi="PP Neue Montreal Book"/>
                <w:sz w:val="20"/>
                <w:szCs w:val="20"/>
              </w:rPr>
              <w:t>PCP refers patient showing signs of Crohn's to a specialist outside of the system, unaware that the system has just added its own Crohn's specialist.</w:t>
            </w:r>
          </w:p>
        </w:tc>
        <w:tc>
          <w:tcPr>
            <w:tcW w:w="993" w:type="dxa"/>
            <w:shd w:val="clear" w:color="auto" w:fill="F2F2F2" w:themeFill="background1" w:themeFillShade="F2"/>
          </w:tcPr>
          <w:p w14:paraId="3465BC08" w14:textId="77777777" w:rsidR="008A69DC" w:rsidRPr="00B8443C" w:rsidRDefault="008A69DC">
            <w:pPr>
              <w:spacing w:before="40" w:after="40"/>
              <w:rPr>
                <w:rFonts w:ascii="PP Neue Montreal Book" w:hAnsi="PP Neue Montreal Book"/>
                <w:sz w:val="20"/>
                <w:szCs w:val="20"/>
              </w:rPr>
            </w:pPr>
            <w:r w:rsidRPr="004A35D7">
              <w:rPr>
                <w:rFonts w:ascii="PP Neue Montreal Book" w:hAnsi="PP Neue Montreal Book"/>
                <w:sz w:val="20"/>
                <w:szCs w:val="20"/>
              </w:rPr>
              <w:t>FFS</w:t>
            </w:r>
          </w:p>
        </w:tc>
        <w:tc>
          <w:tcPr>
            <w:tcW w:w="1701" w:type="dxa"/>
            <w:shd w:val="clear" w:color="auto" w:fill="F2F2F2" w:themeFill="background1" w:themeFillShade="F2"/>
          </w:tcPr>
          <w:p w14:paraId="3DEB6017" w14:textId="77777777" w:rsidR="008A69DC" w:rsidRPr="00B8443C" w:rsidRDefault="008A69DC">
            <w:pPr>
              <w:spacing w:before="40" w:after="40"/>
              <w:rPr>
                <w:rFonts w:ascii="PP Neue Montreal Book" w:hAnsi="PP Neue Montreal Book"/>
                <w:sz w:val="20"/>
                <w:szCs w:val="20"/>
              </w:rPr>
            </w:pPr>
            <w:r w:rsidRPr="004A35D7">
              <w:rPr>
                <w:rFonts w:ascii="PP Neue Montreal Book" w:hAnsi="PP Neue Montreal Book"/>
                <w:sz w:val="20"/>
                <w:szCs w:val="20"/>
              </w:rPr>
              <w:t>Cordance nudges PCP to refer patient to newly hired Crohn's specialist within the health system.</w:t>
            </w:r>
          </w:p>
        </w:tc>
        <w:tc>
          <w:tcPr>
            <w:tcW w:w="1413" w:type="dxa"/>
            <w:shd w:val="clear" w:color="auto" w:fill="F2F2F2" w:themeFill="background1" w:themeFillShade="F2"/>
          </w:tcPr>
          <w:p w14:paraId="09D21C63" w14:textId="77777777" w:rsidR="008A69DC" w:rsidRPr="00B8443C" w:rsidRDefault="008A69DC">
            <w:pPr>
              <w:spacing w:before="40" w:after="40"/>
              <w:rPr>
                <w:rFonts w:ascii="PP Neue Montreal Book" w:hAnsi="PP Neue Montreal Book"/>
                <w:i/>
                <w:iCs/>
                <w:sz w:val="20"/>
                <w:szCs w:val="20"/>
              </w:rPr>
            </w:pPr>
            <w:r w:rsidRPr="004A35D7">
              <w:rPr>
                <w:rFonts w:ascii="PP Neue Montreal Book" w:hAnsi="PP Neue Montreal Book"/>
                <w:sz w:val="20"/>
                <w:szCs w:val="20"/>
              </w:rPr>
              <w:t>$15,000 per patient</w:t>
            </w:r>
          </w:p>
        </w:tc>
        <w:tc>
          <w:tcPr>
            <w:tcW w:w="1280" w:type="dxa"/>
            <w:shd w:val="clear" w:color="auto" w:fill="F2F2F2" w:themeFill="background1" w:themeFillShade="F2"/>
          </w:tcPr>
          <w:p w14:paraId="5C97C71F" w14:textId="77777777" w:rsidR="008A69DC" w:rsidRPr="00B8443C" w:rsidDel="00456871" w:rsidRDefault="008A69DC">
            <w:pPr>
              <w:spacing w:before="40" w:after="40"/>
              <w:rPr>
                <w:rFonts w:ascii="PP Neue Montreal Book" w:hAnsi="PP Neue Montreal Book"/>
                <w:i/>
                <w:iCs/>
                <w:sz w:val="20"/>
                <w:szCs w:val="20"/>
              </w:rPr>
            </w:pPr>
            <w:r w:rsidRPr="004A35D7">
              <w:rPr>
                <w:rFonts w:ascii="PP Neue Montreal Book" w:hAnsi="PP Neue Montreal Book"/>
                <w:sz w:val="20"/>
                <w:szCs w:val="20"/>
              </w:rPr>
              <w:t>$450,000</w:t>
            </w:r>
          </w:p>
        </w:tc>
        <w:tc>
          <w:tcPr>
            <w:tcW w:w="1559" w:type="dxa"/>
            <w:shd w:val="clear" w:color="auto" w:fill="F2F2F2" w:themeFill="background1" w:themeFillShade="F2"/>
          </w:tcPr>
          <w:p w14:paraId="45BEE334" w14:textId="77777777" w:rsidR="008A69DC" w:rsidRPr="00B8443C" w:rsidRDefault="008A69DC">
            <w:pPr>
              <w:spacing w:before="40" w:after="40"/>
              <w:ind w:right="-80"/>
              <w:rPr>
                <w:rFonts w:ascii="PP Neue Montreal Book" w:hAnsi="PP Neue Montreal Book"/>
                <w:i/>
                <w:iCs/>
                <w:sz w:val="20"/>
                <w:szCs w:val="20"/>
              </w:rPr>
            </w:pPr>
            <w:r w:rsidRPr="004A35D7">
              <w:rPr>
                <w:rFonts w:ascii="PP Neue Montreal Book" w:hAnsi="PP Neue Montreal Book"/>
                <w:sz w:val="20"/>
                <w:szCs w:val="20"/>
              </w:rPr>
              <w:t>Assumes 60 new Crohn's patients leak annually; Cordance recaptures 50% at an estimated first-year revenue of $15,000/patient.</w:t>
            </w:r>
          </w:p>
        </w:tc>
      </w:tr>
    </w:tbl>
    <w:p w14:paraId="0D60FEAA" w14:textId="77777777" w:rsidR="008A69DC" w:rsidRPr="005C5C1A" w:rsidRDefault="008A69DC" w:rsidP="008A69DC">
      <w:pPr>
        <w:tabs>
          <w:tab w:val="left" w:pos="1113"/>
        </w:tabs>
        <w:spacing w:before="360" w:after="360"/>
        <w:rPr>
          <w:rFonts w:ascii="PP Neue Montreal" w:hAnsi="PP Neue Montreal"/>
          <w:b/>
          <w:bCs/>
          <w:i/>
          <w:iCs/>
          <w:color w:val="000000" w:themeColor="text1"/>
          <w:sz w:val="22"/>
          <w:szCs w:val="22"/>
        </w:rPr>
      </w:pPr>
      <w:r w:rsidRPr="005C5C1A">
        <w:rPr>
          <w:rFonts w:ascii="PP Neue Montreal" w:hAnsi="PP Neue Montreal"/>
          <w:b/>
          <w:bCs/>
          <w:i/>
          <w:iCs/>
          <w:color w:val="000000" w:themeColor="text1"/>
          <w:sz w:val="22"/>
          <w:szCs w:val="22"/>
        </w:rPr>
        <w:tab/>
      </w:r>
    </w:p>
    <w:p w14:paraId="5D167209" w14:textId="77777777" w:rsidR="008A69DC" w:rsidRPr="00095483" w:rsidRDefault="008A69DC" w:rsidP="008A69DC">
      <w:pPr>
        <w:keepNext/>
        <w:keepLines/>
        <w:spacing w:before="0" w:after="120" w:line="275" w:lineRule="auto"/>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 xml:space="preserve">Table </w:t>
      </w:r>
      <w:r>
        <w:rPr>
          <w:rFonts w:ascii="PP Neue Montreal Book" w:eastAsia="Google Sans" w:hAnsi="PP Neue Montreal Book" w:cs="Google Sans"/>
          <w:b/>
          <w:bCs/>
          <w:color w:val="215E99"/>
          <w:sz w:val="22"/>
          <w:szCs w:val="22"/>
        </w:rPr>
        <w:t>2</w:t>
      </w:r>
      <w:r w:rsidRPr="00095483">
        <w:rPr>
          <w:rFonts w:ascii="PP Neue Montreal Book" w:eastAsia="Google Sans" w:hAnsi="PP Neue Montreal Book" w:cs="Google Sans"/>
          <w:b/>
          <w:bCs/>
          <w:color w:val="215E99"/>
          <w:sz w:val="22"/>
          <w:szCs w:val="22"/>
        </w:rPr>
        <w:t>: Reducing Cost for Health System Partners</w:t>
      </w:r>
    </w:p>
    <w:tbl>
      <w:tblPr>
        <w:tblStyle w:val="TableGrid"/>
        <w:tblW w:w="10910" w:type="dxa"/>
        <w:tblLayout w:type="fixed"/>
        <w:tblLook w:val="04A0" w:firstRow="1" w:lastRow="0" w:firstColumn="1" w:lastColumn="0" w:noHBand="0" w:noVBand="1"/>
      </w:tblPr>
      <w:tblGrid>
        <w:gridCol w:w="1980"/>
        <w:gridCol w:w="1984"/>
        <w:gridCol w:w="993"/>
        <w:gridCol w:w="1701"/>
        <w:gridCol w:w="1417"/>
        <w:gridCol w:w="1276"/>
        <w:gridCol w:w="1559"/>
      </w:tblGrid>
      <w:tr w:rsidR="008A69DC" w:rsidRPr="005C5C1A" w14:paraId="75577170" w14:textId="77777777" w:rsidTr="000C59E7">
        <w:trPr>
          <w:trHeight w:val="300"/>
        </w:trPr>
        <w:tc>
          <w:tcPr>
            <w:tcW w:w="1980" w:type="dxa"/>
            <w:shd w:val="clear" w:color="auto" w:fill="0097F0"/>
            <w:vAlign w:val="center"/>
          </w:tcPr>
          <w:p w14:paraId="4121988A" w14:textId="77777777" w:rsidR="008A69DC" w:rsidRPr="005C5C1A" w:rsidRDefault="008A69DC">
            <w:pPr>
              <w:ind w:right="-110"/>
              <w:jc w:val="center"/>
              <w:rPr>
                <w:rFonts w:ascii="IvyPresto Display Thin" w:hAnsi="IvyPresto Display Thin" w:cs="IvyPresto Display Thin"/>
                <w:color w:val="FFFFFF" w:themeColor="background1"/>
                <w:sz w:val="18"/>
                <w:szCs w:val="18"/>
              </w:rPr>
            </w:pPr>
            <w:r w:rsidRPr="005C5C1A">
              <w:rPr>
                <w:rFonts w:ascii="PP Neue Montreal" w:hAnsi="PP Neue Montreal"/>
                <w:color w:val="000000" w:themeColor="text1"/>
                <w:sz w:val="22"/>
                <w:szCs w:val="22"/>
              </w:rPr>
              <w:t xml:space="preserve"> </w:t>
            </w:r>
            <w:r w:rsidRPr="005C5C1A">
              <w:rPr>
                <w:rFonts w:ascii="IvyPresto Display Thin" w:hAnsi="IvyPresto Display Thin" w:cs="IvyPresto Display Thin"/>
                <w:i/>
                <w:color w:val="FFFFFF" w:themeColor="background1"/>
                <w:sz w:val="18"/>
                <w:szCs w:val="18"/>
              </w:rPr>
              <w:t>Category</w:t>
            </w:r>
          </w:p>
        </w:tc>
        <w:tc>
          <w:tcPr>
            <w:tcW w:w="1984" w:type="dxa"/>
            <w:shd w:val="clear" w:color="auto" w:fill="0097F0"/>
            <w:vAlign w:val="center"/>
          </w:tcPr>
          <w:p w14:paraId="40E5B4BC" w14:textId="77777777" w:rsidR="008A69DC" w:rsidRPr="005C5C1A" w:rsidRDefault="008A69DC">
            <w:pPr>
              <w:jc w:val="center"/>
              <w:rPr>
                <w:rFonts w:ascii="IvyPresto Display Thin" w:hAnsi="IvyPresto Display Thin" w:cs="IvyPresto Display Thin"/>
                <w:color w:val="FFFFFF" w:themeColor="background1"/>
                <w:sz w:val="18"/>
                <w:szCs w:val="18"/>
              </w:rPr>
            </w:pPr>
            <w:r w:rsidRPr="005C5C1A">
              <w:rPr>
                <w:rFonts w:ascii="IvyPresto Display Thin" w:hAnsi="IvyPresto Display Thin" w:cs="IvyPresto Display Thin"/>
                <w:i/>
                <w:color w:val="FFFFFF" w:themeColor="background1"/>
                <w:sz w:val="18"/>
                <w:szCs w:val="18"/>
              </w:rPr>
              <w:t>Existing Challenge</w:t>
            </w:r>
          </w:p>
        </w:tc>
        <w:tc>
          <w:tcPr>
            <w:tcW w:w="993" w:type="dxa"/>
            <w:shd w:val="clear" w:color="auto" w:fill="0097F0"/>
            <w:vAlign w:val="center"/>
          </w:tcPr>
          <w:p w14:paraId="47535887" w14:textId="77777777" w:rsidR="008A69DC" w:rsidRPr="005C5C1A" w:rsidRDefault="008A69DC">
            <w:pPr>
              <w:spacing w:before="0" w:after="0"/>
              <w:jc w:val="center"/>
              <w:rPr>
                <w:rFonts w:ascii="IvyPresto Display Thin" w:hAnsi="IvyPresto Display Thin" w:cs="IvyPresto Display Thin"/>
                <w:color w:val="FFFFFF" w:themeColor="background1"/>
                <w:sz w:val="18"/>
                <w:szCs w:val="18"/>
              </w:rPr>
            </w:pPr>
            <w:r w:rsidRPr="005C5C1A">
              <w:rPr>
                <w:rFonts w:ascii="IvyPresto Display Thin" w:hAnsi="IvyPresto Display Thin" w:cs="IvyPresto Display Thin"/>
                <w:i/>
                <w:color w:val="FFFFFF" w:themeColor="background1"/>
                <w:sz w:val="18"/>
                <w:szCs w:val="18"/>
              </w:rPr>
              <w:t>Contract Relevance</w:t>
            </w:r>
          </w:p>
        </w:tc>
        <w:tc>
          <w:tcPr>
            <w:tcW w:w="1701" w:type="dxa"/>
            <w:shd w:val="clear" w:color="auto" w:fill="0097F0"/>
            <w:vAlign w:val="center"/>
          </w:tcPr>
          <w:p w14:paraId="637810C7" w14:textId="77777777" w:rsidR="008A69DC" w:rsidRPr="005C5C1A" w:rsidRDefault="008A69DC">
            <w:pPr>
              <w:jc w:val="center"/>
              <w:rPr>
                <w:rFonts w:ascii="IvyPresto Display Thin" w:hAnsi="IvyPresto Display Thin" w:cs="IvyPresto Display Thin"/>
                <w:color w:val="FFFFFF" w:themeColor="background1"/>
                <w:sz w:val="18"/>
                <w:szCs w:val="18"/>
              </w:rPr>
            </w:pPr>
            <w:r w:rsidRPr="005C5C1A">
              <w:rPr>
                <w:rFonts w:ascii="IvyPresto Display Thin" w:hAnsi="IvyPresto Display Thin" w:cs="IvyPresto Display Thin"/>
                <w:i/>
                <w:color w:val="FFFFFF" w:themeColor="background1"/>
                <w:sz w:val="18"/>
                <w:szCs w:val="18"/>
              </w:rPr>
              <w:t xml:space="preserve">What Cordance </w:t>
            </w:r>
            <w:r w:rsidRPr="005C5C1A">
              <w:rPr>
                <w:rFonts w:ascii="IvyPresto Display Thin" w:hAnsi="IvyPresto Display Thin" w:cs="IvyPresto Display Thin"/>
                <w:i/>
                <w:iCs/>
                <w:color w:val="FFFFFF" w:themeColor="background1"/>
                <w:sz w:val="18"/>
                <w:szCs w:val="18"/>
              </w:rPr>
              <w:t>Can Do</w:t>
            </w:r>
          </w:p>
        </w:tc>
        <w:tc>
          <w:tcPr>
            <w:tcW w:w="1417" w:type="dxa"/>
            <w:shd w:val="clear" w:color="auto" w:fill="0097F0"/>
            <w:vAlign w:val="center"/>
          </w:tcPr>
          <w:p w14:paraId="1028850D" w14:textId="77777777" w:rsidR="008A69DC" w:rsidRPr="005C5C1A" w:rsidRDefault="008A69DC">
            <w:pPr>
              <w:spacing w:before="0" w:after="0"/>
              <w:jc w:val="center"/>
              <w:rPr>
                <w:rFonts w:ascii="IvyPresto Display Thin" w:hAnsi="IvyPresto Display Thin" w:cs="IvyPresto Display Thin"/>
                <w:i/>
                <w:color w:val="FFFFFF" w:themeColor="background1"/>
                <w:sz w:val="18"/>
                <w:szCs w:val="18"/>
              </w:rPr>
            </w:pPr>
            <w:r w:rsidRPr="005C5C1A">
              <w:rPr>
                <w:rFonts w:ascii="IvyPresto Display Thin" w:hAnsi="IvyPresto Display Thin" w:cs="IvyPresto Display Thin"/>
                <w:i/>
                <w:color w:val="FFFFFF" w:themeColor="background1"/>
                <w:sz w:val="18"/>
                <w:szCs w:val="18"/>
              </w:rPr>
              <w:t xml:space="preserve">Estimated Savings </w:t>
            </w:r>
          </w:p>
          <w:p w14:paraId="7D8506A1" w14:textId="77777777" w:rsidR="008A69DC" w:rsidRPr="005C5C1A" w:rsidRDefault="008A69DC">
            <w:pPr>
              <w:spacing w:before="0" w:after="0"/>
              <w:jc w:val="center"/>
              <w:rPr>
                <w:rFonts w:ascii="IvyPresto Display Thin" w:hAnsi="IvyPresto Display Thin" w:cs="IvyPresto Display Thin"/>
                <w:color w:val="FFFFFF" w:themeColor="background1"/>
                <w:sz w:val="18"/>
                <w:szCs w:val="18"/>
              </w:rPr>
            </w:pPr>
            <w:r w:rsidRPr="005C5C1A">
              <w:rPr>
                <w:rFonts w:ascii="IvyPresto Display Thin" w:hAnsi="IvyPresto Display Thin" w:cs="IvyPresto Display Thin"/>
                <w:i/>
                <w:color w:val="FFFFFF" w:themeColor="background1"/>
                <w:sz w:val="15"/>
                <w:szCs w:val="15"/>
              </w:rPr>
              <w:t xml:space="preserve">(Example </w:t>
            </w:r>
            <w:r w:rsidRPr="005C5C1A">
              <w:rPr>
                <w:rFonts w:ascii="IvyPresto Display Thin" w:hAnsi="IvyPresto Display Thin" w:cs="IvyPresto Display Thin"/>
                <w:i/>
                <w:iCs/>
                <w:color w:val="FFFFFF" w:themeColor="background1"/>
                <w:sz w:val="15"/>
                <w:szCs w:val="15"/>
              </w:rPr>
              <w:t>Only</w:t>
            </w:r>
            <w:r w:rsidRPr="005C5C1A">
              <w:rPr>
                <w:rFonts w:ascii="IvyPresto Display Thin" w:hAnsi="IvyPresto Display Thin" w:cs="IvyPresto Display Thin"/>
                <w:i/>
                <w:color w:val="FFFFFF" w:themeColor="background1"/>
                <w:sz w:val="15"/>
                <w:szCs w:val="15"/>
              </w:rPr>
              <w:t>)</w:t>
            </w:r>
          </w:p>
        </w:tc>
        <w:tc>
          <w:tcPr>
            <w:tcW w:w="1276" w:type="dxa"/>
            <w:shd w:val="clear" w:color="auto" w:fill="0097F0"/>
            <w:vAlign w:val="center"/>
          </w:tcPr>
          <w:p w14:paraId="735C568E" w14:textId="77777777" w:rsidR="008A69DC" w:rsidRPr="005C5C1A" w:rsidRDefault="008A69DC">
            <w:pPr>
              <w:jc w:val="center"/>
              <w:rPr>
                <w:rFonts w:ascii="IvyPresto Display Thin" w:hAnsi="IvyPresto Display Thin" w:cs="IvyPresto Display Thin"/>
                <w:color w:val="FFFFFF" w:themeColor="background1"/>
                <w:sz w:val="18"/>
                <w:szCs w:val="18"/>
              </w:rPr>
            </w:pPr>
            <w:r w:rsidRPr="005C5C1A">
              <w:rPr>
                <w:rFonts w:ascii="IvyPresto Display Thin" w:hAnsi="IvyPresto Display Thin" w:cs="IvyPresto Display Thin"/>
                <w:i/>
                <w:color w:val="FFFFFF" w:themeColor="background1"/>
                <w:sz w:val="18"/>
                <w:szCs w:val="18"/>
              </w:rPr>
              <w:t>Median Hospital $ Extrapolation</w:t>
            </w:r>
          </w:p>
        </w:tc>
        <w:tc>
          <w:tcPr>
            <w:tcW w:w="1559" w:type="dxa"/>
            <w:shd w:val="clear" w:color="auto" w:fill="0097F0"/>
            <w:vAlign w:val="center"/>
          </w:tcPr>
          <w:p w14:paraId="38718065" w14:textId="77777777" w:rsidR="008A69DC" w:rsidRPr="005C5C1A" w:rsidRDefault="008A69DC">
            <w:pPr>
              <w:jc w:val="center"/>
              <w:rPr>
                <w:rFonts w:ascii="IvyPresto Display Thin" w:hAnsi="IvyPresto Display Thin" w:cs="IvyPresto Display Thin"/>
                <w:color w:val="FFFFFF" w:themeColor="background1"/>
                <w:sz w:val="18"/>
                <w:szCs w:val="18"/>
              </w:rPr>
            </w:pPr>
            <w:r w:rsidRPr="005C5C1A">
              <w:rPr>
                <w:rFonts w:ascii="IvyPresto Display Thin" w:hAnsi="IvyPresto Display Thin" w:cs="IvyPresto Display Thin"/>
                <w:i/>
                <w:color w:val="FFFFFF" w:themeColor="background1"/>
                <w:sz w:val="18"/>
                <w:szCs w:val="18"/>
              </w:rPr>
              <w:t>Assumptions</w:t>
            </w:r>
          </w:p>
        </w:tc>
      </w:tr>
      <w:tr w:rsidR="008A69DC" w:rsidRPr="005C5C1A" w14:paraId="38B5FBE1" w14:textId="77777777" w:rsidTr="000C59E7">
        <w:tc>
          <w:tcPr>
            <w:tcW w:w="1980" w:type="dxa"/>
            <w:shd w:val="clear" w:color="auto" w:fill="DAEAF8"/>
          </w:tcPr>
          <w:p w14:paraId="36A7D238" w14:textId="77777777" w:rsidR="008A69DC" w:rsidRPr="00D556BB" w:rsidDel="00CB4F3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 cost associated with choosing suboptimal tier equivalent therapeutic</w:t>
            </w:r>
          </w:p>
        </w:tc>
        <w:tc>
          <w:tcPr>
            <w:tcW w:w="1984" w:type="dxa"/>
            <w:shd w:val="clear" w:color="auto" w:fill="FFFFFF" w:themeFill="background1"/>
          </w:tcPr>
          <w:p w14:paraId="5F3883D6" w14:textId="77777777" w:rsidR="008A69DC" w:rsidRPr="00D556BB" w:rsidDel="00CB4F3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Physician prescribes branded biologic Rx vs. existing biosimilar for Rheumatoid Arthritis.</w:t>
            </w:r>
          </w:p>
        </w:tc>
        <w:tc>
          <w:tcPr>
            <w:tcW w:w="993" w:type="dxa"/>
            <w:shd w:val="clear" w:color="auto" w:fill="FFFFFF" w:themeFill="background1"/>
          </w:tcPr>
          <w:p w14:paraId="16268C40" w14:textId="77777777" w:rsidR="008A69DC" w:rsidRPr="00D556BB" w:rsidDel="00CB4F3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VBC</w:t>
            </w:r>
          </w:p>
        </w:tc>
        <w:tc>
          <w:tcPr>
            <w:tcW w:w="1701" w:type="dxa"/>
            <w:shd w:val="clear" w:color="auto" w:fill="FFFFFF" w:themeFill="background1"/>
          </w:tcPr>
          <w:p w14:paraId="5FDF2F1E" w14:textId="77777777" w:rsidR="008A69DC" w:rsidRPr="00D556BB" w:rsidDel="00CB4F3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Cordance nudges clinician to a biosimilar that is therapeutically equivalent and more favorable to patient &amp; payor.</w:t>
            </w:r>
          </w:p>
        </w:tc>
        <w:tc>
          <w:tcPr>
            <w:tcW w:w="1417" w:type="dxa"/>
            <w:shd w:val="clear" w:color="auto" w:fill="FFFFFF" w:themeFill="background1"/>
          </w:tcPr>
          <w:p w14:paraId="101F70C3" w14:textId="77777777" w:rsidR="008A69DC" w:rsidRPr="00D556BB" w:rsidDel="00CB4F3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$2,500 per patient/month</w:t>
            </w:r>
          </w:p>
        </w:tc>
        <w:tc>
          <w:tcPr>
            <w:tcW w:w="1276" w:type="dxa"/>
            <w:shd w:val="clear" w:color="auto" w:fill="FFFFFF" w:themeFill="background1"/>
          </w:tcPr>
          <w:p w14:paraId="21359AAB" w14:textId="77777777" w:rsidR="008A69DC" w:rsidRPr="00D556BB" w:rsidDel="00CB4F3B" w:rsidRDefault="008A69DC">
            <w:pPr>
              <w:spacing w:before="40" w:after="40" w:line="259" w:lineRule="auto"/>
              <w:rPr>
                <w:rFonts w:ascii="PP Neue Montreal Book" w:hAnsi="PP Neue Montreal Book"/>
                <w:i/>
                <w:iCs/>
                <w:color w:val="000000" w:themeColor="text1"/>
                <w:sz w:val="20"/>
                <w:szCs w:val="20"/>
              </w:rPr>
            </w:pPr>
            <w:r w:rsidRPr="00D556BB">
              <w:rPr>
                <w:rFonts w:ascii="PP Neue Montreal Book" w:hAnsi="PP Neue Montreal Book"/>
                <w:sz w:val="20"/>
                <w:szCs w:val="20"/>
              </w:rPr>
              <w:t>$6,000,000</w:t>
            </w:r>
          </w:p>
        </w:tc>
        <w:tc>
          <w:tcPr>
            <w:tcW w:w="1559" w:type="dxa"/>
            <w:shd w:val="clear" w:color="auto" w:fill="FFFFFF" w:themeFill="background1"/>
          </w:tcPr>
          <w:p w14:paraId="207B63F2" w14:textId="77777777" w:rsidR="008A69DC" w:rsidRPr="00D556BB" w:rsidDel="00CB4F3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Assumes converting 10% of 2,000 eligible patients from a branded biologic to a biosimilar saves $30,000 per patient annually.</w:t>
            </w:r>
          </w:p>
        </w:tc>
      </w:tr>
      <w:tr w:rsidR="008A69DC" w:rsidRPr="005C5C1A" w14:paraId="37AFA4ED" w14:textId="77777777" w:rsidTr="000C59E7">
        <w:tc>
          <w:tcPr>
            <w:tcW w:w="1980" w:type="dxa"/>
            <w:shd w:val="clear" w:color="auto" w:fill="CEF3FF"/>
          </w:tcPr>
          <w:p w14:paraId="388CACB9"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 cost associated with choosing suboptimal tier equivalent therapeutic</w:t>
            </w:r>
          </w:p>
        </w:tc>
        <w:tc>
          <w:tcPr>
            <w:tcW w:w="1984" w:type="dxa"/>
            <w:shd w:val="clear" w:color="auto" w:fill="F2F2F2"/>
          </w:tcPr>
          <w:p w14:paraId="07CB01B6"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Physician mistakenly prescribes more costly antidepressant when equally efficacious one is available at less cost.</w:t>
            </w:r>
          </w:p>
        </w:tc>
        <w:tc>
          <w:tcPr>
            <w:tcW w:w="993" w:type="dxa"/>
            <w:shd w:val="clear" w:color="auto" w:fill="F2F2F2"/>
          </w:tcPr>
          <w:p w14:paraId="120D680E"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VBC</w:t>
            </w:r>
          </w:p>
        </w:tc>
        <w:tc>
          <w:tcPr>
            <w:tcW w:w="1701" w:type="dxa"/>
            <w:shd w:val="clear" w:color="auto" w:fill="F2F2F2"/>
          </w:tcPr>
          <w:p w14:paraId="275D98C2"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Cordance nudges clinician to antidepressant within a chosen class most favorable to patient &amp; payor.</w:t>
            </w:r>
          </w:p>
        </w:tc>
        <w:tc>
          <w:tcPr>
            <w:tcW w:w="1417" w:type="dxa"/>
            <w:shd w:val="clear" w:color="auto" w:fill="F2F2F2"/>
          </w:tcPr>
          <w:p w14:paraId="4CBA22BE"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$400 per patient/month</w:t>
            </w:r>
          </w:p>
        </w:tc>
        <w:tc>
          <w:tcPr>
            <w:tcW w:w="1276" w:type="dxa"/>
            <w:shd w:val="clear" w:color="auto" w:fill="F2F2F2"/>
          </w:tcPr>
          <w:p w14:paraId="1BD3ABD1" w14:textId="77777777" w:rsidR="008A69DC" w:rsidRPr="00D556BB" w:rsidRDefault="008A69DC">
            <w:pPr>
              <w:spacing w:before="40" w:after="40" w:line="259" w:lineRule="auto"/>
              <w:rPr>
                <w:rFonts w:ascii="PP Neue Montreal Book" w:hAnsi="PP Neue Montreal Book"/>
                <w:i/>
                <w:iCs/>
                <w:color w:val="000000" w:themeColor="text1"/>
                <w:sz w:val="20"/>
                <w:szCs w:val="20"/>
              </w:rPr>
            </w:pPr>
            <w:r w:rsidRPr="00D556BB">
              <w:rPr>
                <w:rFonts w:ascii="PP Neue Montreal Book" w:hAnsi="PP Neue Montreal Book"/>
                <w:sz w:val="20"/>
                <w:szCs w:val="20"/>
              </w:rPr>
              <w:t>$2,400,000</w:t>
            </w:r>
          </w:p>
        </w:tc>
        <w:tc>
          <w:tcPr>
            <w:tcW w:w="1559" w:type="dxa"/>
            <w:shd w:val="clear" w:color="auto" w:fill="F2F2F2"/>
          </w:tcPr>
          <w:p w14:paraId="22732DC5" w14:textId="77777777" w:rsidR="008A69DC" w:rsidRPr="00D556BB" w:rsidRDefault="008A69DC">
            <w:pPr>
              <w:spacing w:before="40" w:after="40"/>
              <w:rPr>
                <w:rFonts w:ascii="PP Neue Montreal Book" w:eastAsia="PP Neue Montreal Book" w:hAnsi="PP Neue Montreal Book" w:cs="PP Neue Montreal Book"/>
                <w:sz w:val="20"/>
                <w:szCs w:val="20"/>
              </w:rPr>
            </w:pPr>
            <w:r w:rsidRPr="00D556BB">
              <w:rPr>
                <w:rFonts w:ascii="PP Neue Montreal Book" w:hAnsi="PP Neue Montreal Book"/>
                <w:sz w:val="20"/>
                <w:szCs w:val="20"/>
              </w:rPr>
              <w:t>Assumes converting 10% of 5,000 eligible patients from branded to generic antidepressants saves $4,800 per patient annually.</w:t>
            </w:r>
          </w:p>
        </w:tc>
      </w:tr>
      <w:tr w:rsidR="008A69DC" w:rsidRPr="005C5C1A" w14:paraId="2CF41A66" w14:textId="77777777" w:rsidTr="000C59E7">
        <w:trPr>
          <w:trHeight w:val="1228"/>
        </w:trPr>
        <w:tc>
          <w:tcPr>
            <w:tcW w:w="1980" w:type="dxa"/>
            <w:shd w:val="clear" w:color="auto" w:fill="DAEAF8"/>
          </w:tcPr>
          <w:p w14:paraId="6856E113"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 cost associated with physician turnover</w:t>
            </w:r>
          </w:p>
        </w:tc>
        <w:tc>
          <w:tcPr>
            <w:tcW w:w="1984" w:type="dxa"/>
            <w:shd w:val="clear" w:color="auto" w:fill="FFFFFF" w:themeFill="background1"/>
          </w:tcPr>
          <w:p w14:paraId="680592F5"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Clinicians burned out from pre/post patient visit workload, frustrating screen toggles, etc. which interferes with quality time with patient.</w:t>
            </w:r>
          </w:p>
        </w:tc>
        <w:tc>
          <w:tcPr>
            <w:tcW w:w="993" w:type="dxa"/>
            <w:shd w:val="clear" w:color="auto" w:fill="FFFFFF" w:themeFill="background1"/>
          </w:tcPr>
          <w:p w14:paraId="38E3A0EA"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N/A</w:t>
            </w:r>
          </w:p>
        </w:tc>
        <w:tc>
          <w:tcPr>
            <w:tcW w:w="1701" w:type="dxa"/>
            <w:shd w:val="clear" w:color="auto" w:fill="FFFFFF" w:themeFill="background1"/>
          </w:tcPr>
          <w:p w14:paraId="0FA0F7AB" w14:textId="77777777" w:rsidR="008A69DC" w:rsidRPr="00D556BB" w:rsidRDefault="008A69DC">
            <w:pPr>
              <w:spacing w:before="40" w:after="40"/>
              <w:rPr>
                <w:rFonts w:ascii="PP Neue Montreal Book" w:hAnsi="PP Neue Montreal Book"/>
                <w:sz w:val="20"/>
                <w:szCs w:val="20"/>
              </w:rPr>
            </w:pPr>
            <w:r w:rsidRPr="00D556BB">
              <w:rPr>
                <w:rFonts w:ascii="PP Neue Montreal Book" w:hAnsi="PP Neue Montreal Book"/>
                <w:sz w:val="20"/>
                <w:szCs w:val="20"/>
              </w:rPr>
              <w:t>Cordance lessens pre/post workload etc. to enable quality interaction with patient, contributing to less clinician stress/unplanned departures.</w:t>
            </w:r>
          </w:p>
        </w:tc>
        <w:tc>
          <w:tcPr>
            <w:tcW w:w="1417" w:type="dxa"/>
            <w:shd w:val="clear" w:color="auto" w:fill="FFFFFF" w:themeFill="background1"/>
          </w:tcPr>
          <w:p w14:paraId="2D4A199D"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$750,000 per physician</w:t>
            </w:r>
          </w:p>
        </w:tc>
        <w:tc>
          <w:tcPr>
            <w:tcW w:w="1276" w:type="dxa"/>
            <w:shd w:val="clear" w:color="auto" w:fill="FFFFFF" w:themeFill="background1"/>
          </w:tcPr>
          <w:p w14:paraId="0EC5623F"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$1,500,000</w:t>
            </w:r>
          </w:p>
        </w:tc>
        <w:tc>
          <w:tcPr>
            <w:tcW w:w="1559" w:type="dxa"/>
            <w:shd w:val="clear" w:color="auto" w:fill="FFFFFF" w:themeFill="background1"/>
          </w:tcPr>
          <w:p w14:paraId="4556C5EE" w14:textId="77777777" w:rsidR="008A69DC" w:rsidRPr="00D556BB" w:rsidRDefault="008A69DC">
            <w:pPr>
              <w:spacing w:before="40" w:after="40"/>
              <w:rPr>
                <w:rFonts w:ascii="PP Neue Montreal Book" w:eastAsia="PP Neue Montreal Book" w:hAnsi="PP Neue Montreal Book" w:cs="PP Neue Montreal Book"/>
                <w:sz w:val="20"/>
                <w:szCs w:val="20"/>
              </w:rPr>
            </w:pPr>
            <w:r w:rsidRPr="00D556BB">
              <w:rPr>
                <w:rFonts w:ascii="PP Neue Montreal Book" w:hAnsi="PP Neue Montreal Book"/>
                <w:sz w:val="20"/>
                <w:szCs w:val="20"/>
              </w:rPr>
              <w:t>Assumes reducing administrative burden and cognitive load contributes to the retention of two physicians per year, avoiding replacement costs of $750k each.</w:t>
            </w:r>
          </w:p>
        </w:tc>
      </w:tr>
      <w:tr w:rsidR="008A69DC" w:rsidRPr="005C5C1A" w14:paraId="5C437C61" w14:textId="77777777" w:rsidTr="000C59E7">
        <w:tc>
          <w:tcPr>
            <w:tcW w:w="1980" w:type="dxa"/>
            <w:shd w:val="clear" w:color="auto" w:fill="CEF2FF"/>
          </w:tcPr>
          <w:p w14:paraId="2BA573DA"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 cost associated with unneeded higher-level diagnostics</w:t>
            </w:r>
          </w:p>
        </w:tc>
        <w:tc>
          <w:tcPr>
            <w:tcW w:w="1984" w:type="dxa"/>
            <w:shd w:val="clear" w:color="auto" w:fill="F2F2F2"/>
          </w:tcPr>
          <w:p w14:paraId="055A3FE6"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MRI ordered when X-ray would be sufficient.</w:t>
            </w:r>
          </w:p>
        </w:tc>
        <w:tc>
          <w:tcPr>
            <w:tcW w:w="993" w:type="dxa"/>
            <w:shd w:val="clear" w:color="auto" w:fill="F2F2F2"/>
          </w:tcPr>
          <w:p w14:paraId="72521BE4"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VBC</w:t>
            </w:r>
          </w:p>
        </w:tc>
        <w:tc>
          <w:tcPr>
            <w:tcW w:w="1701" w:type="dxa"/>
            <w:shd w:val="clear" w:color="auto" w:fill="F2F2F2"/>
          </w:tcPr>
          <w:p w14:paraId="5304E2A7"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Cordance guides physician with greater confidence in choosing X-ray over MRI if medically supported.</w:t>
            </w:r>
          </w:p>
        </w:tc>
        <w:tc>
          <w:tcPr>
            <w:tcW w:w="1417" w:type="dxa"/>
            <w:shd w:val="clear" w:color="auto" w:fill="F2F2F2"/>
          </w:tcPr>
          <w:p w14:paraId="7D77FF00"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$1,000 per MRI</w:t>
            </w:r>
          </w:p>
        </w:tc>
        <w:tc>
          <w:tcPr>
            <w:tcW w:w="1276" w:type="dxa"/>
            <w:shd w:val="clear" w:color="auto" w:fill="F2F2F2"/>
          </w:tcPr>
          <w:p w14:paraId="7F7E9723"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$1,000,000</w:t>
            </w:r>
          </w:p>
        </w:tc>
        <w:tc>
          <w:tcPr>
            <w:tcW w:w="1559" w:type="dxa"/>
            <w:shd w:val="clear" w:color="auto" w:fill="F2F2F2"/>
          </w:tcPr>
          <w:p w14:paraId="36790863" w14:textId="77777777" w:rsidR="008A69DC" w:rsidRPr="00D556BB" w:rsidRDefault="008A69DC">
            <w:pPr>
              <w:spacing w:before="40" w:after="40"/>
              <w:rPr>
                <w:rFonts w:ascii="PP Neue Montreal Book" w:eastAsia="PP Neue Montreal Book" w:hAnsi="PP Neue Montreal Book" w:cs="PP Neue Montreal Book"/>
                <w:sz w:val="20"/>
                <w:szCs w:val="20"/>
              </w:rPr>
            </w:pPr>
            <w:r w:rsidRPr="00D556BB">
              <w:rPr>
                <w:rFonts w:ascii="PP Neue Montreal Book" w:hAnsi="PP Neue Montreal Book"/>
                <w:sz w:val="20"/>
                <w:szCs w:val="20"/>
              </w:rPr>
              <w:t>Assumes 10% of 50,000 annual MRIs are avoidable; Cordance successfully influences 20% of these cases, saving $1,000 each.</w:t>
            </w:r>
          </w:p>
        </w:tc>
      </w:tr>
      <w:tr w:rsidR="008A69DC" w:rsidRPr="005C5C1A" w14:paraId="1EE17F69" w14:textId="77777777" w:rsidTr="000C59E7">
        <w:tc>
          <w:tcPr>
            <w:tcW w:w="1980" w:type="dxa"/>
            <w:shd w:val="clear" w:color="auto" w:fill="DAEAF8"/>
          </w:tcPr>
          <w:p w14:paraId="24077AD8"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 cost associated with specialist intervention resulting from suboptimal patient oversight</w:t>
            </w:r>
          </w:p>
        </w:tc>
        <w:tc>
          <w:tcPr>
            <w:tcW w:w="1984" w:type="dxa"/>
            <w:shd w:val="clear" w:color="auto" w:fill="FFFFFF" w:themeFill="background1"/>
          </w:tcPr>
          <w:p w14:paraId="4E006FA2"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Clinician doesn't pay sufficient attention to early stage kidney disease indicators in diabetic patients.</w:t>
            </w:r>
          </w:p>
        </w:tc>
        <w:tc>
          <w:tcPr>
            <w:tcW w:w="993" w:type="dxa"/>
            <w:shd w:val="clear" w:color="auto" w:fill="FFFFFF" w:themeFill="background1"/>
          </w:tcPr>
          <w:p w14:paraId="01C7786A"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VBC</w:t>
            </w:r>
          </w:p>
        </w:tc>
        <w:tc>
          <w:tcPr>
            <w:tcW w:w="1701" w:type="dxa"/>
            <w:shd w:val="clear" w:color="auto" w:fill="FFFFFF" w:themeFill="background1"/>
          </w:tcPr>
          <w:p w14:paraId="5C6336D3"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Cordance can direct clinicians to use medications/track renal function more closely to mitigate risk of kidney disease.</w:t>
            </w:r>
          </w:p>
        </w:tc>
        <w:tc>
          <w:tcPr>
            <w:tcW w:w="1417" w:type="dxa"/>
            <w:shd w:val="clear" w:color="auto" w:fill="FFFFFF" w:themeFill="background1"/>
          </w:tcPr>
          <w:p w14:paraId="653B1EF5"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$80,000 per patient/year</w:t>
            </w:r>
          </w:p>
        </w:tc>
        <w:tc>
          <w:tcPr>
            <w:tcW w:w="1276" w:type="dxa"/>
            <w:shd w:val="clear" w:color="auto" w:fill="FFFFFF" w:themeFill="background1"/>
          </w:tcPr>
          <w:p w14:paraId="281F99D6"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$800,000</w:t>
            </w:r>
          </w:p>
        </w:tc>
        <w:tc>
          <w:tcPr>
            <w:tcW w:w="1559" w:type="dxa"/>
            <w:shd w:val="clear" w:color="auto" w:fill="FFFFFF" w:themeFill="background1"/>
          </w:tcPr>
          <w:p w14:paraId="5F5D71BE"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Assumes proactive management prevents 10 high-risk patients per year from progressing to dialysis, avoiding ~$80,000 in annual costs per patient.</w:t>
            </w:r>
          </w:p>
        </w:tc>
      </w:tr>
      <w:tr w:rsidR="008A69DC" w:rsidRPr="005C5C1A" w14:paraId="2A456F4D" w14:textId="77777777" w:rsidTr="000C59E7">
        <w:tc>
          <w:tcPr>
            <w:tcW w:w="1980" w:type="dxa"/>
            <w:shd w:val="clear" w:color="auto" w:fill="CDF0FD"/>
          </w:tcPr>
          <w:p w14:paraId="4BE19C83"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Reduce costs associated with unnecessary specialist escalation</w:t>
            </w:r>
          </w:p>
        </w:tc>
        <w:tc>
          <w:tcPr>
            <w:tcW w:w="1984" w:type="dxa"/>
            <w:shd w:val="clear" w:color="auto" w:fill="F2F2F2"/>
          </w:tcPr>
          <w:p w14:paraId="293E1E5D"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Patient with abnormal blood result (e.g., creatinine) passed prematurely/unnecessarily to more expensive specialist.</w:t>
            </w:r>
          </w:p>
        </w:tc>
        <w:tc>
          <w:tcPr>
            <w:tcW w:w="993" w:type="dxa"/>
            <w:shd w:val="clear" w:color="auto" w:fill="F2F2F2"/>
          </w:tcPr>
          <w:p w14:paraId="4F1FA848"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VBC</w:t>
            </w:r>
          </w:p>
        </w:tc>
        <w:tc>
          <w:tcPr>
            <w:tcW w:w="1701" w:type="dxa"/>
            <w:shd w:val="clear" w:color="auto" w:fill="F2F2F2"/>
          </w:tcPr>
          <w:p w14:paraId="0C87AB79"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Cordance helps clinician manage patient with these abnormal indications without specialist intervention.</w:t>
            </w:r>
          </w:p>
        </w:tc>
        <w:tc>
          <w:tcPr>
            <w:tcW w:w="1417" w:type="dxa"/>
            <w:shd w:val="clear" w:color="auto" w:fill="F2F2F2"/>
          </w:tcPr>
          <w:p w14:paraId="4BCA0837"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$250 per referral</w:t>
            </w:r>
          </w:p>
        </w:tc>
        <w:tc>
          <w:tcPr>
            <w:tcW w:w="1276" w:type="dxa"/>
            <w:shd w:val="clear" w:color="auto" w:fill="F2F2F2"/>
          </w:tcPr>
          <w:p w14:paraId="20A9F5DB"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$625,000</w:t>
            </w:r>
          </w:p>
        </w:tc>
        <w:tc>
          <w:tcPr>
            <w:tcW w:w="1559" w:type="dxa"/>
            <w:shd w:val="clear" w:color="auto" w:fill="F2F2F2"/>
          </w:tcPr>
          <w:p w14:paraId="33499E2A" w14:textId="77777777" w:rsidR="008A69DC" w:rsidRPr="00D556BB" w:rsidRDefault="008A69DC">
            <w:pPr>
              <w:spacing w:before="40" w:after="40"/>
              <w:rPr>
                <w:rFonts w:ascii="PP Neue Montreal Book" w:hAnsi="PP Neue Montreal Book"/>
                <w:sz w:val="20"/>
                <w:szCs w:val="20"/>
              </w:rPr>
            </w:pPr>
            <w:r w:rsidRPr="004A36D4">
              <w:rPr>
                <w:rFonts w:ascii="PP Neue Montreal Book" w:hAnsi="PP Neue Montreal Book"/>
                <w:sz w:val="21"/>
                <w:szCs w:val="21"/>
              </w:rPr>
              <w:t>Assumes preventing 10% of a 5% pool of unnecessary specialist referrals (out of 500,000 total) saves $250 per avoided visit.</w:t>
            </w:r>
          </w:p>
        </w:tc>
      </w:tr>
      <w:tr w:rsidR="008A69DC" w:rsidRPr="005C5C1A" w14:paraId="45345027" w14:textId="77777777" w:rsidTr="000C59E7">
        <w:tc>
          <w:tcPr>
            <w:tcW w:w="1980" w:type="dxa"/>
            <w:shd w:val="clear" w:color="auto" w:fill="DAEAF8"/>
          </w:tcPr>
          <w:p w14:paraId="44CB9FBC"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Reduce overhead associated with pre-authorizations/admin tasks</w:t>
            </w:r>
          </w:p>
        </w:tc>
        <w:tc>
          <w:tcPr>
            <w:tcW w:w="1984" w:type="dxa"/>
            <w:shd w:val="clear" w:color="auto" w:fill="FFFFFF" w:themeFill="background1"/>
          </w:tcPr>
          <w:p w14:paraId="52BBC311"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Patient has one-sided hearing loss/tinnitus. And requires pre-auth to be executed by staff/clinician for a diagnostic MRI.</w:t>
            </w:r>
          </w:p>
        </w:tc>
        <w:tc>
          <w:tcPr>
            <w:tcW w:w="993" w:type="dxa"/>
            <w:shd w:val="clear" w:color="auto" w:fill="FFFFFF" w:themeFill="background1"/>
          </w:tcPr>
          <w:p w14:paraId="08373FDE"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VBC &amp; FFS</w:t>
            </w:r>
          </w:p>
        </w:tc>
        <w:tc>
          <w:tcPr>
            <w:tcW w:w="1701" w:type="dxa"/>
            <w:shd w:val="clear" w:color="auto" w:fill="FFFFFF" w:themeFill="background1"/>
          </w:tcPr>
          <w:p w14:paraId="4A99CF36"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Cordance reduces (eliminates?) the need for pre-</w:t>
            </w:r>
            <w:proofErr w:type="spellStart"/>
            <w:r w:rsidRPr="00D556BB">
              <w:rPr>
                <w:rFonts w:ascii="PP Neue Montreal Book" w:hAnsi="PP Neue Montreal Book"/>
                <w:sz w:val="20"/>
                <w:szCs w:val="20"/>
              </w:rPr>
              <w:t>auths</w:t>
            </w:r>
            <w:proofErr w:type="spellEnd"/>
            <w:r w:rsidRPr="00D556BB">
              <w:rPr>
                <w:rFonts w:ascii="PP Neue Montreal Book" w:hAnsi="PP Neue Montreal Book"/>
                <w:sz w:val="20"/>
                <w:szCs w:val="20"/>
              </w:rPr>
              <w:t>.</w:t>
            </w:r>
          </w:p>
        </w:tc>
        <w:tc>
          <w:tcPr>
            <w:tcW w:w="1417" w:type="dxa"/>
            <w:shd w:val="clear" w:color="auto" w:fill="FFFFFF" w:themeFill="background1"/>
          </w:tcPr>
          <w:p w14:paraId="09AF20DD"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$50 in overhead per auth</w:t>
            </w:r>
          </w:p>
        </w:tc>
        <w:tc>
          <w:tcPr>
            <w:tcW w:w="1276" w:type="dxa"/>
            <w:shd w:val="clear" w:color="auto" w:fill="FFFFFF" w:themeFill="background1"/>
          </w:tcPr>
          <w:p w14:paraId="1E8C7463"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$585,000</w:t>
            </w:r>
          </w:p>
        </w:tc>
        <w:tc>
          <w:tcPr>
            <w:tcW w:w="1559" w:type="dxa"/>
            <w:shd w:val="clear" w:color="auto" w:fill="FFFFFF" w:themeFill="background1"/>
          </w:tcPr>
          <w:p w14:paraId="0D59B2FD" w14:textId="77777777" w:rsidR="008A69DC" w:rsidRPr="004A36D4" w:rsidRDefault="008A69DC">
            <w:pPr>
              <w:spacing w:before="40" w:after="40"/>
              <w:rPr>
                <w:rFonts w:ascii="PP Neue Montreal Book" w:hAnsi="PP Neue Montreal Book"/>
                <w:sz w:val="21"/>
                <w:szCs w:val="21"/>
              </w:rPr>
            </w:pPr>
            <w:r w:rsidRPr="00D556BB">
              <w:rPr>
                <w:rFonts w:ascii="PP Neue Montreal Book" w:hAnsi="PP Neue Montreal Book"/>
                <w:sz w:val="20"/>
                <w:szCs w:val="20"/>
              </w:rPr>
              <w:t>Assumes a 1% reduction in the health system's annual volume of 1.17M prior authorizations, saving $50 in administrative costs each.</w:t>
            </w:r>
          </w:p>
        </w:tc>
      </w:tr>
      <w:tr w:rsidR="008A69DC" w:rsidRPr="005C5C1A" w14:paraId="73E97E50" w14:textId="77777777" w:rsidTr="000C59E7">
        <w:tc>
          <w:tcPr>
            <w:tcW w:w="1980" w:type="dxa"/>
            <w:shd w:val="clear" w:color="auto" w:fill="CDF0FD"/>
          </w:tcPr>
          <w:p w14:paraId="02F3C382"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Reduced malpractice expense</w:t>
            </w:r>
          </w:p>
        </w:tc>
        <w:tc>
          <w:tcPr>
            <w:tcW w:w="1984" w:type="dxa"/>
            <w:shd w:val="clear" w:color="auto" w:fill="F2F2F2"/>
          </w:tcPr>
          <w:p w14:paraId="5CA015CF"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Physician orders chest X-ray to make sure pacemaker placed correctly. Radiologist reports incidental lung nodule - incidental finding not noticed/acted upon by clinician.</w:t>
            </w:r>
          </w:p>
        </w:tc>
        <w:tc>
          <w:tcPr>
            <w:tcW w:w="993" w:type="dxa"/>
            <w:shd w:val="clear" w:color="auto" w:fill="F2F2F2"/>
          </w:tcPr>
          <w:p w14:paraId="0471A044"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N/A</w:t>
            </w:r>
          </w:p>
        </w:tc>
        <w:tc>
          <w:tcPr>
            <w:tcW w:w="1701" w:type="dxa"/>
            <w:shd w:val="clear" w:color="auto" w:fill="F2F2F2"/>
          </w:tcPr>
          <w:p w14:paraId="161DF0B3"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Cordance reviews patient records for important findings that were not followed up on and highlights need for action.</w:t>
            </w:r>
          </w:p>
        </w:tc>
        <w:tc>
          <w:tcPr>
            <w:tcW w:w="1417" w:type="dxa"/>
            <w:shd w:val="clear" w:color="auto" w:fill="F2F2F2"/>
          </w:tcPr>
          <w:p w14:paraId="15A7CC03"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$250,000 per lawsuit</w:t>
            </w:r>
          </w:p>
        </w:tc>
        <w:tc>
          <w:tcPr>
            <w:tcW w:w="1276" w:type="dxa"/>
            <w:shd w:val="clear" w:color="auto" w:fill="F2F2F2"/>
          </w:tcPr>
          <w:p w14:paraId="614A3F6B"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$500,000</w:t>
            </w:r>
          </w:p>
        </w:tc>
        <w:tc>
          <w:tcPr>
            <w:tcW w:w="1559" w:type="dxa"/>
            <w:shd w:val="clear" w:color="auto" w:fill="F2F2F2"/>
          </w:tcPr>
          <w:p w14:paraId="786FCBC7"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Assumes the platform's safety-net function helps the health system avoid two missed-finding malpractice lawsuits per year.</w:t>
            </w:r>
          </w:p>
        </w:tc>
      </w:tr>
      <w:tr w:rsidR="008A69DC" w:rsidRPr="005C5C1A" w14:paraId="461AEE00" w14:textId="77777777" w:rsidTr="000C59E7">
        <w:tc>
          <w:tcPr>
            <w:tcW w:w="1980" w:type="dxa"/>
            <w:shd w:val="clear" w:color="auto" w:fill="DAEAF8"/>
          </w:tcPr>
          <w:p w14:paraId="5F9FA7FD"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Reduce unreimbursed care for preventable ED/Inpatient Visits</w:t>
            </w:r>
          </w:p>
        </w:tc>
        <w:tc>
          <w:tcPr>
            <w:tcW w:w="1984" w:type="dxa"/>
            <w:shd w:val="clear" w:color="auto" w:fill="FFFFFF" w:themeFill="background1"/>
          </w:tcPr>
          <w:p w14:paraId="0AFC8887"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Therapeutic "inertia" prevents MD from titrating antihypertensive therapy. Heart attack occurs and patient's insurance insufficient to cover ED/inpatient stays.</w:t>
            </w:r>
          </w:p>
        </w:tc>
        <w:tc>
          <w:tcPr>
            <w:tcW w:w="993" w:type="dxa"/>
            <w:shd w:val="clear" w:color="auto" w:fill="FFFFFF" w:themeFill="background1"/>
          </w:tcPr>
          <w:p w14:paraId="150E60F0"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VBC &amp; FFS</w:t>
            </w:r>
          </w:p>
        </w:tc>
        <w:tc>
          <w:tcPr>
            <w:tcW w:w="1701" w:type="dxa"/>
            <w:shd w:val="clear" w:color="auto" w:fill="FFFFFF" w:themeFill="background1"/>
          </w:tcPr>
          <w:p w14:paraId="63A98C03"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Cordance will alert/nudge clinician to titrate based on medical guidelines.</w:t>
            </w:r>
          </w:p>
        </w:tc>
        <w:tc>
          <w:tcPr>
            <w:tcW w:w="1417" w:type="dxa"/>
            <w:shd w:val="clear" w:color="auto" w:fill="FFFFFF" w:themeFill="background1"/>
          </w:tcPr>
          <w:p w14:paraId="7A6D2B19" w14:textId="77777777" w:rsidR="008A69DC" w:rsidRPr="00D556BB" w:rsidRDefault="008A69DC">
            <w:pPr>
              <w:spacing w:before="40" w:after="40"/>
              <w:rPr>
                <w:rFonts w:ascii="PP Neue Montreal Book" w:hAnsi="PP Neue Montreal Book"/>
                <w:color w:val="000000" w:themeColor="text1"/>
                <w:sz w:val="20"/>
                <w:szCs w:val="20"/>
              </w:rPr>
            </w:pPr>
            <w:r w:rsidRPr="00D556BB">
              <w:rPr>
                <w:rFonts w:ascii="PP Neue Montreal Book" w:hAnsi="PP Neue Montreal Book"/>
                <w:sz w:val="20"/>
                <w:szCs w:val="20"/>
              </w:rPr>
              <w:t>$10,000 per incident</w:t>
            </w:r>
          </w:p>
        </w:tc>
        <w:tc>
          <w:tcPr>
            <w:tcW w:w="1276" w:type="dxa"/>
            <w:shd w:val="clear" w:color="auto" w:fill="FFFFFF" w:themeFill="background1"/>
          </w:tcPr>
          <w:p w14:paraId="491B6062"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$500,000</w:t>
            </w:r>
          </w:p>
        </w:tc>
        <w:tc>
          <w:tcPr>
            <w:tcW w:w="1559" w:type="dxa"/>
            <w:shd w:val="clear" w:color="auto" w:fill="FFFFFF" w:themeFill="background1"/>
          </w:tcPr>
          <w:p w14:paraId="3A4D64A5" w14:textId="77777777" w:rsidR="008A69DC" w:rsidRPr="00D556BB" w:rsidRDefault="008A69DC">
            <w:pPr>
              <w:spacing w:before="40" w:after="40"/>
              <w:rPr>
                <w:rFonts w:ascii="PP Neue Montreal Book" w:hAnsi="PP Neue Montreal Book"/>
                <w:i/>
                <w:iCs/>
                <w:color w:val="000000" w:themeColor="text1"/>
                <w:sz w:val="20"/>
                <w:szCs w:val="20"/>
              </w:rPr>
            </w:pPr>
            <w:r w:rsidRPr="00D556BB">
              <w:rPr>
                <w:rFonts w:ascii="PP Neue Montreal Book" w:hAnsi="PP Neue Montreal Book"/>
                <w:sz w:val="20"/>
                <w:szCs w:val="20"/>
              </w:rPr>
              <w:t>Assumes Cordance helps prevent 50 major, unreimbursed acute care events per year at an average cost of $10,000 each.</w:t>
            </w:r>
          </w:p>
        </w:tc>
      </w:tr>
    </w:tbl>
    <w:p w14:paraId="47D43321" w14:textId="77777777" w:rsidR="000C59E7" w:rsidRDefault="000C59E7" w:rsidP="008A69DC">
      <w:pPr>
        <w:ind w:right="-810"/>
        <w:outlineLvl w:val="1"/>
        <w:rPr>
          <w:rFonts w:ascii="IvyPresto Display Thin" w:hAnsi="IvyPresto Display Thin" w:cs="IvyPresto Display Thin"/>
          <w:b/>
          <w:color w:val="215E99" w:themeColor="text2" w:themeTint="BF"/>
        </w:rPr>
      </w:pPr>
    </w:p>
    <w:p w14:paraId="12294A99" w14:textId="77777777" w:rsidR="008A69DC" w:rsidRPr="005C5C1A" w:rsidRDefault="008A69DC" w:rsidP="008A69DC">
      <w:pPr>
        <w:ind w:right="-810"/>
        <w:outlineLvl w:val="1"/>
        <w:rPr>
          <w:rFonts w:ascii="IvyPresto Display Thin" w:hAnsi="IvyPresto Display Thin" w:cs="IvyPresto Display Thin"/>
          <w:b/>
          <w:color w:val="215E99" w:themeColor="text2" w:themeTint="BF"/>
        </w:rPr>
      </w:pPr>
    </w:p>
    <w:p w14:paraId="355E0356" w14:textId="417F3019" w:rsidR="008A69DC" w:rsidRDefault="008A69DC" w:rsidP="003F1179">
      <w:pPr>
        <w:rPr>
          <w:rFonts w:ascii="IvyPresto Display Thin" w:hAnsi="IvyPresto Display Thin" w:cs="IvyPresto Display Thin"/>
          <w:bCs/>
          <w:i/>
          <w:iCs/>
          <w:color w:val="215E99"/>
        </w:rPr>
      </w:pPr>
      <w:r w:rsidRPr="7F16292C">
        <w:rPr>
          <w:rFonts w:ascii="IvyPresto Display Thin" w:hAnsi="IvyPresto Display Thin" w:cs="IvyPresto Display Thin"/>
          <w:b/>
          <w:color w:val="215E99" w:themeColor="text2" w:themeTint="BF"/>
        </w:rPr>
        <w:t>(</w:t>
      </w:r>
      <w:r w:rsidR="003F1179" w:rsidRPr="7F16292C">
        <w:rPr>
          <w:rFonts w:ascii="IvyPresto Display Thin" w:hAnsi="IvyPresto Display Thin" w:cs="IvyPresto Display Thin"/>
          <w:b/>
          <w:color w:val="215E99" w:themeColor="text2" w:themeTint="BF"/>
        </w:rPr>
        <w:t>1</w:t>
      </w:r>
      <w:r w:rsidRPr="7F16292C">
        <w:rPr>
          <w:rFonts w:ascii="IvyPresto Display Thin" w:hAnsi="IvyPresto Display Thin" w:cs="IvyPresto Display Thin"/>
          <w:b/>
          <w:color w:val="215E99" w:themeColor="text2" w:themeTint="BF"/>
        </w:rPr>
        <w:t xml:space="preserve">b.) </w:t>
      </w:r>
      <w:r w:rsidRPr="7F16292C">
        <w:rPr>
          <w:rFonts w:ascii="PP Neue Montreal Book" w:hAnsi="PP Neue Montreal Book" w:cs="IvyPresto Display Thin"/>
          <w:b/>
          <w:color w:val="215E99" w:themeColor="text2" w:themeTint="BF"/>
        </w:rPr>
        <w:t xml:space="preserve">Consolidated </w:t>
      </w:r>
      <w:r w:rsidRPr="7F16292C">
        <w:rPr>
          <w:rFonts w:ascii="IvyPresto Display Thin" w:hAnsi="IvyPresto Display Thin" w:cs="IvyPresto Display Thin"/>
          <w:i/>
          <w:color w:val="215E99" w:themeColor="text2" w:themeTint="BF"/>
        </w:rPr>
        <w:t>Economic Value Proposition</w:t>
      </w:r>
    </w:p>
    <w:p w14:paraId="0992CB9E" w14:textId="77777777" w:rsidR="003F1179" w:rsidRPr="003F1179" w:rsidRDefault="003F1179" w:rsidP="003F1179">
      <w:pPr>
        <w:rPr>
          <w:rFonts w:ascii="IvyPresto Display Thin" w:hAnsi="IvyPresto Display Thin" w:cs="IvyPresto Display Thin"/>
          <w:b/>
          <w:color w:val="215E99" w:themeColor="text2" w:themeTint="BF"/>
        </w:rPr>
      </w:pPr>
    </w:p>
    <w:p w14:paraId="72B2D49A" w14:textId="77777777" w:rsidR="008A69DC" w:rsidRPr="005C5C1A" w:rsidRDefault="008A69DC" w:rsidP="00DE16A0">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The cumulative financial impact of the Cordance Health platform is substantial. By aggregating the conservative annual estimates from the revenue and cost-saving models, a clear picture of the total economic value emerges.</w:t>
      </w:r>
    </w:p>
    <w:tbl>
      <w:tblPr>
        <w:tblW w:w="9915"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57"/>
        <w:gridCol w:w="4958"/>
      </w:tblGrid>
      <w:tr w:rsidR="008A69DC" w:rsidRPr="005C5C1A" w14:paraId="29C3D94D" w14:textId="77777777">
        <w:tc>
          <w:tcPr>
            <w:tcW w:w="4957" w:type="dxa"/>
            <w:tcBorders>
              <w:top w:val="single" w:sz="6" w:space="0" w:color="000000"/>
              <w:left w:val="single" w:sz="6" w:space="0" w:color="000000"/>
              <w:bottom w:val="single" w:sz="6" w:space="0" w:color="000000"/>
              <w:right w:val="single" w:sz="6" w:space="0" w:color="000000"/>
            </w:tcBorders>
            <w:shd w:val="clear" w:color="auto" w:fill="CEF3FF"/>
            <w:tcMar>
              <w:top w:w="120" w:type="dxa"/>
              <w:left w:w="180" w:type="dxa"/>
              <w:bottom w:w="120" w:type="dxa"/>
              <w:right w:w="180" w:type="dxa"/>
            </w:tcMar>
          </w:tcPr>
          <w:p w14:paraId="51931A65" w14:textId="77777777" w:rsidR="008A69DC" w:rsidRPr="00A14ECD"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bCs/>
                <w:color w:val="1B1C1D"/>
                <w:sz w:val="22"/>
                <w:szCs w:val="22"/>
              </w:rPr>
            </w:pPr>
            <w:r w:rsidRPr="00A14ECD">
              <w:rPr>
                <w:rFonts w:ascii="PP Neue Montreal Book" w:eastAsia="Google Sans Text" w:hAnsi="PP Neue Montreal Book" w:cs="Google Sans Text"/>
                <w:b/>
                <w:bCs/>
                <w:color w:val="1B1C1D"/>
                <w:sz w:val="22"/>
                <w:szCs w:val="22"/>
              </w:rPr>
              <w:t>Value Category</w:t>
            </w:r>
          </w:p>
        </w:tc>
        <w:tc>
          <w:tcPr>
            <w:tcW w:w="4958" w:type="dxa"/>
            <w:tcBorders>
              <w:top w:val="single" w:sz="6" w:space="0" w:color="000000"/>
              <w:left w:val="single" w:sz="6" w:space="0" w:color="000000"/>
              <w:bottom w:val="single" w:sz="6" w:space="0" w:color="000000"/>
              <w:right w:val="single" w:sz="6" w:space="0" w:color="000000"/>
            </w:tcBorders>
            <w:shd w:val="clear" w:color="auto" w:fill="CEF3FF"/>
            <w:tcMar>
              <w:top w:w="120" w:type="dxa"/>
              <w:left w:w="180" w:type="dxa"/>
              <w:bottom w:w="120" w:type="dxa"/>
              <w:right w:w="180" w:type="dxa"/>
            </w:tcMar>
          </w:tcPr>
          <w:p w14:paraId="136877AD" w14:textId="77777777" w:rsidR="008A69DC" w:rsidRPr="00A14ECD"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bCs/>
                <w:color w:val="1B1C1D"/>
                <w:sz w:val="22"/>
                <w:szCs w:val="22"/>
              </w:rPr>
            </w:pPr>
            <w:r w:rsidRPr="00A14ECD">
              <w:rPr>
                <w:rFonts w:ascii="PP Neue Montreal Book" w:eastAsia="Google Sans Text" w:hAnsi="PP Neue Montreal Book" w:cs="Google Sans Text"/>
                <w:b/>
                <w:bCs/>
                <w:color w:val="1B1C1D"/>
                <w:sz w:val="22"/>
                <w:szCs w:val="22"/>
              </w:rPr>
              <w:t>Total Estimated Annual Impact</w:t>
            </w:r>
          </w:p>
        </w:tc>
      </w:tr>
      <w:tr w:rsidR="008A69DC" w:rsidRPr="005C5C1A" w14:paraId="7AB5E6BE" w14:textId="77777777">
        <w:tc>
          <w:tcPr>
            <w:tcW w:w="49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43451" w14:textId="77777777" w:rsidR="008A69DC" w:rsidRPr="005C5C1A"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color w:val="1B1C1D"/>
                <w:sz w:val="22"/>
                <w:szCs w:val="22"/>
              </w:rPr>
            </w:pPr>
            <w:r w:rsidRPr="005C5C1A">
              <w:rPr>
                <w:rFonts w:ascii="PP Neue Montreal Book" w:eastAsia="Google Sans Text" w:hAnsi="PP Neue Montreal Book" w:cs="Google Sans Text"/>
                <w:b/>
                <w:color w:val="1B1C1D"/>
                <w:sz w:val="22"/>
                <w:szCs w:val="22"/>
              </w:rPr>
              <w:t>Total Revenue Generation</w:t>
            </w:r>
          </w:p>
        </w:tc>
        <w:tc>
          <w:tcPr>
            <w:tcW w:w="49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7DCFE" w14:textId="65C47787" w:rsidR="008A69DC" w:rsidRPr="005C5C1A"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color w:val="1B1C1D"/>
                <w:sz w:val="22"/>
                <w:szCs w:val="22"/>
              </w:rPr>
            </w:pPr>
            <w:r w:rsidRPr="005C5C1A">
              <w:rPr>
                <w:rFonts w:ascii="PP Neue Montreal Book" w:eastAsia="Google Sans Text" w:hAnsi="PP Neue Montreal Book" w:cs="Google Sans Text"/>
                <w:b/>
                <w:color w:val="1B1C1D"/>
                <w:sz w:val="22"/>
                <w:szCs w:val="22"/>
              </w:rPr>
              <w:t>$</w:t>
            </w:r>
            <w:r>
              <w:rPr>
                <w:rFonts w:ascii="PP Neue Montreal Book" w:eastAsia="Google Sans Text" w:hAnsi="PP Neue Montreal Book" w:cs="Google Sans Text"/>
                <w:b/>
                <w:color w:val="1B1C1D"/>
                <w:sz w:val="22"/>
                <w:szCs w:val="22"/>
              </w:rPr>
              <w:t>22</w:t>
            </w:r>
            <w:r w:rsidR="00EE421A">
              <w:rPr>
                <w:rFonts w:ascii="PP Neue Montreal Book" w:eastAsia="Google Sans Text" w:hAnsi="PP Neue Montreal Book" w:cs="Google Sans Text"/>
                <w:b/>
                <w:color w:val="1B1C1D"/>
                <w:sz w:val="22"/>
                <w:szCs w:val="22"/>
              </w:rPr>
              <w:t>M</w:t>
            </w:r>
            <w:r w:rsidR="00F41198">
              <w:rPr>
                <w:rFonts w:ascii="PP Neue Montreal Book" w:eastAsia="Google Sans Text" w:hAnsi="PP Neue Montreal Book" w:cs="Google Sans Text"/>
                <w:b/>
                <w:color w:val="1B1C1D"/>
                <w:sz w:val="22"/>
                <w:szCs w:val="22"/>
              </w:rPr>
              <w:t>+</w:t>
            </w:r>
          </w:p>
        </w:tc>
      </w:tr>
      <w:tr w:rsidR="008A69DC" w:rsidRPr="005C5C1A" w14:paraId="7D159F2D" w14:textId="77777777">
        <w:tc>
          <w:tcPr>
            <w:tcW w:w="49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20B7F" w14:textId="77777777" w:rsidR="008A69DC" w:rsidRPr="005C5C1A"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color w:val="1B1C1D"/>
                <w:sz w:val="22"/>
                <w:szCs w:val="22"/>
              </w:rPr>
            </w:pPr>
            <w:r w:rsidRPr="005C5C1A">
              <w:rPr>
                <w:rFonts w:ascii="PP Neue Montreal Book" w:eastAsia="Google Sans Text" w:hAnsi="PP Neue Montreal Book" w:cs="Google Sans Text"/>
                <w:b/>
                <w:color w:val="1B1C1D"/>
                <w:sz w:val="22"/>
                <w:szCs w:val="22"/>
              </w:rPr>
              <w:t>Total Cost Reduction</w:t>
            </w:r>
          </w:p>
        </w:tc>
        <w:tc>
          <w:tcPr>
            <w:tcW w:w="49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FE65E" w14:textId="0584225B" w:rsidR="008A69DC" w:rsidRPr="005C5C1A"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color w:val="1B1C1D"/>
                <w:sz w:val="22"/>
                <w:szCs w:val="22"/>
              </w:rPr>
            </w:pPr>
            <w:r w:rsidRPr="005C5C1A">
              <w:rPr>
                <w:rFonts w:ascii="PP Neue Montreal Book" w:eastAsia="Google Sans Text" w:hAnsi="PP Neue Montreal Book" w:cs="Google Sans Text"/>
                <w:b/>
                <w:color w:val="1B1C1D"/>
                <w:sz w:val="22"/>
                <w:szCs w:val="22"/>
              </w:rPr>
              <w:t>$</w:t>
            </w:r>
            <w:r>
              <w:rPr>
                <w:rFonts w:ascii="PP Neue Montreal Book" w:eastAsia="Google Sans Text" w:hAnsi="PP Neue Montreal Book" w:cs="Google Sans Text"/>
                <w:b/>
                <w:color w:val="1B1C1D"/>
                <w:sz w:val="22"/>
                <w:szCs w:val="22"/>
              </w:rPr>
              <w:t>1</w:t>
            </w:r>
            <w:r w:rsidR="00F41198">
              <w:rPr>
                <w:rFonts w:ascii="PP Neue Montreal Book" w:eastAsia="Google Sans Text" w:hAnsi="PP Neue Montreal Book" w:cs="Google Sans Text"/>
                <w:b/>
                <w:color w:val="1B1C1D"/>
                <w:sz w:val="22"/>
                <w:szCs w:val="22"/>
              </w:rPr>
              <w:t>4M+</w:t>
            </w:r>
          </w:p>
        </w:tc>
      </w:tr>
      <w:tr w:rsidR="008A69DC" w:rsidRPr="005C5C1A" w14:paraId="7A9F033C" w14:textId="77777777">
        <w:tc>
          <w:tcPr>
            <w:tcW w:w="495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88B4A" w14:textId="77777777" w:rsidR="008A69DC" w:rsidRPr="005C5C1A"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color w:val="1B1C1D"/>
                <w:sz w:val="22"/>
                <w:szCs w:val="22"/>
              </w:rPr>
            </w:pPr>
            <w:r w:rsidRPr="005C5C1A">
              <w:rPr>
                <w:rFonts w:ascii="PP Neue Montreal Book" w:eastAsia="Google Sans Text" w:hAnsi="PP Neue Montreal Book" w:cs="Google Sans Text"/>
                <w:b/>
                <w:color w:val="1B1C1D"/>
                <w:sz w:val="22"/>
                <w:szCs w:val="22"/>
              </w:rPr>
              <w:t>Total Annual Economic Value</w:t>
            </w:r>
          </w:p>
        </w:tc>
        <w:tc>
          <w:tcPr>
            <w:tcW w:w="495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47F29" w14:textId="6F6A8651" w:rsidR="008A69DC" w:rsidRPr="005C5C1A" w:rsidRDefault="008A69DC">
            <w:pPr>
              <w:pBdr>
                <w:top w:val="nil"/>
                <w:left w:val="nil"/>
                <w:bottom w:val="nil"/>
                <w:right w:val="nil"/>
                <w:between w:val="nil"/>
              </w:pBdr>
              <w:spacing w:before="120" w:after="120" w:line="275" w:lineRule="auto"/>
              <w:rPr>
                <w:rFonts w:ascii="PP Neue Montreal Book" w:eastAsia="Google Sans Text" w:hAnsi="PP Neue Montreal Book" w:cs="Google Sans Text"/>
                <w:b/>
                <w:color w:val="1B1C1D"/>
                <w:sz w:val="22"/>
                <w:szCs w:val="22"/>
              </w:rPr>
            </w:pPr>
            <w:r w:rsidRPr="005C5C1A">
              <w:rPr>
                <w:rFonts w:ascii="PP Neue Montreal Book" w:eastAsia="Google Sans Text" w:hAnsi="PP Neue Montreal Book" w:cs="Google Sans Text"/>
                <w:b/>
                <w:color w:val="1B1C1D"/>
                <w:sz w:val="22"/>
                <w:szCs w:val="22"/>
              </w:rPr>
              <w:t>$3</w:t>
            </w:r>
            <w:r>
              <w:rPr>
                <w:rFonts w:ascii="PP Neue Montreal Book" w:eastAsia="Google Sans Text" w:hAnsi="PP Neue Montreal Book" w:cs="Google Sans Text"/>
                <w:b/>
                <w:color w:val="1B1C1D"/>
                <w:sz w:val="22"/>
                <w:szCs w:val="22"/>
              </w:rPr>
              <w:t>6</w:t>
            </w:r>
            <w:r w:rsidR="009F5066">
              <w:rPr>
                <w:rFonts w:ascii="PP Neue Montreal Book" w:eastAsia="Google Sans Text" w:hAnsi="PP Neue Montreal Book" w:cs="Google Sans Text"/>
                <w:b/>
                <w:color w:val="1B1C1D"/>
                <w:sz w:val="22"/>
                <w:szCs w:val="22"/>
              </w:rPr>
              <w:t>M+</w:t>
            </w:r>
          </w:p>
        </w:tc>
      </w:tr>
    </w:tbl>
    <w:p w14:paraId="414C0F9B" w14:textId="53C2671F" w:rsidR="008A69DC" w:rsidRPr="005C5C1A" w:rsidRDefault="008A69DC" w:rsidP="00DE16A0">
      <w:pPr>
        <w:pBdr>
          <w:top w:val="nil"/>
          <w:left w:val="nil"/>
          <w:bottom w:val="nil"/>
          <w:right w:val="nil"/>
          <w:between w:val="nil"/>
        </w:pBdr>
        <w:spacing w:before="480"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This consolidated figure, exceeding $3</w:t>
      </w:r>
      <w:r w:rsidR="009F5066">
        <w:rPr>
          <w:rFonts w:ascii="PP Neue Montreal Book" w:eastAsia="Google Sans Text" w:hAnsi="PP Neue Montreal Book" w:cs="Google Sans Text"/>
          <w:color w:val="1B1C1D"/>
          <w:sz w:val="22"/>
          <w:szCs w:val="22"/>
        </w:rPr>
        <w:t>6</w:t>
      </w:r>
      <w:r w:rsidRPr="005C5C1A">
        <w:rPr>
          <w:rFonts w:ascii="PP Neue Montreal Book" w:eastAsia="Google Sans Text" w:hAnsi="PP Neue Montreal Book" w:cs="Google Sans Text"/>
          <w:color w:val="1B1C1D"/>
          <w:sz w:val="22"/>
          <w:szCs w:val="22"/>
        </w:rPr>
        <w:t xml:space="preserve"> million annually, represents a compelling ROI for a health system partner. It underscores the platform's ability to address a wide spectrum of financial and operational pain points, transforming them into measurable economic gains.</w:t>
      </w:r>
    </w:p>
    <w:p w14:paraId="6DEF6770" w14:textId="77777777" w:rsidR="000C59E7" w:rsidRDefault="000C59E7" w:rsidP="008A69DC">
      <w:pPr>
        <w:pBdr>
          <w:top w:val="nil"/>
          <w:left w:val="nil"/>
          <w:bottom w:val="nil"/>
          <w:right w:val="nil"/>
          <w:between w:val="nil"/>
        </w:pBdr>
        <w:spacing w:after="240" w:line="275" w:lineRule="auto"/>
        <w:rPr>
          <w:rFonts w:ascii="IvyPresto Display Thin" w:hAnsi="IvyPresto Display Thin" w:cs="IvyPresto Display Thin"/>
          <w:b/>
          <w:color w:val="215E99" w:themeColor="text2" w:themeTint="BF"/>
        </w:rPr>
      </w:pPr>
    </w:p>
    <w:p w14:paraId="1DFF7C10" w14:textId="155AD246" w:rsidR="008A69DC" w:rsidRPr="003F1179" w:rsidRDefault="008A69DC" w:rsidP="008A69DC">
      <w:pPr>
        <w:pBdr>
          <w:top w:val="nil"/>
          <w:left w:val="nil"/>
          <w:bottom w:val="nil"/>
          <w:right w:val="nil"/>
          <w:between w:val="nil"/>
        </w:pBdr>
        <w:spacing w:after="240" w:line="275" w:lineRule="auto"/>
        <w:rPr>
          <w:rFonts w:ascii="IvyPresto Display Thin" w:hAnsi="IvyPresto Display Thin" w:cs="IvyPresto Display Thin"/>
          <w:b/>
          <w:color w:val="215E99" w:themeColor="text2" w:themeTint="BF"/>
        </w:rPr>
      </w:pPr>
      <w:r w:rsidRPr="005C5C1A">
        <w:rPr>
          <w:rFonts w:ascii="IvyPresto Display Thin" w:hAnsi="IvyPresto Display Thin" w:cs="IvyPresto Display Thin"/>
          <w:b/>
          <w:color w:val="215E99" w:themeColor="text2" w:themeTint="BF"/>
        </w:rPr>
        <w:t>(</w:t>
      </w:r>
      <w:r w:rsidR="003F1179">
        <w:rPr>
          <w:rFonts w:ascii="IvyPresto Display Thin" w:hAnsi="IvyPresto Display Thin" w:cs="IvyPresto Display Thin"/>
          <w:b/>
          <w:color w:val="215E99" w:themeColor="text2" w:themeTint="BF"/>
        </w:rPr>
        <w:t>1</w:t>
      </w:r>
      <w:r w:rsidRPr="005C5C1A">
        <w:rPr>
          <w:rFonts w:ascii="IvyPresto Display Thin" w:hAnsi="IvyPresto Display Thin" w:cs="IvyPresto Display Thin"/>
          <w:b/>
          <w:color w:val="215E99" w:themeColor="text2" w:themeTint="BF"/>
        </w:rPr>
        <w:t xml:space="preserve">c.) </w:t>
      </w:r>
      <w:r w:rsidRPr="00095483">
        <w:rPr>
          <w:rFonts w:ascii="PP Neue Montreal Book" w:hAnsi="PP Neue Montreal Book" w:cs="IvyPresto Display Thin"/>
          <w:b/>
          <w:color w:val="215E99"/>
        </w:rPr>
        <w:t xml:space="preserve">Concluding </w:t>
      </w:r>
      <w:r w:rsidRPr="005C5C1A">
        <w:rPr>
          <w:rFonts w:ascii="IvyPresto Display Thin" w:hAnsi="IvyPresto Display Thin" w:cs="IvyPresto Display Thin"/>
          <w:bCs/>
          <w:i/>
          <w:iCs/>
          <w:color w:val="215E99" w:themeColor="text2" w:themeTint="BF"/>
        </w:rPr>
        <w:t>Analysis</w:t>
      </w:r>
    </w:p>
    <w:p w14:paraId="6D47219D" w14:textId="43B730F3" w:rsidR="008A69DC" w:rsidRPr="005C5C1A" w:rsidRDefault="008A69DC" w:rsidP="00DE16A0">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The financial analysis presented in this report provides a defensible quantification of the Cordance Health value proposition. The estimates, derived from conservative assumptions and validated by current industry data, demonstrate that the platform should be capable of generating a significant and multifaceted return on investment for health system partners. Of course, Cordance will likely have lower impact within any given health system where methods to address these well-known problems will already be in place.  In these cases, Cordance may be able to replace, at much lower cost, those (usually manual) interventions. The total annual economic value of over $3</w:t>
      </w:r>
      <w:r w:rsidR="009F5066">
        <w:rPr>
          <w:rFonts w:ascii="PP Neue Montreal Book" w:eastAsia="Google Sans Text" w:hAnsi="PP Neue Montreal Book" w:cs="Google Sans Text"/>
          <w:color w:val="1B1C1D"/>
          <w:sz w:val="22"/>
          <w:szCs w:val="22"/>
        </w:rPr>
        <w:t>6</w:t>
      </w:r>
      <w:r w:rsidRPr="005C5C1A">
        <w:rPr>
          <w:rFonts w:ascii="PP Neue Montreal Book" w:eastAsia="Google Sans Text" w:hAnsi="PP Neue Montreal Book" w:cs="Google Sans Text"/>
          <w:color w:val="1B1C1D"/>
          <w:sz w:val="22"/>
          <w:szCs w:val="22"/>
        </w:rPr>
        <w:t xml:space="preserve"> million is the aggregate effect of numerous, targeted interventions that optimize clinical decisions at the point of care.</w:t>
      </w:r>
    </w:p>
    <w:p w14:paraId="5CE17FE4" w14:textId="77777777" w:rsidR="008A69DC" w:rsidRPr="005C5C1A" w:rsidRDefault="008A69DC" w:rsidP="00DE16A0">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This analysis validates the core thesis that by influencing physician behavior in small but critical ways, Cordance can unlock substantial financial value.  The platform's ability to reduce referral leakage, optimize the use of high-cost services, promote cost-effective therapeutic choices, and mitigate preventable adverse events directly addresses the primary challenges facing modern health systems as they navigate the transition from fee-for-service to value-based care.</w:t>
      </w:r>
    </w:p>
    <w:p w14:paraId="51F43168" w14:textId="77777777" w:rsidR="008A69DC" w:rsidRPr="00D81668" w:rsidRDefault="008A69DC" w:rsidP="00DE16A0">
      <w:pPr>
        <w:pBdr>
          <w:top w:val="nil"/>
          <w:left w:val="nil"/>
          <w:bottom w:val="nil"/>
          <w:right w:val="nil"/>
          <w:between w:val="nil"/>
        </w:pBdr>
        <w:spacing w:after="255"/>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Ultimately, the value of Cordance extends beyond the direct financial calculations. The platform provides a system of clinical and operational observability that is currently lacking in healthcare. It gives leadership the tools to not only understand the financial implications of clinical practice variation but also to implement and track policies designed to improve performance in real time. In an increasingly competitive and financially constrained environment, this capability for data-driven management and continuous improvement is not merely a value-add; it is a strategic necessity. Cordance Health is therefore positioned not just as a tool for efficiency, but as a foundational platform for the financially sustainable, high-quality health system of the future.</w:t>
      </w:r>
    </w:p>
    <w:p w14:paraId="14D2D2F2" w14:textId="77777777" w:rsidR="008A69DC" w:rsidRDefault="008A69DC" w:rsidP="002555C1">
      <w:pPr>
        <w:rPr>
          <w:rFonts w:ascii="PP Neue Montreal" w:eastAsiaTheme="majorEastAsia" w:hAnsi="PP Neue Montreal" w:cstheme="majorBidi"/>
          <w:b/>
          <w:bCs/>
          <w:color w:val="215E99" w:themeColor="text2" w:themeTint="BF"/>
          <w:kern w:val="0"/>
          <w14:ligatures w14:val="none"/>
        </w:rPr>
      </w:pPr>
    </w:p>
    <w:p w14:paraId="6209654D" w14:textId="77777777" w:rsidR="000C59E7" w:rsidRDefault="000C59E7" w:rsidP="002555C1">
      <w:pPr>
        <w:rPr>
          <w:rFonts w:ascii="PP Neue Montreal" w:eastAsiaTheme="majorEastAsia" w:hAnsi="PP Neue Montreal" w:cstheme="majorBidi"/>
          <w:b/>
          <w:bCs/>
          <w:color w:val="215E99" w:themeColor="text2" w:themeTint="BF"/>
          <w:kern w:val="0"/>
          <w14:ligatures w14:val="none"/>
        </w:rPr>
      </w:pPr>
    </w:p>
    <w:p w14:paraId="7108BDFE" w14:textId="2C830C94" w:rsidR="008A69DC" w:rsidRDefault="000C59E7" w:rsidP="002555C1">
      <w:pPr>
        <w:rPr>
          <w:rFonts w:ascii="PP Neue Montreal" w:eastAsiaTheme="majorEastAsia" w:hAnsi="PP Neue Montreal" w:cstheme="majorBidi"/>
          <w:b/>
          <w:bCs/>
          <w:color w:val="215E99" w:themeColor="text2" w:themeTint="BF"/>
          <w:kern w:val="0"/>
          <w14:ligatures w14:val="none"/>
        </w:rPr>
      </w:pPr>
      <w:r>
        <w:rPr>
          <w:rFonts w:ascii="PP Neue Montreal" w:eastAsiaTheme="majorEastAsia" w:hAnsi="PP Neue Montreal" w:cstheme="majorBidi"/>
          <w:b/>
          <w:bCs/>
          <w:color w:val="215E99" w:themeColor="text2" w:themeTint="BF"/>
          <w:kern w:val="0"/>
          <w14:ligatures w14:val="none"/>
        </w:rPr>
        <w:br w:type="page"/>
      </w:r>
      <w:r w:rsidR="00DD71FC">
        <w:rPr>
          <w:rFonts w:ascii="PP Neue Montreal" w:eastAsiaTheme="majorEastAsia" w:hAnsi="PP Neue Montreal" w:cstheme="majorBidi"/>
          <w:b/>
          <w:bCs/>
          <w:color w:val="215E99" w:themeColor="text2" w:themeTint="BF"/>
          <w:kern w:val="0"/>
          <w14:ligatures w14:val="none"/>
        </w:rPr>
        <w:t xml:space="preserve">Part 2: </w:t>
      </w:r>
    </w:p>
    <w:p w14:paraId="61C3D040" w14:textId="5B1264DA" w:rsidR="005C5C1A" w:rsidRPr="00E70E6D" w:rsidRDefault="00875645" w:rsidP="00482B31">
      <w:pPr>
        <w:spacing w:before="100" w:beforeAutospacing="1" w:after="100" w:afterAutospacing="1"/>
        <w:rPr>
          <w:rFonts w:ascii="PP Neue Montreal" w:eastAsiaTheme="majorEastAsia" w:hAnsi="PP Neue Montreal" w:cstheme="majorBidi"/>
          <w:b/>
          <w:bCs/>
          <w:color w:val="215E99" w:themeColor="text2" w:themeTint="BF"/>
          <w:kern w:val="0"/>
          <w14:ligatures w14:val="none"/>
        </w:rPr>
      </w:pPr>
      <w:r>
        <w:rPr>
          <w:rFonts w:ascii="IvyPresto Display Thin" w:hAnsi="IvyPresto Display Thin" w:cs="IvyPresto Display Thin"/>
          <w:b/>
          <w:color w:val="4C94D8" w:themeColor="text2" w:themeTint="80"/>
          <w:sz w:val="32"/>
          <w:szCs w:val="32"/>
        </w:rPr>
        <w:t>2</w:t>
      </w:r>
      <w:r w:rsidR="005C5C1A" w:rsidRPr="005C5C1A">
        <w:rPr>
          <w:rFonts w:ascii="IvyPresto Display Thin" w:hAnsi="IvyPresto Display Thin" w:cs="IvyPresto Display Thin"/>
          <w:b/>
          <w:color w:val="4C94D8" w:themeColor="text2" w:themeTint="80"/>
          <w:sz w:val="32"/>
          <w:szCs w:val="32"/>
        </w:rPr>
        <w:t xml:space="preserve">. </w:t>
      </w:r>
      <w:r w:rsidR="005C5C1A" w:rsidRPr="005C5C1A">
        <w:rPr>
          <w:rFonts w:ascii="IvyPresto Display Thin" w:hAnsi="IvyPresto Display Thin" w:cs="IvyPresto Display Thin"/>
          <w:b/>
          <w:i/>
          <w:color w:val="4C94D8" w:themeColor="text2" w:themeTint="80"/>
          <w:sz w:val="32"/>
          <w:szCs w:val="32"/>
        </w:rPr>
        <w:t>Analysis of Revenue Generation Opportunitie</w:t>
      </w:r>
      <w:r w:rsidR="00CF1268">
        <w:rPr>
          <w:rFonts w:ascii="IvyPresto Display Thin" w:hAnsi="IvyPresto Display Thin" w:cs="IvyPresto Display Thin"/>
          <w:b/>
          <w:i/>
          <w:color w:val="4C94D8" w:themeColor="text2" w:themeTint="80"/>
          <w:sz w:val="32"/>
          <w:szCs w:val="32"/>
        </w:rPr>
        <w:fldChar w:fldCharType="begin"/>
      </w:r>
      <w:r w:rsidR="00CF1268">
        <w:rPr>
          <w:rFonts w:ascii="IvyPresto Display Thin" w:hAnsi="IvyPresto Display Thin" w:cs="IvyPresto Display Thin"/>
          <w:b/>
          <w:i/>
          <w:color w:val="4C94D8" w:themeColor="text2" w:themeTint="80"/>
          <w:sz w:val="32"/>
          <w:szCs w:val="32"/>
        </w:rPr>
        <w:instrText xml:space="preserve"> TC "</w:instrText>
      </w:r>
      <w:bookmarkStart w:id="16" w:name="_Toc210125538"/>
      <w:r w:rsidR="00CF1268">
        <w:rPr>
          <w:rFonts w:ascii="IvyPresto Display Thin" w:hAnsi="IvyPresto Display Thin" w:cs="IvyPresto Display Thin"/>
          <w:b/>
          <w:i/>
          <w:color w:val="4C94D8" w:themeColor="text2" w:themeTint="80"/>
          <w:sz w:val="32"/>
          <w:szCs w:val="32"/>
        </w:rPr>
        <w:instrText>Part 2: Analysis of Revenue Generation/Cost Reduction Opportunities</w:instrText>
      </w:r>
      <w:bookmarkEnd w:id="16"/>
      <w:r w:rsidR="00CF1268">
        <w:rPr>
          <w:rFonts w:ascii="IvyPresto Display Thin" w:hAnsi="IvyPresto Display Thin" w:cs="IvyPresto Display Thin"/>
          <w:b/>
          <w:i/>
          <w:color w:val="4C94D8" w:themeColor="text2" w:themeTint="80"/>
          <w:sz w:val="32"/>
          <w:szCs w:val="32"/>
        </w:rPr>
        <w:instrText xml:space="preserve">" </w:instrText>
      </w:r>
      <w:r w:rsidR="00CF1268">
        <w:rPr>
          <w:rFonts w:ascii="IvyPresto Display Thin" w:hAnsi="IvyPresto Display Thin" w:cs="IvyPresto Display Thin"/>
          <w:b/>
          <w:i/>
          <w:color w:val="4C94D8" w:themeColor="text2" w:themeTint="80"/>
          <w:sz w:val="32"/>
          <w:szCs w:val="32"/>
        </w:rPr>
        <w:fldChar w:fldCharType="end"/>
      </w:r>
      <w:r w:rsidR="005C5C1A" w:rsidRPr="005C5C1A">
        <w:rPr>
          <w:rFonts w:ascii="IvyPresto Display Thin" w:hAnsi="IvyPresto Display Thin" w:cs="IvyPresto Display Thin"/>
          <w:b/>
          <w:i/>
          <w:color w:val="4C94D8" w:themeColor="text2" w:themeTint="80"/>
          <w:sz w:val="32"/>
          <w:szCs w:val="32"/>
        </w:rPr>
        <w:t xml:space="preserve">s </w:t>
      </w:r>
    </w:p>
    <w:p w14:paraId="1FCFFB1A" w14:textId="570DB84D" w:rsidR="005C5C1A" w:rsidRPr="005C5C1A" w:rsidRDefault="005C5C1A" w:rsidP="00482B31">
      <w:pPr>
        <w:pBdr>
          <w:top w:val="nil"/>
          <w:left w:val="nil"/>
          <w:bottom w:val="nil"/>
          <w:right w:val="nil"/>
          <w:between w:val="nil"/>
        </w:pBdr>
        <w:spacing w:before="100" w:beforeAutospacing="1" w:after="100" w:afterAutospacing="1"/>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This section provides a detailed breakdown and financial quantification of the primary revenue generation levers enabled by the Cordance Health platform. Each opportunity is analyzed through a model that estimates both the per-instance revenue impact and the total extrapolated annual value for a representative health system.</w:t>
      </w:r>
    </w:p>
    <w:p w14:paraId="08E0D291" w14:textId="104A99B6" w:rsidR="00D07B22" w:rsidRPr="005C5C1A" w:rsidRDefault="00D07B22" w:rsidP="00D07B22">
      <w:pPr>
        <w:ind w:right="-810"/>
        <w:outlineLvl w:val="1"/>
        <w:rPr>
          <w:rFonts w:ascii="IvyPresto Display Thin" w:hAnsi="IvyPresto Display Thin" w:cs="IvyPresto Display Thin"/>
          <w:b/>
          <w:color w:val="215E99" w:themeColor="text2" w:themeTint="BF"/>
        </w:rPr>
      </w:pPr>
      <w:r w:rsidRPr="0066740E">
        <w:rPr>
          <w:rFonts w:ascii="IvyPresto Display Thin" w:hAnsi="IvyPresto Display Thin" w:cs="IvyPresto Display Thin"/>
          <w:b/>
          <w:color w:val="215E99" w:themeColor="text2" w:themeTint="BF"/>
        </w:rPr>
        <w:t>(</w:t>
      </w:r>
      <w:r w:rsidR="00875645">
        <w:rPr>
          <w:rFonts w:ascii="IvyPresto Display Thin" w:hAnsi="IvyPresto Display Thin" w:cs="IvyPresto Display Thin"/>
          <w:b/>
          <w:color w:val="215E99" w:themeColor="text2" w:themeTint="BF"/>
        </w:rPr>
        <w:t>2</w:t>
      </w:r>
      <w:r w:rsidR="002F5911" w:rsidRPr="0066740E">
        <w:rPr>
          <w:rFonts w:ascii="IvyPresto Display Thin" w:hAnsi="IvyPresto Display Thin" w:cs="IvyPresto Display Thin"/>
          <w:b/>
          <w:color w:val="215E99" w:themeColor="text2" w:themeTint="BF"/>
        </w:rPr>
        <w:t>a</w:t>
      </w:r>
      <w:r w:rsidRPr="0066740E">
        <w:rPr>
          <w:rFonts w:ascii="IvyPresto Display Thin" w:hAnsi="IvyPresto Display Thin" w:cs="IvyPresto Display Thin"/>
          <w:b/>
          <w:color w:val="215E99" w:themeColor="text2" w:themeTint="BF"/>
        </w:rPr>
        <w:t>.)</w:t>
      </w:r>
      <w:r w:rsidRPr="005C5C1A">
        <w:rPr>
          <w:rFonts w:ascii="IvyPresto Display Thin" w:hAnsi="IvyPresto Display Thin" w:cs="IvyPresto Display Thin"/>
          <w:b/>
          <w:color w:val="215E99" w:themeColor="text2" w:themeTint="BF"/>
        </w:rPr>
        <w:t xml:space="preserve"> </w:t>
      </w:r>
      <w:r w:rsidRPr="005C5C1A">
        <w:rPr>
          <w:rFonts w:ascii="PP Neue Montreal Book" w:hAnsi="PP Neue Montreal Book" w:cs="IvyPresto Display Thin"/>
          <w:b/>
          <w:color w:val="215E99" w:themeColor="text2" w:themeTint="BF"/>
        </w:rPr>
        <w:t>Enhancing Specialist Revenue Through</w:t>
      </w:r>
      <w:r w:rsidRPr="005C5C1A">
        <w:rPr>
          <w:rFonts w:ascii="IvyPresto Display Thin" w:hAnsi="IvyPresto Display Thin" w:cs="IvyPresto Display Thin"/>
          <w:b/>
          <w:color w:val="215E99" w:themeColor="text2" w:themeTint="BF"/>
        </w:rPr>
        <w:t xml:space="preserve"> </w:t>
      </w:r>
      <w:r w:rsidRPr="005C5C1A">
        <w:rPr>
          <w:rFonts w:ascii="IvyPresto Display Thin" w:hAnsi="IvyPresto Display Thin" w:cs="IvyPresto Display Thin"/>
          <w:bCs/>
          <w:i/>
          <w:iCs/>
          <w:color w:val="215E99" w:themeColor="text2" w:themeTint="BF"/>
        </w:rPr>
        <w:t xml:space="preserve">Optimized Case Mix (ENT Example) </w:t>
      </w:r>
    </w:p>
    <w:p w14:paraId="33FAA80B" w14:textId="77777777" w:rsidR="00D07B22" w:rsidRPr="005C5C1A" w:rsidRDefault="00D07B22" w:rsidP="00D07B22">
      <w:pPr>
        <w:pBdr>
          <w:top w:val="nil"/>
          <w:left w:val="nil"/>
          <w:bottom w:val="nil"/>
          <w:right w:val="nil"/>
          <w:between w:val="nil"/>
        </w:pBdr>
        <w:spacing w:after="240"/>
        <w:rPr>
          <w:rFonts w:ascii="PP Neue Montreal Book" w:eastAsia="Google Sans Text" w:hAnsi="PP Neue Montreal Book" w:cs="Google Sans Text"/>
          <w:color w:val="575B5F"/>
          <w:sz w:val="22"/>
          <w:szCs w:val="22"/>
          <w:vertAlign w:val="superscript"/>
        </w:rPr>
      </w:pPr>
      <w:r w:rsidRPr="005C5C1A">
        <w:rPr>
          <w:rFonts w:ascii="PP Neue Montreal Book" w:eastAsia="Google Sans Text" w:hAnsi="PP Neue Montreal Book" w:cs="Google Sans Text"/>
          <w:color w:val="1B1C1D"/>
          <w:sz w:val="22"/>
          <w:szCs w:val="22"/>
        </w:rPr>
        <w:t>A core challenge in managing high-value specialty service lines, such as surgery, is ensuring that the limited time of expert clinicians is dedicated to the most complex and appropriate cases. When a specialist's schedule becomes saturated with low-complexity consultations or routine follow-ups, it creates a bottleneck that prevents access for new, higher-acuity patients. This not only frustrates referring physicians and patients but also dilutes the potential revenue of the service line. By providing primary care physicians (PCPs) with better guidance for managing common conditions like chronic sinusitis, Cordance can help divert lower-complexity cases from specialists, freeing their capacity for higher-revenue surgical procedures. This strategic optimization of case mix aligns with the broader trend of high-performing hospitals improving margins by diversifying and intensifying their outpatient service offerings.</w:t>
      </w:r>
      <w:r w:rsidRPr="005C5C1A">
        <w:rPr>
          <w:rFonts w:ascii="PP Neue Montreal Book" w:eastAsia="Google Sans Text" w:hAnsi="PP Neue Montreal Book" w:cs="Google Sans Text"/>
          <w:color w:val="575B5F"/>
          <w:sz w:val="22"/>
          <w:szCs w:val="22"/>
          <w:vertAlign w:val="superscript"/>
        </w:rPr>
        <w:t>9</w:t>
      </w:r>
    </w:p>
    <w:p w14:paraId="320D7DA5" w14:textId="77777777" w:rsidR="00D07B22" w:rsidRPr="005C5C1A" w:rsidRDefault="00D07B22" w:rsidP="00D07B22">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The financial impact of this shift is substantial. The revenue generated from a complex surgical procedure is an order of magnitude greater than that from a diagnostic office visit. By enabling a surgeon to substitute even a small number of low-value appointments with high-value procedures, the platform can significantly increase the total billings per surgeon.</w:t>
      </w:r>
    </w:p>
    <w:p w14:paraId="4A9A0001" w14:textId="77777777" w:rsidR="00D07B22" w:rsidRDefault="00D07B22" w:rsidP="00D07B22">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Furthermore, this mechanism has a crucial secondary effect on network integrity. Long wait times for specialist appointments are a primary driver of patient dissatisfaction and referral leakage, a phenomenon where patients and their PCPs seek care outside the health system to get more timely access.</w:t>
      </w:r>
      <w:r w:rsidRPr="005C5C1A">
        <w:rPr>
          <w:rFonts w:ascii="PP Neue Montreal Book" w:eastAsia="Google Sans Text" w:hAnsi="PP Neue Montreal Book" w:cs="Google Sans Text"/>
          <w:color w:val="575B5F"/>
          <w:sz w:val="22"/>
          <w:szCs w:val="22"/>
          <w:vertAlign w:val="superscript"/>
        </w:rPr>
        <w:t>10</w:t>
      </w:r>
      <w:r w:rsidRPr="005C5C1A">
        <w:rPr>
          <w:rFonts w:ascii="PP Neue Montreal Book" w:eastAsia="Google Sans Text" w:hAnsi="PP Neue Montreal Book" w:cs="Google Sans Text"/>
          <w:color w:val="1B1C1D"/>
          <w:sz w:val="22"/>
          <w:szCs w:val="22"/>
        </w:rPr>
        <w:t xml:space="preserve"> This leakage can cost a health system hundreds of millions of dollars annually in lost revenue.</w:t>
      </w:r>
      <w:r w:rsidRPr="005C5C1A">
        <w:rPr>
          <w:rFonts w:ascii="PP Neue Montreal Book" w:eastAsia="Google Sans Text" w:hAnsi="PP Neue Montreal Book" w:cs="Google Sans Text"/>
          <w:color w:val="575B5F"/>
          <w:sz w:val="22"/>
          <w:szCs w:val="22"/>
          <w:vertAlign w:val="superscript"/>
        </w:rPr>
        <w:t>12</w:t>
      </w:r>
      <w:r w:rsidRPr="005C5C1A">
        <w:rPr>
          <w:rFonts w:ascii="PP Neue Montreal Book" w:eastAsia="Google Sans Text" w:hAnsi="PP Neue Montreal Book" w:cs="Google Sans Text"/>
          <w:color w:val="1B1C1D"/>
          <w:sz w:val="22"/>
          <w:szCs w:val="22"/>
        </w:rPr>
        <w:t xml:space="preserve"> By improving specialist availability for appropriate cases, Cordance not only increases the direct revenue generated by that specialist but also strengthens the health system's ability to retain high-value patients within its network, creating a virtuous cycle of improved throughput, enhanced revenue capture, and greater patient loyalty.</w:t>
      </w:r>
    </w:p>
    <w:p w14:paraId="10FEF0C5" w14:textId="77777777" w:rsidR="005C5C1A" w:rsidRPr="00A962A0" w:rsidRDefault="005C5C1A" w:rsidP="00A962A0">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p>
    <w:p w14:paraId="1F677735" w14:textId="77777777" w:rsidR="005C5C1A" w:rsidRPr="00482B31"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482B31">
        <w:rPr>
          <w:rFonts w:ascii="PP Neue Montreal Book" w:eastAsia="Google Sans" w:hAnsi="PP Neue Montreal Book" w:cs="Google Sans"/>
          <w:b/>
          <w:bCs/>
          <w:color w:val="215E99"/>
          <w:sz w:val="22"/>
          <w:szCs w:val="22"/>
        </w:rPr>
        <w:t>Financial Modeling and Estimation</w:t>
      </w:r>
    </w:p>
    <w:p w14:paraId="5F54E439" w14:textId="77777777" w:rsidR="00D07B22" w:rsidRPr="005C5C1A" w:rsidRDefault="00D07B22" w:rsidP="00D07B22">
      <w:pPr>
        <w:widowControl w:val="0"/>
        <w:numPr>
          <w:ilvl w:val="0"/>
          <w:numId w:val="22"/>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Revenue Per Example</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To quantify the per-instance value, this analysis compares the revenue from a low-complexity versus a high-complexity ENT procedure.</w:t>
      </w:r>
    </w:p>
    <w:p w14:paraId="56C452D8" w14:textId="77777777" w:rsidR="00D07B22" w:rsidRPr="005C5C1A" w:rsidRDefault="00D07B22" w:rsidP="00D07B22">
      <w:pPr>
        <w:widowControl w:val="0"/>
        <w:numPr>
          <w:ilvl w:val="1"/>
          <w:numId w:val="23"/>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Low-Complexity Procedure:</w:t>
      </w:r>
      <w:r w:rsidRPr="005C5C1A">
        <w:rPr>
          <w:rFonts w:ascii="PP Neue Montreal Book" w:eastAsia="Google Sans Text" w:hAnsi="PP Neue Montreal Book" w:cs="Google Sans Text"/>
          <w:color w:val="1B1C1D"/>
          <w:sz w:val="22"/>
          <w:szCs w:val="22"/>
        </w:rPr>
        <w:t xml:space="preserve"> A standard diagnostic nasal endoscopy, identified by CPT code 31231, has a national average Medicare non-facility reimbursement of approximately </w:t>
      </w:r>
      <w:r w:rsidRPr="005C5C1A">
        <w:rPr>
          <w:rFonts w:ascii="PP Neue Montreal Book" w:eastAsia="Google Sans Text" w:hAnsi="PP Neue Montreal Book" w:cs="Google Sans Text"/>
          <w:b/>
          <w:color w:val="1B1C1D"/>
          <w:sz w:val="22"/>
          <w:szCs w:val="22"/>
        </w:rPr>
        <w:t>$184</w:t>
      </w:r>
      <w:r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575B5F"/>
          <w:sz w:val="22"/>
          <w:szCs w:val="22"/>
          <w:vertAlign w:val="superscript"/>
        </w:rPr>
        <w:t>14</w:t>
      </w:r>
    </w:p>
    <w:p w14:paraId="44AB1723" w14:textId="77777777" w:rsidR="00D07B22" w:rsidRPr="005C5C1A" w:rsidRDefault="00D07B22" w:rsidP="00D07B22">
      <w:pPr>
        <w:widowControl w:val="0"/>
        <w:numPr>
          <w:ilvl w:val="1"/>
          <w:numId w:val="23"/>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High-Complexity Procedure:</w:t>
      </w:r>
      <w:r w:rsidRPr="005C5C1A">
        <w:rPr>
          <w:rFonts w:ascii="PP Neue Montreal Book" w:eastAsia="Google Sans Text" w:hAnsi="PP Neue Montreal Book" w:cs="Google Sans Text"/>
          <w:color w:val="1B1C1D"/>
          <w:sz w:val="22"/>
          <w:szCs w:val="22"/>
        </w:rPr>
        <w:t xml:space="preserve"> A surgical procedure such as a total ethmoidectomy (CPT code 31255) generates significantly more revenue. While the physician's facility fee may be around $312, the total payment to the hospital for the associated Ambulatory Payment Classification (APC 5165) can be as high as $5,916.</w:t>
      </w:r>
      <w:r w:rsidRPr="005C5C1A">
        <w:rPr>
          <w:rFonts w:ascii="PP Neue Montreal Book" w:eastAsia="Google Sans Text" w:hAnsi="PP Neue Montreal Book" w:cs="Google Sans Text"/>
          <w:color w:val="575B5F"/>
          <w:sz w:val="22"/>
          <w:szCs w:val="22"/>
          <w:vertAlign w:val="superscript"/>
        </w:rPr>
        <w:t>15</w:t>
      </w:r>
      <w:r w:rsidRPr="005C5C1A">
        <w:rPr>
          <w:rFonts w:ascii="PP Neue Montreal Book" w:eastAsia="Google Sans Text" w:hAnsi="PP Neue Montreal Book" w:cs="Google Sans Text"/>
          <w:color w:val="1B1C1D"/>
          <w:sz w:val="22"/>
          <w:szCs w:val="22"/>
        </w:rPr>
        <w:t xml:space="preserve"> A conservative, blended revenue estimate (including facility and professional fees) for a complex surgical case is</w:t>
      </w:r>
      <w:r w:rsidRPr="005C5C1A">
        <w:rPr>
          <w:rFonts w:ascii="PP Neue Montreal Book" w:hAnsi="PP Neue Montreal Book"/>
          <w:color w:val="000000"/>
          <w:sz w:val="22"/>
          <w:szCs w:val="22"/>
        </w:rPr>
        <w:t xml:space="preserve"> </w:t>
      </w:r>
      <w:r w:rsidRPr="005C5C1A">
        <w:rPr>
          <w:rFonts w:ascii="PP Neue Montreal Book" w:eastAsia="Google Sans Text" w:hAnsi="PP Neue Montreal Book" w:cs="Google Sans Text"/>
          <w:b/>
          <w:color w:val="1B1C1D"/>
          <w:sz w:val="22"/>
          <w:szCs w:val="22"/>
        </w:rPr>
        <w:t>$3,000</w:t>
      </w:r>
      <w:r w:rsidRPr="005C5C1A">
        <w:rPr>
          <w:rFonts w:ascii="PP Neue Montreal Book" w:eastAsia="Google Sans Text" w:hAnsi="PP Neue Montreal Book" w:cs="Google Sans Text"/>
          <w:color w:val="1B1C1D"/>
          <w:sz w:val="22"/>
          <w:szCs w:val="22"/>
        </w:rPr>
        <w:t>.</w:t>
      </w:r>
    </w:p>
    <w:p w14:paraId="72A37E6A" w14:textId="77777777" w:rsidR="00D07B22" w:rsidRPr="005C5C1A" w:rsidRDefault="00D07B22" w:rsidP="00D07B22">
      <w:pPr>
        <w:widowControl w:val="0"/>
        <w:numPr>
          <w:ilvl w:val="1"/>
          <w:numId w:val="23"/>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Revenue Uplift:</w:t>
      </w:r>
      <w:r w:rsidRPr="005C5C1A">
        <w:rPr>
          <w:rFonts w:ascii="PP Neue Montreal Book" w:eastAsia="Google Sans Text" w:hAnsi="PP Neue Montreal Book" w:cs="Google Sans Text"/>
          <w:color w:val="1B1C1D"/>
          <w:sz w:val="22"/>
          <w:szCs w:val="22"/>
        </w:rPr>
        <w:t xml:space="preserve"> Shifting a single surgical slot from a diagnostic scope to a surgical procedure can therefore increase revenue by over $2,800.</w:t>
      </w:r>
    </w:p>
    <w:p w14:paraId="0535AD82" w14:textId="77777777" w:rsidR="00D07B22" w:rsidRPr="005C5C1A" w:rsidRDefault="00D07B22" w:rsidP="00D07B22">
      <w:pPr>
        <w:widowControl w:val="0"/>
        <w:numPr>
          <w:ilvl w:val="0"/>
          <w:numId w:val="22"/>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Annual Health System Extrapolation:</w:t>
      </w:r>
      <w:r w:rsidRPr="005C5C1A">
        <w:rPr>
          <w:rFonts w:ascii="PP Neue Montreal Book" w:eastAsia="Google Sans Text" w:hAnsi="PP Neue Montreal Book" w:cs="Google Sans Text"/>
          <w:color w:val="1B1C1D"/>
          <w:sz w:val="22"/>
          <w:szCs w:val="22"/>
        </w:rPr>
        <w:t xml:space="preserve"> The annual impact is modeled for a group of five ENT surgeons.</w:t>
      </w:r>
    </w:p>
    <w:p w14:paraId="774E1796" w14:textId="77777777" w:rsidR="00D07B22" w:rsidRPr="005C5C1A" w:rsidRDefault="00D07B22" w:rsidP="00D07B22">
      <w:pPr>
        <w:widowControl w:val="0"/>
        <w:numPr>
          <w:ilvl w:val="1"/>
          <w:numId w:val="2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Surgeon Caseload:</w:t>
      </w:r>
      <w:r w:rsidRPr="005C5C1A">
        <w:rPr>
          <w:rFonts w:ascii="PP Neue Montreal Book" w:eastAsia="Google Sans Text" w:hAnsi="PP Neue Montreal Book" w:cs="Google Sans Text"/>
          <w:color w:val="1B1C1D"/>
          <w:sz w:val="22"/>
          <w:szCs w:val="22"/>
        </w:rPr>
        <w:t xml:space="preserve"> A busy ENT surgeon is assumed to perform approximately 10 major procedures per week, totaling around 480 per year (assuming 48 working weeks).</w:t>
      </w:r>
    </w:p>
    <w:p w14:paraId="09EBBAA6" w14:textId="77777777" w:rsidR="00D07B22" w:rsidRPr="005C5C1A" w:rsidRDefault="00D07B22" w:rsidP="00D07B22">
      <w:pPr>
        <w:widowControl w:val="0"/>
        <w:numPr>
          <w:ilvl w:val="1"/>
          <w:numId w:val="2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by diverting low-complexity cases, Cordance enables each surgeon to perform just </w:t>
      </w:r>
      <w:r w:rsidRPr="005C5C1A">
        <w:rPr>
          <w:rFonts w:ascii="PP Neue Montreal Book" w:eastAsia="Google Sans Text" w:hAnsi="PP Neue Montreal Book" w:cs="Google Sans Text"/>
          <w:b/>
          <w:color w:val="1B1C1D"/>
          <w:sz w:val="22"/>
          <w:szCs w:val="22"/>
        </w:rPr>
        <w:t>one additional high-complexity procedure per week</w:t>
      </w:r>
      <w:r w:rsidRPr="005C5C1A">
        <w:rPr>
          <w:rFonts w:ascii="PP Neue Montreal Book" w:eastAsia="Google Sans Text" w:hAnsi="PP Neue Montreal Book" w:cs="Google Sans Text"/>
          <w:color w:val="1B1C1D"/>
          <w:sz w:val="22"/>
          <w:szCs w:val="22"/>
        </w:rPr>
        <w:t>. This represents a modest 10% increase in high-value surgical volume.</w:t>
      </w:r>
    </w:p>
    <w:p w14:paraId="33642E06" w14:textId="77777777" w:rsidR="00D07B22" w:rsidRPr="005C5C1A" w:rsidRDefault="00D07B22" w:rsidP="00D07B22">
      <w:pPr>
        <w:widowControl w:val="0"/>
        <w:numPr>
          <w:ilvl w:val="1"/>
          <w:numId w:val="2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 (per surgeon):</w:t>
      </w:r>
      <w:r w:rsidRPr="005C5C1A">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1</w:t>
      </w:r>
      <w:r>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week</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additional procedure​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48</w:t>
      </w:r>
      <w:r>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year</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weeks​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$3,000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procedure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revenue​=$144,000 per surgeon</w:t>
      </w:r>
    </w:p>
    <w:p w14:paraId="25466D1B" w14:textId="77777777" w:rsidR="00D07B22" w:rsidRPr="005C5C1A" w:rsidRDefault="00D07B22" w:rsidP="00D07B22">
      <w:pPr>
        <w:widowControl w:val="0"/>
        <w:numPr>
          <w:ilvl w:val="1"/>
          <w:numId w:val="24"/>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 (5 surgeons):</w:t>
      </w:r>
      <w:r w:rsidRPr="005C5C1A">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$144,000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5 surgeons=</w:t>
      </w:r>
      <w:r>
        <w:rPr>
          <w:rFonts w:ascii="PP Neue Montreal Book" w:eastAsia="Google Sans Text" w:hAnsi="PP Neue Montreal Book" w:cs="Google Sans Text"/>
          <w:color w:val="1B1C1D"/>
          <w:sz w:val="22"/>
          <w:szCs w:val="22"/>
        </w:rPr>
        <w:t xml:space="preserve"> </w:t>
      </w:r>
      <w:r w:rsidRPr="00814AC9">
        <w:rPr>
          <w:rFonts w:ascii="PP Neue Montreal Book" w:eastAsia="Google Sans Text" w:hAnsi="PP Neue Montreal Book" w:cs="Google Sans Text"/>
          <w:b/>
          <w:bCs/>
          <w:color w:val="1B1C1D"/>
          <w:sz w:val="22"/>
          <w:szCs w:val="22"/>
        </w:rPr>
        <w:t>$720,000 annually</w:t>
      </w:r>
    </w:p>
    <w:p w14:paraId="19D45EE1" w14:textId="77777777" w:rsidR="00D07B22" w:rsidRDefault="00D07B22" w:rsidP="00D07B22">
      <w:pPr>
        <w:widowControl w:val="0"/>
        <w:pBdr>
          <w:top w:val="nil"/>
          <w:left w:val="nil"/>
          <w:bottom w:val="nil"/>
          <w:right w:val="nil"/>
          <w:between w:val="nil"/>
        </w:pBdr>
        <w:spacing w:before="0" w:after="120"/>
        <w:ind w:left="885"/>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We further extrapolation to $10 million for "all surgeons" assuming approximately 70 surgeons across various specialties could achieve a similar uplift (144,000</w:t>
      </w:r>
      <w:r w:rsidRPr="005C5C1A">
        <w:rPr>
          <w:rFonts w:ascii="Cambria Math" w:eastAsia="Google Sans Text" w:hAnsi="Cambria Math" w:cs="Cambria Math"/>
          <w:color w:val="1B1C1D"/>
          <w:sz w:val="22"/>
          <w:szCs w:val="22"/>
        </w:rPr>
        <w:t>∗</w:t>
      </w:r>
      <w:r w:rsidRPr="005C5C1A">
        <w:rPr>
          <w:rFonts w:ascii="PP Neue Montreal Book" w:eastAsia="Google Sans Text" w:hAnsi="PP Neue Montreal Book" w:cs="Google Sans Text"/>
          <w:color w:val="1B1C1D"/>
          <w:sz w:val="22"/>
          <w:szCs w:val="22"/>
        </w:rPr>
        <w:t>70≈</w:t>
      </w:r>
      <w:r w:rsidRPr="00D07B22">
        <w:rPr>
          <w:rFonts w:ascii="PP Neue Montreal Book" w:eastAsia="Google Sans Text" w:hAnsi="PP Neue Montreal Book" w:cs="Google Sans Text"/>
          <w:b/>
          <w:bCs/>
          <w:color w:val="1B1C1D"/>
          <w:sz w:val="22"/>
          <w:szCs w:val="22"/>
        </w:rPr>
        <w:t>$10M</w:t>
      </w:r>
      <w:r w:rsidRPr="005C5C1A">
        <w:rPr>
          <w:rFonts w:ascii="PP Neue Montreal Book" w:eastAsia="Google Sans Text" w:hAnsi="PP Neue Montreal Book" w:cs="Google Sans Text"/>
          <w:color w:val="1B1C1D"/>
          <w:sz w:val="22"/>
          <w:szCs w:val="22"/>
        </w:rPr>
        <w:t>).</w:t>
      </w:r>
    </w:p>
    <w:p w14:paraId="10DB6327" w14:textId="77777777" w:rsidR="005C5C1A" w:rsidRPr="005C5C1A" w:rsidRDefault="005C5C1A" w:rsidP="005C5C1A">
      <w:pPr>
        <w:ind w:right="-810"/>
        <w:outlineLvl w:val="1"/>
        <w:rPr>
          <w:rFonts w:ascii="PP Neue Montreal Medium" w:hAnsi="PP Neue Montreal Medium"/>
          <w:color w:val="156082" w:themeColor="accent1"/>
        </w:rPr>
      </w:pPr>
    </w:p>
    <w:p w14:paraId="22CDBB14" w14:textId="6ACD3E68" w:rsidR="0066740E" w:rsidRPr="00482B31" w:rsidRDefault="0066740E" w:rsidP="0066740E">
      <w:pPr>
        <w:spacing w:after="40"/>
        <w:rPr>
          <w:rFonts w:ascii="IvyPresto Display Thin" w:hAnsi="IvyPresto Display Thin" w:cs="IvyPresto Display Thin"/>
          <w:b/>
          <w:color w:val="215E99"/>
        </w:rPr>
      </w:pPr>
      <w:r w:rsidRPr="00482B31">
        <w:rPr>
          <w:rFonts w:ascii="IvyPresto Display Thin" w:hAnsi="IvyPresto Display Thin" w:cs="IvyPresto Display Thin"/>
          <w:b/>
          <w:color w:val="215E99"/>
        </w:rPr>
        <w:t>(</w:t>
      </w:r>
      <w:r w:rsidR="00875645">
        <w:rPr>
          <w:rFonts w:ascii="IvyPresto Display Thin" w:hAnsi="IvyPresto Display Thin" w:cs="IvyPresto Display Thin"/>
          <w:b/>
          <w:color w:val="215E99"/>
        </w:rPr>
        <w:t>2</w:t>
      </w:r>
      <w:r>
        <w:rPr>
          <w:rFonts w:ascii="IvyPresto Display Thin" w:hAnsi="IvyPresto Display Thin" w:cs="IvyPresto Display Thin"/>
          <w:b/>
          <w:color w:val="215E99"/>
        </w:rPr>
        <w:t>b</w:t>
      </w:r>
      <w:r w:rsidRPr="00482B31">
        <w:rPr>
          <w:rFonts w:ascii="IvyPresto Display Thin" w:hAnsi="IvyPresto Display Thin" w:cs="IvyPresto Display Thin"/>
          <w:b/>
          <w:color w:val="215E99"/>
        </w:rPr>
        <w:t xml:space="preserve">.) </w:t>
      </w:r>
      <w:r w:rsidRPr="00482B31">
        <w:rPr>
          <w:rFonts w:ascii="PP Neue Montreal Book" w:hAnsi="PP Neue Montreal Book" w:cs="IvyPresto Display Thin"/>
          <w:b/>
          <w:color w:val="215E99"/>
        </w:rPr>
        <w:t xml:space="preserve">Quantifying the Long-Term Value of </w:t>
      </w:r>
      <w:r w:rsidRPr="00482B31">
        <w:rPr>
          <w:rFonts w:ascii="IvyPresto Display Thin" w:hAnsi="IvyPresto Display Thin" w:cs="IvyPresto Display Thin"/>
          <w:bCs/>
          <w:i/>
          <w:iCs/>
          <w:color w:val="215E99"/>
        </w:rPr>
        <w:t>Improved Market Share</w:t>
      </w:r>
    </w:p>
    <w:p w14:paraId="498EB838" w14:textId="77777777" w:rsidR="0066740E" w:rsidRPr="005C5C1A" w:rsidRDefault="0066740E" w:rsidP="0066740E">
      <w:pPr>
        <w:pBdr>
          <w:top w:val="nil"/>
          <w:left w:val="nil"/>
          <w:bottom w:val="nil"/>
          <w:right w:val="nil"/>
          <w:between w:val="nil"/>
        </w:pBdr>
        <w:spacing w:before="0" w:after="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Beyond immediate operational efficiencies, the Cordance platform is designed to enhance the two most critical elements of a health system's brand and reputation: the patient experience and the physician work environment. This creates a powerful, albeit longer-term, financial benefit by increasing market share. A health system that is known for providing seamless, low-stress care and is a less burdensome place to practice medicine will naturally attract more patients and have an easier time recruiting and retaining top clinical talent.</w:t>
      </w:r>
    </w:p>
    <w:p w14:paraId="033E20E7" w14:textId="77777777" w:rsidR="0066740E" w:rsidRPr="005C5C1A" w:rsidRDefault="0066740E" w:rsidP="0066740E">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 xml:space="preserve">The link between patient experience and financial performance is well-established. Research from Accenture found that U.S. hospitals delivering a "superior" patient experience achieve net margins that are </w:t>
      </w:r>
      <w:r w:rsidRPr="005C5C1A">
        <w:rPr>
          <w:rFonts w:ascii="PP Neue Montreal Book" w:eastAsia="Google Sans Text" w:hAnsi="PP Neue Montreal Book" w:cs="Google Sans Text"/>
          <w:b/>
          <w:color w:val="1B1C1D"/>
          <w:sz w:val="22"/>
          <w:szCs w:val="22"/>
        </w:rPr>
        <w:t>50% higher</w:t>
      </w:r>
      <w:r w:rsidRPr="005C5C1A">
        <w:rPr>
          <w:rFonts w:ascii="PP Neue Montreal Book" w:eastAsia="Google Sans Text" w:hAnsi="PP Neue Montreal Book" w:cs="Google Sans Text"/>
          <w:color w:val="1B1C1D"/>
          <w:sz w:val="22"/>
          <w:szCs w:val="22"/>
        </w:rPr>
        <w:t xml:space="preserve"> on average than their peers.</w:t>
      </w:r>
      <w:r w:rsidRPr="005C5C1A">
        <w:rPr>
          <w:rFonts w:ascii="PP Neue Montreal Book" w:eastAsia="Google Sans Text" w:hAnsi="PP Neue Montreal Book" w:cs="Google Sans Text"/>
          <w:color w:val="575B5F"/>
          <w:sz w:val="22"/>
          <w:szCs w:val="22"/>
          <w:vertAlign w:val="superscript"/>
        </w:rPr>
        <w:t>24</w:t>
      </w:r>
      <w:r w:rsidRPr="005C5C1A">
        <w:rPr>
          <w:rFonts w:ascii="PP Neue Montreal Book" w:eastAsia="Google Sans Text" w:hAnsi="PP Neue Montreal Book" w:cs="Google Sans Text"/>
          <w:color w:val="1B1C1D"/>
          <w:sz w:val="22"/>
          <w:szCs w:val="22"/>
        </w:rPr>
        <w:t xml:space="preserve"> Similarly, a Deloitte analysis demonstrated that a 10 percentage point increase in top-box patient satisfaction ratings (as measured by HCAHPS) is associated with a</w:t>
      </w:r>
    </w:p>
    <w:p w14:paraId="0180E842" w14:textId="77777777" w:rsidR="0066740E" w:rsidRDefault="0066740E" w:rsidP="0066740E">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b/>
          <w:color w:val="1B1C1D"/>
          <w:sz w:val="22"/>
          <w:szCs w:val="22"/>
        </w:rPr>
        <w:t>1.4 percentage point increase in a hospital's net margin</w:t>
      </w:r>
      <w:r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575B5F"/>
          <w:sz w:val="22"/>
          <w:szCs w:val="22"/>
          <w:vertAlign w:val="superscript"/>
        </w:rPr>
        <w:t>25</w:t>
      </w:r>
      <w:r w:rsidRPr="005C5C1A">
        <w:rPr>
          <w:rFonts w:ascii="PP Neue Montreal Book" w:eastAsia="Google Sans Text" w:hAnsi="PP Neue Montreal Book" w:cs="Google Sans Text"/>
          <w:color w:val="1B1C1D"/>
          <w:sz w:val="22"/>
          <w:szCs w:val="22"/>
        </w:rPr>
        <w:t xml:space="preserve"> By reducing administrative friction for physicians and facilitating better, more coordinated care for patients, Cordance directly contributes to the factors that drive these superior outcomes.</w:t>
      </w:r>
    </w:p>
    <w:p w14:paraId="495AD125" w14:textId="77777777" w:rsidR="005C5C1A" w:rsidRPr="005C5C1A" w:rsidRDefault="005C5C1A"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p>
    <w:p w14:paraId="3C164683" w14:textId="77777777" w:rsidR="005C5C1A" w:rsidRPr="00BF7100" w:rsidRDefault="005C5C1A" w:rsidP="002555C1">
      <w:pPr>
        <w:keepNext/>
        <w:keepLines/>
        <w:spacing w:before="0" w:after="120"/>
        <w:outlineLvl w:val="3"/>
        <w:rPr>
          <w:rFonts w:ascii="PP Neue Montreal Book" w:eastAsia="Google Sans" w:hAnsi="PP Neue Montreal Book" w:cs="Google Sans"/>
          <w:b/>
          <w:bCs/>
          <w:color w:val="156082" w:themeColor="accent1"/>
          <w:sz w:val="22"/>
          <w:szCs w:val="22"/>
        </w:rPr>
      </w:pPr>
      <w:r w:rsidRPr="005C5C1A">
        <w:rPr>
          <w:rFonts w:ascii="PP Neue Montreal Book" w:eastAsia="Google Sans" w:hAnsi="PP Neue Montreal Book" w:cs="Google Sans"/>
          <w:b/>
          <w:bCs/>
          <w:color w:val="156082" w:themeColor="accent1"/>
          <w:sz w:val="22"/>
          <w:szCs w:val="22"/>
        </w:rPr>
        <w:t>Financial Modeling and Estimation</w:t>
      </w:r>
    </w:p>
    <w:p w14:paraId="3D9BE0AA" w14:textId="77777777" w:rsidR="0066740E" w:rsidRPr="005C5C1A" w:rsidRDefault="0066740E" w:rsidP="0066740E">
      <w:pPr>
        <w:widowControl w:val="0"/>
        <w:numPr>
          <w:ilvl w:val="0"/>
          <w:numId w:val="3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Value Per Example:</w:t>
      </w:r>
      <w:r w:rsidRPr="005C5C1A">
        <w:rPr>
          <w:rFonts w:ascii="PP Neue Montreal Book" w:eastAsia="Google Sans Text" w:hAnsi="PP Neue Montreal Book" w:cs="Google Sans Text"/>
          <w:color w:val="1B1C1D"/>
          <w:sz w:val="22"/>
          <w:szCs w:val="22"/>
        </w:rPr>
        <w:t xml:space="preserve"> This value is best framed as an incremental increase in the health system's overall revenue. For a large health system with $3 billion in annual revenue, even a fractional gain in market share translates into millions of dollars. A 1% increase, for example, would represent $30 million in new top-line revenue.</w:t>
      </w:r>
    </w:p>
    <w:p w14:paraId="2006A1C4" w14:textId="77777777" w:rsidR="0066740E" w:rsidRPr="005C5C1A" w:rsidRDefault="0066740E" w:rsidP="0066740E">
      <w:pPr>
        <w:widowControl w:val="0"/>
        <w:numPr>
          <w:ilvl w:val="0"/>
          <w:numId w:val="3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Annual Health System Extrapolation:</w:t>
      </w:r>
    </w:p>
    <w:p w14:paraId="3978A509" w14:textId="77777777" w:rsidR="0066740E" w:rsidRPr="005C5C1A" w:rsidRDefault="0066740E" w:rsidP="0066740E">
      <w:pPr>
        <w:widowControl w:val="0"/>
        <w:numPr>
          <w:ilvl w:val="1"/>
          <w:numId w:val="32"/>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Revenue Base:</w:t>
      </w:r>
      <w:r w:rsidRPr="005C5C1A">
        <w:rPr>
          <w:rFonts w:ascii="PP Neue Montreal Book" w:eastAsia="Google Sans Text" w:hAnsi="PP Neue Montreal Book" w:cs="Google Sans Text"/>
          <w:color w:val="1B1C1D"/>
          <w:sz w:val="22"/>
          <w:szCs w:val="22"/>
        </w:rPr>
        <w:t xml:space="preserve"> A health system serving 2 million patients is assumed to have a total annual revenue base of </w:t>
      </w:r>
      <w:r w:rsidRPr="005C5C1A">
        <w:rPr>
          <w:rFonts w:ascii="PP Neue Montreal Book" w:eastAsia="Google Sans Text" w:hAnsi="PP Neue Montreal Book" w:cs="Google Sans Text"/>
          <w:b/>
          <w:color w:val="1B1C1D"/>
          <w:sz w:val="22"/>
          <w:szCs w:val="22"/>
        </w:rPr>
        <w:t>$3 billion</w:t>
      </w:r>
      <w:r w:rsidRPr="005C5C1A">
        <w:rPr>
          <w:rFonts w:ascii="PP Neue Montreal Book" w:eastAsia="Google Sans Text" w:hAnsi="PP Neue Montreal Book" w:cs="Google Sans Text"/>
          <w:color w:val="1B1C1D"/>
          <w:sz w:val="22"/>
          <w:szCs w:val="22"/>
        </w:rPr>
        <w:t>.</w:t>
      </w:r>
    </w:p>
    <w:p w14:paraId="64601306" w14:textId="77777777" w:rsidR="0066740E" w:rsidRPr="005C5C1A" w:rsidRDefault="0066740E" w:rsidP="0066740E">
      <w:pPr>
        <w:widowControl w:val="0"/>
        <w:numPr>
          <w:ilvl w:val="1"/>
          <w:numId w:val="32"/>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This model assumes a highly conservative, long-term impact. Over a period of three years, the cumulative effect of the improved patient and physician experience driven by Cordance is projected to contribute to a </w:t>
      </w:r>
      <w:r w:rsidRPr="005C5C1A">
        <w:rPr>
          <w:rFonts w:ascii="PP Neue Montreal Book" w:eastAsia="Google Sans Text" w:hAnsi="PP Neue Montreal Book" w:cs="Google Sans Text"/>
          <w:b/>
          <w:color w:val="1B1C1D"/>
          <w:sz w:val="22"/>
          <w:szCs w:val="22"/>
        </w:rPr>
        <w:t>0.25% increase</w:t>
      </w:r>
      <w:r w:rsidRPr="005C5C1A">
        <w:rPr>
          <w:rFonts w:ascii="PP Neue Montreal Book" w:eastAsia="Google Sans Text" w:hAnsi="PP Neue Montreal Book" w:cs="Google Sans Text"/>
          <w:color w:val="1B1C1D"/>
          <w:sz w:val="22"/>
          <w:szCs w:val="22"/>
        </w:rPr>
        <w:t xml:space="preserve"> in the system's overall annual revenue. This gain reflects a combination of increased patient loyalty, stronger word-of-mouth referrals, and a superior ability to attract and retain productive clinicians.</w:t>
      </w:r>
    </w:p>
    <w:p w14:paraId="09400966" w14:textId="0D8E90FE" w:rsidR="005C5C1A" w:rsidRPr="0066740E" w:rsidRDefault="0066740E" w:rsidP="0066740E">
      <w:pPr>
        <w:widowControl w:val="0"/>
        <w:numPr>
          <w:ilvl w:val="1"/>
          <w:numId w:val="32"/>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$3,000,000,000 annual revenue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0.0025</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FC53C4">
        <w:rPr>
          <w:rFonts w:ascii="PP Neue Montreal Book" w:eastAsia="Google Sans Text" w:hAnsi="PP Neue Montreal Book" w:cs="Google Sans Text"/>
          <w:b/>
          <w:bCs/>
          <w:color w:val="1B1C1D"/>
          <w:sz w:val="22"/>
          <w:szCs w:val="22"/>
        </w:rPr>
        <w:t>$7,500,000 annually</w:t>
      </w:r>
      <w:r w:rsidRPr="005C5C1A">
        <w:rPr>
          <w:rFonts w:ascii="PP Neue Montreal Book" w:hAnsi="PP Neue Montreal Book"/>
          <w:color w:val="000000"/>
          <w:sz w:val="22"/>
          <w:szCs w:val="22"/>
        </w:rPr>
        <w:br/>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color w:val="1B1C1D"/>
          <w:sz w:val="22"/>
          <w:szCs w:val="22"/>
        </w:rPr>
        <w:t>This figure represents a strategic, long-term benefit that accrues from fundamentally improving the core operations and reputation of the health system.</w:t>
      </w:r>
    </w:p>
    <w:p w14:paraId="506FB456" w14:textId="77777777" w:rsidR="00A962A0" w:rsidRPr="00A962A0" w:rsidRDefault="00A962A0" w:rsidP="00A962A0">
      <w:pPr>
        <w:widowControl w:val="0"/>
        <w:pBdr>
          <w:top w:val="nil"/>
          <w:left w:val="nil"/>
          <w:bottom w:val="nil"/>
          <w:right w:val="nil"/>
          <w:between w:val="nil"/>
        </w:pBdr>
        <w:spacing w:before="0" w:after="120"/>
        <w:rPr>
          <w:rFonts w:ascii="PP Neue Montreal Book" w:eastAsia="Google Sans Text" w:hAnsi="PP Neue Montreal Book" w:cs="Google Sans Text"/>
          <w:color w:val="1B1C1D"/>
          <w:sz w:val="22"/>
          <w:szCs w:val="22"/>
        </w:rPr>
      </w:pPr>
    </w:p>
    <w:p w14:paraId="553D1A9C" w14:textId="77777777" w:rsidR="000C59E7" w:rsidRDefault="000C59E7" w:rsidP="00095483">
      <w:pPr>
        <w:spacing w:before="360" w:after="0"/>
        <w:rPr>
          <w:rFonts w:ascii="IvyPresto Display Thin" w:hAnsi="IvyPresto Display Thin" w:cs="IvyPresto Display Thin"/>
          <w:b/>
          <w:color w:val="215E99"/>
        </w:rPr>
      </w:pPr>
    </w:p>
    <w:p w14:paraId="21D93F0E" w14:textId="55EC2C50" w:rsidR="005C5C1A" w:rsidRPr="00482B31" w:rsidRDefault="005C5C1A" w:rsidP="00095483">
      <w:pPr>
        <w:spacing w:before="360" w:after="0"/>
        <w:rPr>
          <w:rFonts w:ascii="IvyPresto Display Thin" w:hAnsi="IvyPresto Display Thin" w:cs="IvyPresto Display Thin"/>
          <w:b/>
          <w:color w:val="215E99"/>
        </w:rPr>
      </w:pPr>
      <w:r w:rsidRPr="00482B31">
        <w:rPr>
          <w:rFonts w:ascii="IvyPresto Display Thin" w:hAnsi="IvyPresto Display Thin" w:cs="IvyPresto Display Thin"/>
          <w:b/>
          <w:color w:val="215E99"/>
        </w:rPr>
        <w:t>(</w:t>
      </w:r>
      <w:r w:rsidR="00875645">
        <w:rPr>
          <w:rFonts w:ascii="IvyPresto Display Thin" w:hAnsi="IvyPresto Display Thin" w:cs="IvyPresto Display Thin"/>
          <w:b/>
          <w:color w:val="215E99"/>
        </w:rPr>
        <w:t>2</w:t>
      </w:r>
      <w:r w:rsidRPr="00482B31">
        <w:rPr>
          <w:rFonts w:ascii="IvyPresto Display Thin" w:hAnsi="IvyPresto Display Thin" w:cs="IvyPresto Display Thin"/>
          <w:b/>
          <w:color w:val="215E99"/>
        </w:rPr>
        <w:t xml:space="preserve">c.) </w:t>
      </w:r>
      <w:r w:rsidRPr="00482B31">
        <w:rPr>
          <w:rFonts w:ascii="PP Neue Montreal Book" w:hAnsi="PP Neue Montreal Book" w:cs="IvyPresto Display Thin"/>
          <w:b/>
          <w:color w:val="215E99"/>
        </w:rPr>
        <w:t>Recapturing Revenue</w:t>
      </w:r>
      <w:r w:rsidRPr="00482B31">
        <w:rPr>
          <w:rFonts w:ascii="PP Neue Montreal" w:hAnsi="PP Neue Montreal"/>
          <w:b/>
          <w:color w:val="215E99"/>
        </w:rPr>
        <w:t xml:space="preserve"> </w:t>
      </w:r>
      <w:r w:rsidRPr="00482B31">
        <w:rPr>
          <w:rFonts w:ascii="PP Neue Montreal Book" w:hAnsi="PP Neue Montreal Book" w:cs="IvyPresto Display Thin"/>
          <w:b/>
          <w:color w:val="215E99"/>
        </w:rPr>
        <w:t xml:space="preserve">by </w:t>
      </w:r>
      <w:r w:rsidRPr="00482B31">
        <w:rPr>
          <w:rFonts w:ascii="IvyPresto Display Thin" w:hAnsi="IvyPresto Display Thin" w:cs="IvyPresto Display Thin"/>
          <w:bCs/>
          <w:i/>
          <w:iCs/>
          <w:color w:val="215E99"/>
        </w:rPr>
        <w:t>Reducing Referral Leakage (Imaging &amp; Specialist)</w:t>
      </w:r>
    </w:p>
    <w:p w14:paraId="2654D3AE" w14:textId="77777777" w:rsidR="005C5C1A" w:rsidRPr="005C5C1A" w:rsidRDefault="005C5C1A" w:rsidP="00095483">
      <w:pPr>
        <w:pBdr>
          <w:top w:val="nil"/>
          <w:left w:val="nil"/>
          <w:right w:val="nil"/>
          <w:between w:val="nil"/>
        </w:pBdr>
        <w:spacing w:after="0"/>
        <w:rPr>
          <w:rFonts w:ascii="PP Neue Montreal Book" w:eastAsia="Google Sans Text" w:hAnsi="PP Neue Montreal Book" w:cs="Google Sans Text"/>
          <w:color w:val="575B5F"/>
          <w:sz w:val="22"/>
          <w:szCs w:val="22"/>
          <w:vertAlign w:val="superscript"/>
        </w:rPr>
      </w:pPr>
      <w:r w:rsidRPr="005C5C1A">
        <w:rPr>
          <w:rFonts w:ascii="PP Neue Montreal Book" w:eastAsia="Google Sans Text" w:hAnsi="PP Neue Montreal Book" w:cs="Google Sans Text"/>
          <w:color w:val="1B1C1D"/>
          <w:sz w:val="22"/>
          <w:szCs w:val="22"/>
        </w:rPr>
        <w:t>Patient referral leakage—the process by which patients receive care from providers outside of their referring health system's network—is one of the most significant and pervasive sources of lost revenue in U.S. healthcare. Industry data indicates that a staggering 55% to 65% of all patient referrals are directed out-of-network, even when the required services are available in-house.</w:t>
      </w:r>
      <w:r w:rsidRPr="005C5C1A">
        <w:rPr>
          <w:rFonts w:ascii="PP Neue Montreal Book" w:eastAsia="Google Sans Text" w:hAnsi="PP Neue Montreal Book" w:cs="Google Sans Text"/>
          <w:color w:val="575B5F"/>
          <w:sz w:val="22"/>
          <w:szCs w:val="22"/>
          <w:vertAlign w:val="superscript"/>
        </w:rPr>
        <w:t>10</w:t>
      </w:r>
      <w:r w:rsidRPr="005C5C1A">
        <w:rPr>
          <w:rFonts w:ascii="PP Neue Montreal Book" w:eastAsia="Google Sans Text" w:hAnsi="PP Neue Montreal Book" w:cs="Google Sans Text"/>
          <w:color w:val="1B1C1D"/>
          <w:sz w:val="22"/>
          <w:szCs w:val="22"/>
        </w:rPr>
        <w:t xml:space="preserve"> This leakage translates into an annual financial toll ranging from $200 million to $500 million for an average hospital system.</w:t>
      </w:r>
      <w:r w:rsidRPr="005C5C1A">
        <w:rPr>
          <w:rFonts w:ascii="PP Neue Montreal Book" w:eastAsia="Google Sans Text" w:hAnsi="PP Neue Montreal Book" w:cs="Google Sans Text"/>
          <w:color w:val="575B5F"/>
          <w:sz w:val="22"/>
          <w:szCs w:val="22"/>
          <w:vertAlign w:val="superscript"/>
        </w:rPr>
        <w:t>12</w:t>
      </w:r>
      <w:r w:rsidRPr="005C5C1A">
        <w:rPr>
          <w:rFonts w:ascii="PP Neue Montreal Book" w:eastAsia="Google Sans Text" w:hAnsi="PP Neue Montreal Book" w:cs="Google Sans Text"/>
          <w:color w:val="1B1C1D"/>
          <w:sz w:val="22"/>
          <w:szCs w:val="22"/>
        </w:rPr>
        <w:t xml:space="preserve"> The primary drivers of leakage include a lack of physician awareness of in-network specialists, patient preference for convenience, and long wait times for in-network appointments.</w:t>
      </w:r>
      <w:r w:rsidRPr="005C5C1A">
        <w:rPr>
          <w:rFonts w:ascii="PP Neue Montreal Book" w:eastAsia="Google Sans Text" w:hAnsi="PP Neue Montreal Book" w:cs="Google Sans Text"/>
          <w:color w:val="575B5F"/>
          <w:sz w:val="22"/>
          <w:szCs w:val="22"/>
          <w:vertAlign w:val="superscript"/>
        </w:rPr>
        <w:t>11</w:t>
      </w:r>
    </w:p>
    <w:p w14:paraId="60F3143C" w14:textId="423C3BB9" w:rsidR="005C5C1A" w:rsidRDefault="005C5C1A"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The Cordance platform directly targets the information gap at the point of referral. By nudging a PCP to make an in-house imaging referral or alerting them to the presence of a newly hired in-house specialist (e.g., a Crohn's disease expert), Cordance helps to keep that stream of revenue within the system. This not only captures the revenue from the initial visit or procedure but also retains the patient for all subsequent follow-on care, which is critical for long-term financial stability.</w:t>
      </w:r>
    </w:p>
    <w:p w14:paraId="73FB8FEC" w14:textId="77777777" w:rsidR="001E6D89" w:rsidRPr="00482B31" w:rsidRDefault="001E6D89" w:rsidP="002555C1">
      <w:pPr>
        <w:pBdr>
          <w:top w:val="nil"/>
          <w:left w:val="nil"/>
          <w:bottom w:val="nil"/>
          <w:right w:val="nil"/>
          <w:between w:val="nil"/>
        </w:pBdr>
        <w:spacing w:after="240"/>
        <w:rPr>
          <w:rFonts w:ascii="PP Neue Montreal Book" w:eastAsia="Google Sans Text" w:hAnsi="PP Neue Montreal Book" w:cs="Google Sans Text"/>
          <w:color w:val="215E99"/>
          <w:sz w:val="22"/>
          <w:szCs w:val="22"/>
        </w:rPr>
      </w:pPr>
    </w:p>
    <w:p w14:paraId="685C2B25" w14:textId="77777777" w:rsidR="005C5C1A" w:rsidRPr="00482B31"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482B31">
        <w:rPr>
          <w:rFonts w:ascii="PP Neue Montreal Book" w:eastAsia="Google Sans" w:hAnsi="PP Neue Montreal Book" w:cs="Google Sans"/>
          <w:b/>
          <w:bCs/>
          <w:color w:val="215E99"/>
          <w:sz w:val="22"/>
          <w:szCs w:val="22"/>
        </w:rPr>
        <w:t>Financial Modeling and Estimation (Imaging)</w:t>
      </w:r>
    </w:p>
    <w:p w14:paraId="3F1A3639" w14:textId="77777777" w:rsidR="005C5C1A" w:rsidRPr="005C5C1A" w:rsidRDefault="005C5C1A" w:rsidP="002555C1">
      <w:pPr>
        <w:widowControl w:val="0"/>
        <w:numPr>
          <w:ilvl w:val="0"/>
          <w:numId w:val="25"/>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Revenue Per Example (MRI):</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The average cost of an MRI can range from $1,200 to $4,000, and hospital-based imaging centers typically charge a premium over freestanding clinics.</w:t>
      </w:r>
      <w:r w:rsidRPr="005C5C1A">
        <w:rPr>
          <w:rFonts w:ascii="PP Neue Montreal Book" w:eastAsia="Google Sans Text" w:hAnsi="PP Neue Montreal Book" w:cs="Google Sans Text"/>
          <w:color w:val="575B5F"/>
          <w:sz w:val="22"/>
          <w:szCs w:val="22"/>
          <w:vertAlign w:val="superscript"/>
        </w:rPr>
        <w:t>19</w:t>
      </w:r>
      <w:r w:rsidRPr="005C5C1A">
        <w:rPr>
          <w:rFonts w:ascii="PP Neue Montreal Book" w:eastAsia="Google Sans Text" w:hAnsi="PP Neue Montreal Book" w:cs="Google Sans Text"/>
          <w:color w:val="1B1C1D"/>
          <w:sz w:val="22"/>
          <w:szCs w:val="22"/>
        </w:rPr>
        <w:t xml:space="preserve"> One analysis found the average cost per claim for advanced imaging to be approximately $1,500.</w:t>
      </w:r>
      <w:r w:rsidRPr="005C5C1A">
        <w:rPr>
          <w:rFonts w:ascii="PP Neue Montreal Book" w:eastAsia="Google Sans Text" w:hAnsi="PP Neue Montreal Book" w:cs="Google Sans Text"/>
          <w:color w:val="575B5F"/>
          <w:sz w:val="22"/>
          <w:szCs w:val="22"/>
          <w:vertAlign w:val="superscript"/>
        </w:rPr>
        <w:t>11</w:t>
      </w:r>
      <w:r w:rsidRPr="005C5C1A">
        <w:rPr>
          <w:rFonts w:ascii="PP Neue Montreal Book" w:eastAsia="Google Sans Text" w:hAnsi="PP Neue Montreal Book" w:cs="Google Sans Text"/>
          <w:color w:val="1B1C1D"/>
          <w:sz w:val="22"/>
          <w:szCs w:val="22"/>
        </w:rPr>
        <w:t xml:space="preserve"> This analysis will use a conservative revenue estimate of</w:t>
      </w:r>
      <w:r w:rsidRPr="005C5C1A">
        <w:rPr>
          <w:rFonts w:ascii="PP Neue Montreal Book" w:hAnsi="PP Neue Montreal Book"/>
          <w:color w:val="000000"/>
          <w:sz w:val="22"/>
          <w:szCs w:val="22"/>
        </w:rPr>
        <w:t xml:space="preserve"> </w:t>
      </w:r>
      <w:r w:rsidRPr="005C5C1A">
        <w:rPr>
          <w:rFonts w:ascii="PP Neue Montreal Book" w:eastAsia="Google Sans Text" w:hAnsi="PP Neue Montreal Book" w:cs="Google Sans Text"/>
          <w:b/>
          <w:color w:val="1B1C1D"/>
          <w:sz w:val="22"/>
          <w:szCs w:val="22"/>
        </w:rPr>
        <w:t>$1,500 per in-house MRI</w:t>
      </w:r>
      <w:r w:rsidRPr="005C5C1A">
        <w:rPr>
          <w:rFonts w:ascii="PP Neue Montreal Book" w:eastAsia="Google Sans Text" w:hAnsi="PP Neue Montreal Book" w:cs="Google Sans Text"/>
          <w:color w:val="1B1C1D"/>
          <w:sz w:val="22"/>
          <w:szCs w:val="22"/>
        </w:rPr>
        <w:t xml:space="preserve"> that is recaptured from out-of-network leakage.</w:t>
      </w:r>
    </w:p>
    <w:p w14:paraId="6B9EF7C1" w14:textId="77777777" w:rsidR="005C5C1A" w:rsidRPr="005C5C1A" w:rsidRDefault="005C5C1A" w:rsidP="002555C1">
      <w:pPr>
        <w:widowControl w:val="0"/>
        <w:numPr>
          <w:ilvl w:val="0"/>
          <w:numId w:val="25"/>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Annual Health System Extrapolation (Imaging):</w:t>
      </w:r>
    </w:p>
    <w:p w14:paraId="4C939927" w14:textId="77777777" w:rsidR="005C5C1A" w:rsidRPr="005C5C1A" w:rsidRDefault="005C5C1A" w:rsidP="002555C1">
      <w:pPr>
        <w:widowControl w:val="0"/>
        <w:numPr>
          <w:ilvl w:val="1"/>
          <w:numId w:val="2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Physician Base:</w:t>
      </w:r>
      <w:r w:rsidRPr="005C5C1A">
        <w:rPr>
          <w:rFonts w:ascii="PP Neue Montreal Book" w:eastAsia="Google Sans Text" w:hAnsi="PP Neue Montreal Book" w:cs="Google Sans Text"/>
          <w:color w:val="1B1C1D"/>
          <w:sz w:val="22"/>
          <w:szCs w:val="22"/>
        </w:rPr>
        <w:t xml:space="preserve"> The model assumes a base of </w:t>
      </w:r>
      <w:r w:rsidRPr="005C5C1A">
        <w:rPr>
          <w:rFonts w:ascii="PP Neue Montreal Book" w:eastAsia="Google Sans Text" w:hAnsi="PP Neue Montreal Book" w:cs="Google Sans Text"/>
          <w:b/>
          <w:color w:val="1B1C1D"/>
          <w:sz w:val="22"/>
          <w:szCs w:val="22"/>
        </w:rPr>
        <w:t>500 referring physicians</w:t>
      </w:r>
      <w:r w:rsidRPr="005C5C1A">
        <w:rPr>
          <w:rFonts w:ascii="PP Neue Montreal Book" w:eastAsia="Google Sans Text" w:hAnsi="PP Neue Montreal Book" w:cs="Google Sans Text"/>
          <w:color w:val="1B1C1D"/>
          <w:sz w:val="22"/>
          <w:szCs w:val="22"/>
        </w:rPr>
        <w:t xml:space="preserve"> within the health system's network (both employed and affiliated).</w:t>
      </w:r>
    </w:p>
    <w:p w14:paraId="5567588A" w14:textId="77777777" w:rsidR="005C5C1A" w:rsidRPr="005C5C1A" w:rsidRDefault="005C5C1A" w:rsidP="002555C1">
      <w:pPr>
        <w:widowControl w:val="0"/>
        <w:numPr>
          <w:ilvl w:val="1"/>
          <w:numId w:val="2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Leakage Volume:</w:t>
      </w:r>
      <w:r w:rsidRPr="005C5C1A">
        <w:rPr>
          <w:rFonts w:ascii="PP Neue Montreal Book" w:eastAsia="Google Sans Text" w:hAnsi="PP Neue Montreal Book" w:cs="Google Sans Text"/>
          <w:color w:val="1B1C1D"/>
          <w:sz w:val="22"/>
          <w:szCs w:val="22"/>
        </w:rPr>
        <w:t xml:space="preserve"> Industry data suggests that a single provider referring just four diagnostic tests externally per month can result in an annual revenue loss of $72,000.</w:t>
      </w:r>
      <w:r w:rsidRPr="005C5C1A">
        <w:rPr>
          <w:rFonts w:ascii="PP Neue Montreal Book" w:eastAsia="Google Sans Text" w:hAnsi="PP Neue Montreal Book" w:cs="Google Sans Text"/>
          <w:color w:val="575B5F"/>
          <w:sz w:val="22"/>
          <w:szCs w:val="22"/>
          <w:vertAlign w:val="superscript"/>
        </w:rPr>
        <w:t>11</w:t>
      </w:r>
      <w:r w:rsidRPr="005C5C1A">
        <w:rPr>
          <w:rFonts w:ascii="PP Neue Montreal Book" w:eastAsia="Google Sans Text" w:hAnsi="PP Neue Montreal Book" w:cs="Google Sans Text"/>
          <w:color w:val="1B1C1D"/>
          <w:sz w:val="22"/>
          <w:szCs w:val="22"/>
        </w:rPr>
        <w:t xml:space="preserve"> This implies an average of 48 leaked scans per provider per year.</w:t>
      </w:r>
    </w:p>
    <w:p w14:paraId="78BC8B22" w14:textId="77777777" w:rsidR="005C5C1A" w:rsidRPr="005C5C1A" w:rsidRDefault="005C5C1A" w:rsidP="002555C1">
      <w:pPr>
        <w:widowControl w:val="0"/>
        <w:numPr>
          <w:ilvl w:val="1"/>
          <w:numId w:val="2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A conservative assumption is made that Cordance can successfully prevent </w:t>
      </w:r>
      <w:r w:rsidRPr="005C5C1A">
        <w:rPr>
          <w:rFonts w:ascii="PP Neue Montreal Book" w:eastAsia="Google Sans Text" w:hAnsi="PP Neue Montreal Book" w:cs="Google Sans Text"/>
          <w:b/>
          <w:color w:val="1B1C1D"/>
          <w:sz w:val="22"/>
          <w:szCs w:val="22"/>
        </w:rPr>
        <w:t>10%</w:t>
      </w:r>
      <w:r w:rsidRPr="005C5C1A">
        <w:rPr>
          <w:rFonts w:ascii="PP Neue Montreal Book" w:eastAsia="Google Sans Text" w:hAnsi="PP Neue Montreal Book" w:cs="Google Sans Text"/>
          <w:color w:val="1B1C1D"/>
          <w:sz w:val="22"/>
          <w:szCs w:val="22"/>
        </w:rPr>
        <w:t xml:space="preserve"> of these otherwise-leaked imaging referrals by providing a timely and convenient in-network alternative.</w:t>
      </w:r>
    </w:p>
    <w:p w14:paraId="743291DB" w14:textId="68F78DDF" w:rsidR="005C5C1A" w:rsidRPr="00814AC9" w:rsidRDefault="005C5C1A" w:rsidP="002555C1">
      <w:pPr>
        <w:widowControl w:val="0"/>
        <w:numPr>
          <w:ilvl w:val="1"/>
          <w:numId w:val="26"/>
        </w:numPr>
        <w:pBdr>
          <w:top w:val="nil"/>
          <w:left w:val="nil"/>
          <w:bottom w:val="nil"/>
          <w:right w:val="nil"/>
          <w:between w:val="nil"/>
        </w:pBdr>
        <w:spacing w:before="0" w:after="120"/>
        <w:rPr>
          <w:rFonts w:ascii="PP Neue Montreal Book" w:hAnsi="PP Neue Montreal Book"/>
          <w:b/>
          <w:bCs/>
          <w:sz w:val="22"/>
          <w:szCs w:val="22"/>
        </w:rPr>
      </w:pPr>
      <w:r w:rsidRPr="005C5C1A">
        <w:rPr>
          <w:rFonts w:ascii="PP Neue Montreal Book" w:eastAsia="Google Sans Text" w:hAnsi="PP Neue Montreal Book" w:cs="Google Sans Text"/>
          <w:color w:val="1B1C1D"/>
          <w:sz w:val="22"/>
          <w:szCs w:val="22"/>
        </w:rPr>
        <w:t>Calculation:</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500 physicians</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(48</w:t>
      </w:r>
      <w:r w:rsidR="00814AC9">
        <w:rPr>
          <w:rFonts w:ascii="PP Neue Montreal Book" w:eastAsia="Google Sans Text" w:hAnsi="PP Neue Montreal Book" w:cs="Google Sans Text"/>
          <w:color w:val="1B1C1D"/>
          <w:sz w:val="22"/>
          <w:szCs w:val="22"/>
        </w:rPr>
        <w:t xml:space="preserve">-year </w:t>
      </w:r>
      <w:r w:rsidRPr="005C5C1A">
        <w:rPr>
          <w:rFonts w:ascii="PP Neue Montreal Book" w:eastAsia="Google Sans Text" w:hAnsi="PP Neue Montreal Book" w:cs="Google Sans Text"/>
          <w:color w:val="1B1C1D"/>
          <w:sz w:val="22"/>
          <w:szCs w:val="22"/>
        </w:rPr>
        <w:t>leaked scans​</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0.10 recapture rate)</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$1,500</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scan</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revenue</w:t>
      </w:r>
      <w:r w:rsidRPr="00814AC9">
        <w:rPr>
          <w:rFonts w:ascii="PP Neue Montreal Book" w:eastAsia="Google Sans Text" w:hAnsi="PP Neue Montreal Book" w:cs="Google Sans Text"/>
          <w:b/>
          <w:bCs/>
          <w:color w:val="1B1C1D"/>
          <w:sz w:val="22"/>
          <w:szCs w:val="22"/>
        </w:rPr>
        <w:t>​</w:t>
      </w:r>
      <w:r w:rsidRPr="005C5C1A">
        <w:rPr>
          <w:rFonts w:ascii="PP Neue Montreal Book" w:eastAsia="Google Sans Text" w:hAnsi="PP Neue Montreal Book" w:cs="Google Sans Text"/>
          <w:color w:val="1B1C1D"/>
          <w:sz w:val="22"/>
          <w:szCs w:val="22"/>
        </w:rPr>
        <w:t>=</w:t>
      </w:r>
      <w:r w:rsidRPr="00814AC9">
        <w:rPr>
          <w:rFonts w:ascii="PP Neue Montreal Book" w:eastAsia="Google Sans Text" w:hAnsi="PP Neue Montreal Book" w:cs="Google Sans Text"/>
          <w:b/>
          <w:bCs/>
          <w:color w:val="1B1C1D"/>
          <w:sz w:val="22"/>
          <w:szCs w:val="22"/>
        </w:rPr>
        <w:t>$3,600,000 annually</w:t>
      </w:r>
    </w:p>
    <w:p w14:paraId="53127E29" w14:textId="77777777" w:rsidR="005C5C1A" w:rsidRPr="00482B31" w:rsidRDefault="005C5C1A" w:rsidP="002555C1">
      <w:pPr>
        <w:pBdr>
          <w:top w:val="nil"/>
          <w:left w:val="nil"/>
          <w:bottom w:val="nil"/>
          <w:right w:val="nil"/>
          <w:between w:val="nil"/>
        </w:pBdr>
        <w:spacing w:before="240" w:after="240"/>
        <w:rPr>
          <w:rFonts w:ascii="PP Neue Montreal Book" w:eastAsia="Google Sans Text" w:hAnsi="PP Neue Montreal Book" w:cs="Google Sans Text"/>
          <w:b/>
          <w:bCs/>
          <w:color w:val="215E99"/>
          <w:sz w:val="22"/>
          <w:szCs w:val="22"/>
        </w:rPr>
      </w:pPr>
    </w:p>
    <w:p w14:paraId="077ED1A0" w14:textId="77777777" w:rsidR="005C5C1A" w:rsidRPr="00482B31"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482B31">
        <w:rPr>
          <w:rFonts w:ascii="PP Neue Montreal Book" w:eastAsia="Google Sans" w:hAnsi="PP Neue Montreal Book" w:cs="Google Sans"/>
          <w:b/>
          <w:bCs/>
          <w:color w:val="215E99"/>
          <w:sz w:val="22"/>
          <w:szCs w:val="22"/>
        </w:rPr>
        <w:t>Financial Modeling and Estimation (Specialist - Crohn's Example)</w:t>
      </w:r>
    </w:p>
    <w:p w14:paraId="5B2EF5AD" w14:textId="77777777" w:rsidR="005C5C1A" w:rsidRPr="005C5C1A" w:rsidRDefault="005C5C1A" w:rsidP="002555C1">
      <w:pPr>
        <w:widowControl w:val="0"/>
        <w:numPr>
          <w:ilvl w:val="0"/>
          <w:numId w:val="27"/>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Revenue Per Example:</w:t>
      </w:r>
      <w:r w:rsidRPr="005C5C1A">
        <w:rPr>
          <w:rFonts w:ascii="PP Neue Montreal Book" w:eastAsia="Google Sans Text" w:hAnsi="PP Neue Montreal Book" w:cs="Google Sans Text"/>
          <w:color w:val="1B1C1D"/>
          <w:sz w:val="22"/>
          <w:szCs w:val="22"/>
        </w:rPr>
        <w:t xml:space="preserve"> Capturing a referral for a complex chronic condition like Crohn's disease generates revenue far beyond the initial consultation. The value encompasses the full first-year episode of care, including diagnostics (e.g., endoscopy, imaging) and the administration of high-cost biologic therapies. A conservative estimate for the total first-year revenue from a newly diagnosed Crohn's patient is </w:t>
      </w:r>
      <w:r w:rsidRPr="005C5C1A">
        <w:rPr>
          <w:rFonts w:ascii="PP Neue Montreal Book" w:eastAsia="Google Sans Text" w:hAnsi="PP Neue Montreal Book" w:cs="Google Sans Text"/>
          <w:b/>
          <w:color w:val="1B1C1D"/>
          <w:sz w:val="22"/>
          <w:szCs w:val="22"/>
        </w:rPr>
        <w:t>$15,000</w:t>
      </w:r>
      <w:r w:rsidRPr="005C5C1A">
        <w:rPr>
          <w:rFonts w:ascii="PP Neue Montreal Book" w:eastAsia="Google Sans Text" w:hAnsi="PP Neue Montreal Book" w:cs="Google Sans Text"/>
          <w:color w:val="1B1C1D"/>
          <w:sz w:val="22"/>
          <w:szCs w:val="22"/>
        </w:rPr>
        <w:t>.</w:t>
      </w:r>
    </w:p>
    <w:p w14:paraId="3393D626" w14:textId="77777777" w:rsidR="005C5C1A" w:rsidRPr="005C5C1A" w:rsidRDefault="005C5C1A" w:rsidP="002555C1">
      <w:pPr>
        <w:widowControl w:val="0"/>
        <w:numPr>
          <w:ilvl w:val="0"/>
          <w:numId w:val="27"/>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Annual Health System Extrapolation (Specialist):</w:t>
      </w:r>
    </w:p>
    <w:p w14:paraId="498B43A6" w14:textId="77777777" w:rsidR="005C5C1A" w:rsidRPr="005C5C1A" w:rsidRDefault="005C5C1A" w:rsidP="002555C1">
      <w:pPr>
        <w:widowControl w:val="0"/>
        <w:numPr>
          <w:ilvl w:val="1"/>
          <w:numId w:val="2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Incidence Rate:</w:t>
      </w:r>
      <w:r w:rsidRPr="005C5C1A">
        <w:rPr>
          <w:rFonts w:ascii="PP Neue Montreal Book" w:eastAsia="Google Sans Text" w:hAnsi="PP Neue Montreal Book" w:cs="Google Sans Text"/>
          <w:color w:val="1B1C1D"/>
          <w:sz w:val="22"/>
          <w:szCs w:val="22"/>
        </w:rPr>
        <w:t xml:space="preserve"> The incidence of Crohn's disease in the population is approximately 10 to 12 new cases per 100,000 people per year. For a health system serving 2 million patients, this translates to roughly 200 to 240 new cases annually.</w:t>
      </w:r>
    </w:p>
    <w:p w14:paraId="7EAF1AF5" w14:textId="77777777" w:rsidR="005C5C1A" w:rsidRPr="005C5C1A" w:rsidRDefault="005C5C1A" w:rsidP="002555C1">
      <w:pPr>
        <w:widowControl w:val="0"/>
        <w:numPr>
          <w:ilvl w:val="1"/>
          <w:numId w:val="2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Leakage Rate:</w:t>
      </w:r>
      <w:r w:rsidRPr="005C5C1A">
        <w:rPr>
          <w:rFonts w:ascii="PP Neue Montreal Book" w:eastAsia="Google Sans Text" w:hAnsi="PP Neue Montreal Book" w:cs="Google Sans Text"/>
          <w:color w:val="1B1C1D"/>
          <w:sz w:val="22"/>
          <w:szCs w:val="22"/>
        </w:rPr>
        <w:t xml:space="preserve"> A conservative leakage rate of </w:t>
      </w:r>
      <w:r w:rsidRPr="005C5C1A">
        <w:rPr>
          <w:rFonts w:ascii="PP Neue Montreal Book" w:eastAsia="Google Sans Text" w:hAnsi="PP Neue Montreal Book" w:cs="Google Sans Text"/>
          <w:b/>
          <w:color w:val="1B1C1D"/>
          <w:sz w:val="22"/>
          <w:szCs w:val="22"/>
        </w:rPr>
        <w:t>30%</w:t>
      </w:r>
      <w:r w:rsidRPr="005C5C1A">
        <w:rPr>
          <w:rFonts w:ascii="PP Neue Montreal Book" w:eastAsia="Google Sans Text" w:hAnsi="PP Neue Montreal Book" w:cs="Google Sans Text"/>
          <w:color w:val="1B1C1D"/>
          <w:sz w:val="22"/>
          <w:szCs w:val="22"/>
        </w:rPr>
        <w:t xml:space="preserve"> is assumed for these new specialist referrals, meaning approximately 60 to 72 newly diagnosed patients are lost to out-of-network providers each year. The model will use the lower bound of 60 patients.</w:t>
      </w:r>
    </w:p>
    <w:p w14:paraId="1EAA192D" w14:textId="77777777" w:rsidR="005C5C1A" w:rsidRPr="005C5C1A" w:rsidRDefault="005C5C1A" w:rsidP="002555C1">
      <w:pPr>
        <w:widowControl w:val="0"/>
        <w:numPr>
          <w:ilvl w:val="1"/>
          <w:numId w:val="2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by providing a timely alert to the PCP about the availability of a new in-house Crohn's specialist, Cordance can successfully retain </w:t>
      </w:r>
      <w:r w:rsidRPr="005C5C1A">
        <w:rPr>
          <w:rFonts w:ascii="PP Neue Montreal Book" w:eastAsia="Google Sans Text" w:hAnsi="PP Neue Montreal Book" w:cs="Google Sans Text"/>
          <w:b/>
          <w:color w:val="1B1C1D"/>
          <w:sz w:val="22"/>
          <w:szCs w:val="22"/>
        </w:rPr>
        <w:t>50%</w:t>
      </w:r>
      <w:r w:rsidRPr="005C5C1A">
        <w:rPr>
          <w:rFonts w:ascii="PP Neue Montreal Book" w:eastAsia="Google Sans Text" w:hAnsi="PP Neue Montreal Book" w:cs="Google Sans Text"/>
          <w:color w:val="1B1C1D"/>
          <w:sz w:val="22"/>
          <w:szCs w:val="22"/>
        </w:rPr>
        <w:t xml:space="preserve"> of these patients who would have otherwise leaked out of the network.</w:t>
      </w:r>
    </w:p>
    <w:p w14:paraId="7E9483AC" w14:textId="2CDAEBAD" w:rsidR="005C5C1A" w:rsidRPr="005C5C1A" w:rsidRDefault="005C5C1A" w:rsidP="002555C1">
      <w:pPr>
        <w:widowControl w:val="0"/>
        <w:numPr>
          <w:ilvl w:val="1"/>
          <w:numId w:val="28"/>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sidR="00814AC9">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60 leaked patients</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0.50 recapture rate</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$15,000</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patient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revenue</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7B61AE">
        <w:rPr>
          <w:rFonts w:ascii="PP Neue Montreal Book" w:eastAsia="Google Sans Text" w:hAnsi="PP Neue Montreal Book" w:cs="Google Sans Text"/>
          <w:b/>
          <w:bCs/>
          <w:color w:val="1B1C1D"/>
          <w:sz w:val="22"/>
          <w:szCs w:val="22"/>
        </w:rPr>
        <w:t>$450,000 annually</w:t>
      </w:r>
    </w:p>
    <w:p w14:paraId="36151C64" w14:textId="0374679A" w:rsidR="002F5911" w:rsidRDefault="005C5C1A" w:rsidP="0066740E">
      <w:pPr>
        <w:pBdr>
          <w:top w:val="nil"/>
          <w:left w:val="nil"/>
          <w:bottom w:val="nil"/>
          <w:right w:val="nil"/>
          <w:between w:val="nil"/>
        </w:pBdr>
        <w:spacing w:after="120"/>
        <w:ind w:left="525"/>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Of course</w:t>
      </w:r>
      <w:r w:rsidR="001109DD"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 xml:space="preserve"> this analysis is predicated on a new and available specialist which is not a daily event.  For purposes of this analysis</w:t>
      </w:r>
      <w:r w:rsidR="001109DD"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 xml:space="preserve"> we chose a conservative position of adding one specialist a year in specialties with long waits.  A health system focused on these opportunities may well hire 10 more additional specialists/year</w:t>
      </w:r>
      <w:r w:rsidR="0066740E">
        <w:rPr>
          <w:rFonts w:ascii="PP Neue Montreal Book" w:eastAsia="Google Sans Text" w:hAnsi="PP Neue Montreal Book" w:cs="Google Sans Text"/>
          <w:color w:val="1B1C1D"/>
          <w:sz w:val="22"/>
          <w:szCs w:val="22"/>
        </w:rPr>
        <w:t>.</w:t>
      </w:r>
    </w:p>
    <w:p w14:paraId="0B4EE11E" w14:textId="77777777" w:rsidR="0066740E" w:rsidRPr="0066740E" w:rsidRDefault="0066740E" w:rsidP="0066740E">
      <w:pPr>
        <w:pBdr>
          <w:top w:val="nil"/>
          <w:left w:val="nil"/>
          <w:bottom w:val="nil"/>
          <w:right w:val="nil"/>
          <w:between w:val="nil"/>
        </w:pBdr>
        <w:spacing w:after="120"/>
        <w:ind w:left="525"/>
        <w:rPr>
          <w:rFonts w:ascii="PP Neue Montreal Book" w:eastAsia="Google Sans Text" w:hAnsi="PP Neue Montreal Book" w:cs="Google Sans Text"/>
          <w:color w:val="1B1C1D"/>
          <w:sz w:val="22"/>
          <w:szCs w:val="22"/>
        </w:rPr>
      </w:pPr>
    </w:p>
    <w:p w14:paraId="49C88C7F" w14:textId="48E9A4D7" w:rsidR="002F5911" w:rsidRPr="005C5C1A" w:rsidRDefault="002F5911" w:rsidP="002F5911">
      <w:pPr>
        <w:ind w:right="-810"/>
        <w:outlineLvl w:val="1"/>
        <w:rPr>
          <w:rFonts w:ascii="PP Neue Montreal Book" w:hAnsi="PP Neue Montreal Book" w:cs="IvyPresto Display Thin"/>
          <w:b/>
          <w:color w:val="215E99" w:themeColor="text2" w:themeTint="BF"/>
        </w:rPr>
      </w:pPr>
      <w:r w:rsidRPr="00875645">
        <w:rPr>
          <w:rFonts w:ascii="IvyPresto Display Thin" w:hAnsi="IvyPresto Display Thin" w:cs="IvyPresto Display Thin"/>
          <w:b/>
          <w:color w:val="215E99"/>
        </w:rPr>
        <w:t>(</w:t>
      </w:r>
      <w:r w:rsidR="00875645" w:rsidRPr="00875645">
        <w:rPr>
          <w:rFonts w:ascii="IvyPresto Display Thin" w:hAnsi="IvyPresto Display Thin" w:cs="IvyPresto Display Thin"/>
          <w:b/>
          <w:color w:val="215E99"/>
        </w:rPr>
        <w:t>2</w:t>
      </w:r>
      <w:r w:rsidRPr="00875645">
        <w:rPr>
          <w:rFonts w:ascii="IvyPresto Display Thin" w:hAnsi="IvyPresto Display Thin" w:cs="IvyPresto Display Thin"/>
          <w:b/>
          <w:color w:val="215E99"/>
        </w:rPr>
        <w:t>d.)</w:t>
      </w:r>
      <w:r w:rsidRPr="0066740E">
        <w:rPr>
          <w:rFonts w:ascii="PP Neue Montreal Book" w:hAnsi="PP Neue Montreal Book" w:cs="IvyPresto Display Thin"/>
          <w:b/>
          <w:color w:val="215E99" w:themeColor="text2" w:themeTint="BF"/>
        </w:rPr>
        <w:t xml:space="preserve"> </w:t>
      </w:r>
      <w:r w:rsidRPr="0066740E">
        <w:rPr>
          <w:rFonts w:ascii="PP Neue Montreal Book" w:hAnsi="PP Neue Montreal Book" w:cs="IvyPresto Display Thin"/>
          <w:b/>
          <w:color w:val="215E99"/>
        </w:rPr>
        <w:t>Optimizing</w:t>
      </w:r>
      <w:r w:rsidRPr="00482B31">
        <w:rPr>
          <w:rFonts w:ascii="PP Neue Montreal Book" w:hAnsi="PP Neue Montreal Book" w:cs="IvyPresto Display Thin"/>
          <w:b/>
          <w:color w:val="215E99"/>
        </w:rPr>
        <w:t xml:space="preserve"> In-House Pharmacy Revenue via the </w:t>
      </w:r>
      <w:r w:rsidRPr="00482B31">
        <w:rPr>
          <w:rFonts w:ascii="IvyPresto Display Thin" w:hAnsi="IvyPresto Display Thin" w:cs="IvyPresto Display Thin"/>
          <w:bCs/>
          <w:i/>
          <w:iCs/>
          <w:color w:val="215E99"/>
        </w:rPr>
        <w:t>340B Program</w:t>
      </w:r>
    </w:p>
    <w:p w14:paraId="2DC2BD14" w14:textId="77777777" w:rsidR="002F5911" w:rsidRPr="005C5C1A" w:rsidRDefault="002F5911" w:rsidP="002F5911">
      <w:pPr>
        <w:pBdr>
          <w:top w:val="nil"/>
          <w:left w:val="nil"/>
          <w:bottom w:val="nil"/>
          <w:right w:val="nil"/>
          <w:between w:val="nil"/>
        </w:pBdr>
        <w:spacing w:after="240"/>
        <w:rPr>
          <w:rFonts w:ascii="PP Neue Montreal Book" w:eastAsia="Google Sans Text" w:hAnsi="PP Neue Montreal Book" w:cs="Google Sans Text"/>
          <w:color w:val="575B5F"/>
          <w:sz w:val="22"/>
          <w:szCs w:val="22"/>
          <w:vertAlign w:val="superscript"/>
        </w:rPr>
      </w:pPr>
      <w:r w:rsidRPr="005C5C1A">
        <w:rPr>
          <w:rFonts w:ascii="PP Neue Montreal Book" w:eastAsia="Google Sans Text" w:hAnsi="PP Neue Montreal Book" w:cs="Google Sans Text"/>
          <w:color w:val="1B1C1D"/>
          <w:sz w:val="22"/>
          <w:szCs w:val="22"/>
        </w:rPr>
        <w:t>The 340B Drug Pricing Program represents a significant but often under-leveraged financial asset for eligible safety-net hospitals. The program mandates that pharmaceutical manufacturers provide outpatient drugs to these "covered entities" at substantial discounts, which can range from 25% to 50% of the purchase price.</w:t>
      </w:r>
      <w:r w:rsidRPr="005C5C1A">
        <w:rPr>
          <w:rFonts w:ascii="PP Neue Montreal Book" w:eastAsia="Google Sans Text" w:hAnsi="PP Neue Montreal Book" w:cs="Google Sans Text"/>
          <w:color w:val="575B5F"/>
          <w:sz w:val="22"/>
          <w:szCs w:val="22"/>
          <w:vertAlign w:val="superscript"/>
        </w:rPr>
        <w:t>1</w:t>
      </w:r>
      <w:r w:rsidRPr="005C5C1A">
        <w:rPr>
          <w:rFonts w:ascii="PP Neue Montreal Book" w:eastAsia="Google Sans Text" w:hAnsi="PP Neue Montreal Book" w:cs="Google Sans Text"/>
          <w:color w:val="1B1C1D"/>
          <w:sz w:val="22"/>
          <w:szCs w:val="22"/>
        </w:rPr>
        <w:t xml:space="preserve"> The fundamental economic mechanism for revenue generation lies in the spread between this discounted acquisition cost and the reimbursement received from payers. A covered entity purchases a drug at the low 340B price but bills the patient's insurer—whether commercial, Medicare, or Medicaid—at the higher, non-discounted rate, thereby capturing the difference as revenue.</w:t>
      </w:r>
      <w:r w:rsidRPr="005C5C1A">
        <w:rPr>
          <w:rFonts w:ascii="PP Neue Montreal Book" w:eastAsia="Google Sans Text" w:hAnsi="PP Neue Montreal Book" w:cs="Google Sans Text"/>
          <w:color w:val="575B5F"/>
          <w:sz w:val="22"/>
          <w:szCs w:val="22"/>
          <w:vertAlign w:val="superscript"/>
        </w:rPr>
        <w:t>3</w:t>
      </w:r>
      <w:r w:rsidRPr="005C5C1A">
        <w:rPr>
          <w:rFonts w:ascii="PP Neue Montreal Book" w:eastAsia="Google Sans Text" w:hAnsi="PP Neue Montreal Book" w:cs="Google Sans Text"/>
          <w:color w:val="1B1C1D"/>
          <w:sz w:val="22"/>
          <w:szCs w:val="22"/>
        </w:rPr>
        <w:t xml:space="preserve"> This revenue is intended to help hospitals "stretch scarce Federal resources as far as possible" to support care for vulnerable populations.</w:t>
      </w:r>
      <w:r w:rsidRPr="005C5C1A">
        <w:rPr>
          <w:rFonts w:ascii="PP Neue Montreal Book" w:eastAsia="Google Sans Text" w:hAnsi="PP Neue Montreal Book" w:cs="Google Sans Text"/>
          <w:color w:val="575B5F"/>
          <w:sz w:val="22"/>
          <w:szCs w:val="22"/>
          <w:vertAlign w:val="superscript"/>
        </w:rPr>
        <w:t>4</w:t>
      </w:r>
    </w:p>
    <w:p w14:paraId="22DC730C" w14:textId="77777777" w:rsidR="002F5911" w:rsidRPr="005C5C1A" w:rsidRDefault="002F5911" w:rsidP="002F591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Despite its potential, realizing this value depends entirely on ensuring that eligible prescriptions are dispensed through the hospital's own pharmacy or a contracted pharmacy. The challenge identified in the Cordance thesis is that physicians, often unaware of a patient's eligibility or the financial implications, may not direct patients to the in-house pharmacy, causing this potential revenue to be lost. Cordance addresses this by delivering a timely nudge to the physician at the point of care.</w:t>
      </w:r>
    </w:p>
    <w:p w14:paraId="7E365179" w14:textId="77777777" w:rsidR="002F5911" w:rsidRDefault="002F5911" w:rsidP="002F591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This intervention is not only a revenue-capture tool but also a critical instrument for compliance and risk mitigation. The 340B program has faced significant controversy and scrutiny regarding its transparency and the use of its generated funds, with some critics labeling it a "black box".</w:t>
      </w:r>
      <w:r w:rsidRPr="005C5C1A">
        <w:rPr>
          <w:rFonts w:ascii="PP Neue Montreal Book" w:eastAsia="Google Sans Text" w:hAnsi="PP Neue Montreal Book" w:cs="Google Sans Text"/>
          <w:color w:val="575B5F"/>
          <w:sz w:val="22"/>
          <w:szCs w:val="22"/>
          <w:vertAlign w:val="superscript"/>
        </w:rPr>
        <w:t>2</w:t>
      </w:r>
      <w:r w:rsidRPr="005C5C1A">
        <w:rPr>
          <w:rFonts w:ascii="PP Neue Montreal Book" w:eastAsia="Google Sans Text" w:hAnsi="PP Neue Montreal Book" w:cs="Google Sans Text"/>
          <w:color w:val="1B1C1D"/>
          <w:sz w:val="22"/>
          <w:szCs w:val="22"/>
        </w:rPr>
        <w:t xml:space="preserve"> By systematically identifying eligible patients and creating a clear, auditable data trail for each nudge and subsequent prescription decision, the Cordance platform provides a robust defense against regulatory audits. It transforms an often-opaque process into a transparent, data-driven workflow, thereby securing the revenue it helps to generate.</w:t>
      </w:r>
    </w:p>
    <w:p w14:paraId="04E07F0E" w14:textId="77777777" w:rsidR="001E6D89" w:rsidRPr="00BF7100" w:rsidRDefault="001E6D89"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p>
    <w:p w14:paraId="3376E55F" w14:textId="77777777" w:rsidR="005C5C1A" w:rsidRPr="00482B31" w:rsidRDefault="005C5C1A" w:rsidP="00BF7100">
      <w:pPr>
        <w:keepNext/>
        <w:keepLines/>
        <w:spacing w:before="0" w:after="120"/>
        <w:outlineLvl w:val="3"/>
        <w:rPr>
          <w:rFonts w:ascii="PP Neue Montreal Book" w:eastAsia="Google Sans" w:hAnsi="PP Neue Montreal Book" w:cs="Google Sans"/>
          <w:b/>
          <w:bCs/>
          <w:color w:val="215E99"/>
          <w:sz w:val="22"/>
          <w:szCs w:val="22"/>
        </w:rPr>
      </w:pPr>
      <w:r w:rsidRPr="00482B31">
        <w:rPr>
          <w:rFonts w:ascii="PP Neue Montreal Book" w:eastAsia="Google Sans" w:hAnsi="PP Neue Montreal Book" w:cs="Google Sans"/>
          <w:b/>
          <w:bCs/>
          <w:color w:val="215E99"/>
          <w:sz w:val="22"/>
          <w:szCs w:val="22"/>
        </w:rPr>
        <w:t>Financial Modeling and Estimation</w:t>
      </w:r>
    </w:p>
    <w:p w14:paraId="734A4A92" w14:textId="77777777" w:rsidR="002F5911" w:rsidRPr="005C5C1A" w:rsidRDefault="002F5911" w:rsidP="002F5911">
      <w:pPr>
        <w:widowControl w:val="0"/>
        <w:numPr>
          <w:ilvl w:val="0"/>
          <w:numId w:val="20"/>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Revenue Per Example:</w:t>
      </w:r>
      <w:r w:rsidRPr="005C5C1A">
        <w:rPr>
          <w:rFonts w:ascii="PP Neue Montreal Book" w:eastAsia="Google Sans Text" w:hAnsi="PP Neue Montreal Book" w:cs="Google Sans Text"/>
          <w:color w:val="1B1C1D"/>
          <w:sz w:val="22"/>
          <w:szCs w:val="22"/>
        </w:rPr>
        <w:t xml:space="preserve"> The estimated $100 per prescription is a reasonable and defensible estimate for the margin on a moderately expensive medication captured through the 340B program.</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An illustrative model from The Commonwealth Fund shows a covered entity generating $34.50 in revenue on a prescription with a payer reimbursement of $100, establishing a conservative baseline.</w:t>
      </w:r>
      <w:r w:rsidRPr="005C5C1A">
        <w:rPr>
          <w:rFonts w:ascii="PP Neue Montreal Book" w:eastAsia="Google Sans Text" w:hAnsi="PP Neue Montreal Book" w:cs="Google Sans Text"/>
          <w:color w:val="575B5F"/>
          <w:sz w:val="22"/>
          <w:szCs w:val="22"/>
          <w:vertAlign w:val="superscript"/>
        </w:rPr>
        <w:t>3</w:t>
      </w:r>
      <w:r w:rsidRPr="005C5C1A">
        <w:rPr>
          <w:rFonts w:ascii="PP Neue Montreal Book" w:eastAsia="Google Sans Text" w:hAnsi="PP Neue Montreal Book" w:cs="Google Sans Text"/>
          <w:color w:val="1B1C1D"/>
          <w:sz w:val="22"/>
          <w:szCs w:val="22"/>
        </w:rPr>
        <w:t xml:space="preserve"> For higher-cost specialty drugs, which are increasingly common in outpatient settings, a margin of $100 is entirely plausible. This analysis will proceed using</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$100 per prescription</w:t>
      </w:r>
      <w:r w:rsidRPr="005C5C1A">
        <w:rPr>
          <w:rFonts w:ascii="PP Neue Montreal Book" w:eastAsia="Google Sans Text" w:hAnsi="PP Neue Montreal Book" w:cs="Google Sans Text"/>
          <w:color w:val="1B1C1D"/>
          <w:sz w:val="22"/>
          <w:szCs w:val="22"/>
        </w:rPr>
        <w:t xml:space="preserve"> as a representative average revenue capture.</w:t>
      </w:r>
    </w:p>
    <w:p w14:paraId="041BB3CF" w14:textId="77777777" w:rsidR="002F5911" w:rsidRPr="005C5C1A" w:rsidRDefault="002F5911" w:rsidP="002F5911">
      <w:pPr>
        <w:widowControl w:val="0"/>
        <w:numPr>
          <w:ilvl w:val="0"/>
          <w:numId w:val="20"/>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Annual Health System Extrapolation:</w:t>
      </w:r>
      <w:r w:rsidRPr="005C5C1A">
        <w:rPr>
          <w:rFonts w:ascii="PP Neue Montreal Book" w:eastAsia="Google Sans Text" w:hAnsi="PP Neue Montreal Book" w:cs="Google Sans Text"/>
          <w:color w:val="1B1C1D"/>
          <w:sz w:val="22"/>
          <w:szCs w:val="22"/>
        </w:rPr>
        <w:t xml:space="preserve"> The annual financial impact is modeled based on the following conservative assumptions:</w:t>
      </w:r>
    </w:p>
    <w:p w14:paraId="35CDCDEA" w14:textId="77777777" w:rsidR="002F5911" w:rsidRPr="005C5C1A" w:rsidRDefault="002F5911" w:rsidP="002F5911">
      <w:pPr>
        <w:widowControl w:val="0"/>
        <w:numPr>
          <w:ilvl w:val="1"/>
          <w:numId w:val="2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Target Patient Cohort:</w:t>
      </w:r>
      <w:r w:rsidRPr="005C5C1A">
        <w:rPr>
          <w:rFonts w:ascii="PP Neue Montreal Book" w:eastAsia="Google Sans Text" w:hAnsi="PP Neue Montreal Book" w:cs="Google Sans Text"/>
          <w:color w:val="1B1C1D"/>
          <w:sz w:val="22"/>
          <w:szCs w:val="22"/>
        </w:rPr>
        <w:t xml:space="preserve"> The model accepts the memo's assumption of 2,000 eligible patients who are not currently utilizing the in-house pharmacy for their 340B-eligible prescriptions.</w:t>
      </w:r>
      <w:r w:rsidRPr="005C5C1A">
        <w:rPr>
          <w:rFonts w:ascii="PP Neue Montreal Book" w:eastAsia="Google Sans Text" w:hAnsi="PP Neue Montreal Book" w:cs="Google Sans Text"/>
          <w:color w:val="575B5F"/>
          <w:sz w:val="22"/>
          <w:szCs w:val="22"/>
          <w:vertAlign w:val="superscript"/>
        </w:rPr>
        <w:t>7</w:t>
      </w:r>
    </w:p>
    <w:p w14:paraId="336148F3" w14:textId="77777777" w:rsidR="002F5911" w:rsidRPr="005C5C1A" w:rsidRDefault="002F5911" w:rsidP="002F5911">
      <w:pPr>
        <w:widowControl w:val="0"/>
        <w:numPr>
          <w:ilvl w:val="1"/>
          <w:numId w:val="2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Prescription Volume:</w:t>
      </w:r>
      <w:r w:rsidRPr="005C5C1A">
        <w:rPr>
          <w:rFonts w:ascii="PP Neue Montreal Book" w:eastAsia="Google Sans Text" w:hAnsi="PP Neue Montreal Book" w:cs="Google Sans Text"/>
          <w:color w:val="1B1C1D"/>
          <w:sz w:val="22"/>
          <w:szCs w:val="22"/>
        </w:rPr>
        <w:t xml:space="preserve"> While the average American fills approximately 19 prescriptions per year, this model adopts a more conservative figure for this specific cohort, assuming an average of </w:t>
      </w:r>
      <w:r w:rsidRPr="005C5C1A">
        <w:rPr>
          <w:rFonts w:ascii="PP Neue Montreal Book" w:eastAsia="Google Sans Text" w:hAnsi="PP Neue Montreal Book" w:cs="Google Sans Text"/>
          <w:b/>
          <w:color w:val="1B1C1D"/>
          <w:sz w:val="22"/>
          <w:szCs w:val="22"/>
        </w:rPr>
        <w:t>10 relevant outpatient prescriptions per patient per year</w:t>
      </w:r>
      <w:r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575B5F"/>
          <w:sz w:val="22"/>
          <w:szCs w:val="22"/>
          <w:vertAlign w:val="superscript"/>
        </w:rPr>
        <w:t>8</w:t>
      </w:r>
    </w:p>
    <w:p w14:paraId="36385BEF" w14:textId="77777777" w:rsidR="002F5911" w:rsidRPr="005C5C1A" w:rsidRDefault="002F5911" w:rsidP="002F5911">
      <w:pPr>
        <w:widowControl w:val="0"/>
        <w:numPr>
          <w:ilvl w:val="1"/>
          <w:numId w:val="2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 Rate:</w:t>
      </w:r>
      <w:r w:rsidRPr="005C5C1A">
        <w:rPr>
          <w:rFonts w:ascii="PP Neue Montreal Book" w:eastAsia="Google Sans Text" w:hAnsi="PP Neue Montreal Book" w:cs="Google Sans Text"/>
          <w:color w:val="1B1C1D"/>
          <w:sz w:val="22"/>
          <w:szCs w:val="22"/>
        </w:rPr>
        <w:t xml:space="preserve"> It is assumed that the platform's nudges will successfully influence physician and patient behavior, resulting in the redirection of a conservative </w:t>
      </w:r>
      <w:r w:rsidRPr="005C5C1A">
        <w:rPr>
          <w:rFonts w:ascii="PP Neue Montreal Book" w:eastAsia="Google Sans Text" w:hAnsi="PP Neue Montreal Book" w:cs="Google Sans Text"/>
          <w:b/>
          <w:color w:val="1B1C1D"/>
          <w:sz w:val="22"/>
          <w:szCs w:val="22"/>
        </w:rPr>
        <w:t>25%</w:t>
      </w:r>
      <w:r w:rsidRPr="005C5C1A">
        <w:rPr>
          <w:rFonts w:ascii="PP Neue Montreal Book" w:eastAsia="Google Sans Text" w:hAnsi="PP Neue Montreal Book" w:cs="Google Sans Text"/>
          <w:color w:val="1B1C1D"/>
          <w:sz w:val="22"/>
          <w:szCs w:val="22"/>
        </w:rPr>
        <w:t xml:space="preserve"> of these targeted prescriptions to the in-house pharmacy.</w:t>
      </w:r>
    </w:p>
    <w:p w14:paraId="2B2BA882" w14:textId="77777777" w:rsidR="002F5911" w:rsidRPr="005C5C1A" w:rsidRDefault="002F5911" w:rsidP="002F5911">
      <w:pPr>
        <w:widowControl w:val="0"/>
        <w:numPr>
          <w:ilvl w:val="1"/>
          <w:numId w:val="21"/>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 The total annual revenue is calculated as follows:</w:t>
      </w:r>
      <w:r>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2,000 patients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patient-year</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prescriptions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0.25 success rate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$100prescription</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revenue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814AC9">
        <w:rPr>
          <w:rFonts w:ascii="PP Neue Montreal Book" w:eastAsia="Google Sans Text" w:hAnsi="PP Neue Montreal Book" w:cs="Google Sans Text"/>
          <w:b/>
          <w:bCs/>
          <w:color w:val="1B1C1D"/>
          <w:sz w:val="22"/>
          <w:szCs w:val="22"/>
        </w:rPr>
        <w:t>$500,000</w:t>
      </w:r>
    </w:p>
    <w:p w14:paraId="5F99A06E" w14:textId="32F3119D" w:rsidR="005C5C1A" w:rsidRPr="00875645" w:rsidRDefault="00875645" w:rsidP="00875645">
      <w:pPr>
        <w:rPr>
          <w:rFonts w:ascii="IvyPresto Display Thin" w:eastAsiaTheme="majorEastAsia" w:hAnsi="IvyPresto Display Thin" w:cs="IvyPresto Display Thin"/>
          <w:b/>
          <w:i/>
          <w:iCs/>
          <w:color w:val="4C94D8" w:themeColor="text2" w:themeTint="80"/>
          <w:sz w:val="32"/>
          <w:szCs w:val="32"/>
        </w:rPr>
      </w:pPr>
      <w:r w:rsidRPr="00875645">
        <w:rPr>
          <w:rFonts w:ascii="IvyPresto Display Thin" w:eastAsiaTheme="majorEastAsia" w:hAnsi="IvyPresto Display Thin" w:cs="IvyPresto Display Thin"/>
          <w:b/>
          <w:color w:val="4C94D8" w:themeColor="text2" w:themeTint="80"/>
          <w:sz w:val="32"/>
          <w:szCs w:val="32"/>
        </w:rPr>
        <w:t>3</w:t>
      </w:r>
      <w:r w:rsidR="005C5C1A" w:rsidRPr="00875645">
        <w:rPr>
          <w:rFonts w:ascii="IvyPresto Display Thin" w:eastAsiaTheme="majorEastAsia" w:hAnsi="IvyPresto Display Thin" w:cs="IvyPresto Display Thin"/>
          <w:b/>
          <w:color w:val="4C94D8" w:themeColor="text2" w:themeTint="80"/>
          <w:sz w:val="32"/>
          <w:szCs w:val="32"/>
        </w:rPr>
        <w:t>.</w:t>
      </w:r>
      <w:r w:rsidR="005C5C1A" w:rsidRPr="001E6D89">
        <w:rPr>
          <w:rFonts w:ascii="IvyPresto Display Thin" w:eastAsiaTheme="majorEastAsia" w:hAnsi="IvyPresto Display Thin" w:cs="IvyPresto Display Thin"/>
          <w:b/>
          <w:i/>
          <w:iCs/>
          <w:color w:val="4C94D8" w:themeColor="text2" w:themeTint="80"/>
          <w:sz w:val="32"/>
          <w:szCs w:val="32"/>
        </w:rPr>
        <w:t xml:space="preserve"> Analysis of Cost Reduction Opportunities </w:t>
      </w:r>
    </w:p>
    <w:p w14:paraId="764E82AC" w14:textId="0DFF98C3" w:rsidR="005C5C1A" w:rsidRPr="005C5C1A" w:rsidRDefault="005C5C1A"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This section details the mechanisms by which the Cordance Health platform can generate significant cost savings for health system partners. The analysis is particularly relevant for systems engaged in Value-Based Care (VBC) contracts, where they assume financial risk for the total cost of care. Each opportunity is quantified with a per-instance savings estimate and an annual extrapolation.</w:t>
      </w:r>
    </w:p>
    <w:p w14:paraId="797B8E7E" w14:textId="3FF079F5" w:rsidR="00963EC2" w:rsidRPr="00095483" w:rsidRDefault="00963EC2" w:rsidP="00963EC2">
      <w:pPr>
        <w:spacing w:before="360" w:after="0"/>
        <w:rPr>
          <w:rFonts w:ascii="IvyPresto Display Thin" w:hAnsi="IvyPresto Display Thin" w:cs="IvyPresto Display Thin"/>
          <w:b/>
          <w:i/>
          <w:iCs/>
          <w:color w:val="215E99"/>
        </w:rPr>
      </w:pPr>
      <w:r w:rsidRPr="00D46E1A">
        <w:rPr>
          <w:rFonts w:ascii="IvyPresto Display Thin" w:hAnsi="IvyPresto Display Thin" w:cs="IvyPresto Display Thin"/>
          <w:b/>
          <w:color w:val="215E99"/>
        </w:rPr>
        <w:t>(</w:t>
      </w:r>
      <w:r w:rsidR="00875645">
        <w:rPr>
          <w:rFonts w:ascii="IvyPresto Display Thin" w:hAnsi="IvyPresto Display Thin" w:cs="IvyPresto Display Thin"/>
          <w:b/>
          <w:color w:val="215E99"/>
        </w:rPr>
        <w:t>3</w:t>
      </w:r>
      <w:r w:rsidRPr="00D46E1A">
        <w:rPr>
          <w:rFonts w:ascii="IvyPresto Display Thin" w:hAnsi="IvyPresto Display Thin" w:cs="IvyPresto Display Thin"/>
          <w:b/>
          <w:color w:val="215E99"/>
        </w:rPr>
        <w:t>a.)</w:t>
      </w:r>
      <w:r w:rsidRPr="00095483">
        <w:rPr>
          <w:rFonts w:ascii="IvyPresto Display Thin" w:hAnsi="IvyPresto Display Thin" w:cs="IvyPresto Display Thin"/>
          <w:b/>
          <w:color w:val="215E99"/>
        </w:rPr>
        <w:t xml:space="preserve"> </w:t>
      </w:r>
      <w:r w:rsidRPr="00095483">
        <w:rPr>
          <w:rFonts w:ascii="PP Neue Montreal Book" w:hAnsi="PP Neue Montreal Book" w:cs="IvyPresto Display Thin"/>
          <w:b/>
          <w:color w:val="215E99"/>
        </w:rPr>
        <w:t>Reducing Spend on</w:t>
      </w:r>
      <w:r w:rsidRPr="00095483">
        <w:rPr>
          <w:rFonts w:ascii="PP Neue Montreal" w:hAnsi="PP Neue Montreal"/>
          <w:b/>
          <w:color w:val="215E99"/>
        </w:rPr>
        <w:t xml:space="preserve"> </w:t>
      </w:r>
      <w:r w:rsidRPr="00095483">
        <w:rPr>
          <w:rFonts w:ascii="IvyPresto Display Thin" w:hAnsi="IvyPresto Display Thin" w:cs="IvyPresto Display Thin"/>
          <w:bCs/>
          <w:i/>
          <w:iCs/>
          <w:color w:val="215E99"/>
        </w:rPr>
        <w:t>Suboptimal Therapeutics (Generic/Biosimilar)</w:t>
      </w:r>
    </w:p>
    <w:p w14:paraId="141669BE" w14:textId="77777777" w:rsidR="00963EC2" w:rsidRDefault="00963EC2" w:rsidP="00963EC2">
      <w:pPr>
        <w:pBdr>
          <w:top w:val="nil"/>
          <w:left w:val="nil"/>
          <w:bottom w:val="nil"/>
          <w:right w:val="nil"/>
          <w:between w:val="nil"/>
        </w:pBdr>
        <w:spacing w:after="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Pharmaceutical expenditures are one of the fastest-growing cost centers for health systems. A significant portion of this spending is driven by the use of high-cost branded drugs when clinically equivalent, lower-cost generics or biosimilars are available. This is particularly acute with specialty biologic drugs used to treat autoimmune conditions like rheumatoid arthritis (RA). Cordance can drive substantial savings by nudging clinicians to prescribe the most cost-effective option within a chosen therapeutic class, aligning prescribing habits with the health system's formulary and financial interests under VBC.</w:t>
      </w:r>
    </w:p>
    <w:p w14:paraId="3AE35C24" w14:textId="77777777" w:rsidR="00963EC2" w:rsidRPr="005C5C1A" w:rsidRDefault="00963EC2" w:rsidP="00963EC2">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p>
    <w:p w14:paraId="3F529ACF" w14:textId="77777777" w:rsidR="00963EC2" w:rsidRPr="00095483" w:rsidRDefault="00963EC2" w:rsidP="00963EC2">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(Antidepressant Example)</w:t>
      </w:r>
    </w:p>
    <w:p w14:paraId="5F09C6D9" w14:textId="77777777" w:rsidR="00963EC2" w:rsidRPr="005C5C1A" w:rsidRDefault="00963EC2" w:rsidP="00963EC2">
      <w:pPr>
        <w:widowControl w:val="0"/>
        <w:numPr>
          <w:ilvl w:val="0"/>
          <w:numId w:val="3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Prescription:</w:t>
      </w:r>
      <w:r w:rsidRPr="005C5C1A">
        <w:rPr>
          <w:rFonts w:ascii="PP Neue Montreal Book" w:eastAsia="Google Sans Text" w:hAnsi="PP Neue Montreal Book" w:cs="Google Sans Text"/>
          <w:color w:val="1B1C1D"/>
          <w:sz w:val="22"/>
          <w:szCs w:val="22"/>
        </w:rPr>
        <w:t xml:space="preserve"> Using the example of Zoloft versus generic sertraline,</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A 30-day supply of brand-name Zoloft can cost over $540, while the generic equivalent, sertraline, can be obtained for as little as $25.</w:t>
      </w:r>
      <w:r w:rsidRPr="005C5C1A">
        <w:rPr>
          <w:rFonts w:ascii="PP Neue Montreal Book" w:eastAsia="Google Sans Text" w:hAnsi="PP Neue Montreal Book" w:cs="Google Sans Text"/>
          <w:color w:val="575B5F"/>
          <w:sz w:val="22"/>
          <w:szCs w:val="22"/>
          <w:vertAlign w:val="superscript"/>
        </w:rPr>
        <w:t>28</w:t>
      </w:r>
      <w:r w:rsidRPr="005C5C1A">
        <w:rPr>
          <w:rFonts w:ascii="PP Neue Montreal Book" w:eastAsia="Google Sans Text" w:hAnsi="PP Neue Montreal Book" w:cs="Google Sans Text"/>
          <w:color w:val="1B1C1D"/>
          <w:sz w:val="22"/>
          <w:szCs w:val="22"/>
        </w:rPr>
        <w:t xml:space="preserve"> This represents a potential savings of over $500 per patient per month. This analysis will use a conservative average savings estimate of</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$400 per month</w:t>
      </w:r>
      <w:r w:rsidRPr="005C5C1A">
        <w:rPr>
          <w:rFonts w:ascii="PP Neue Montreal Book" w:eastAsia="Google Sans Text" w:hAnsi="PP Neue Montreal Book" w:cs="Google Sans Text"/>
          <w:color w:val="1B1C1D"/>
          <w:sz w:val="22"/>
          <w:szCs w:val="22"/>
        </w:rPr>
        <w:t xml:space="preserve"> for each patient successfully shifted from a branded antidepressant to a generic equivalent.</w:t>
      </w:r>
    </w:p>
    <w:p w14:paraId="151E4FE5" w14:textId="77777777" w:rsidR="00963EC2" w:rsidRPr="005C5C1A" w:rsidRDefault="00963EC2" w:rsidP="00963EC2">
      <w:pPr>
        <w:widowControl w:val="0"/>
        <w:numPr>
          <w:ilvl w:val="0"/>
          <w:numId w:val="3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 (Antidepressants):</w:t>
      </w:r>
    </w:p>
    <w:p w14:paraId="46EBCE98" w14:textId="77777777" w:rsidR="00963EC2" w:rsidRPr="005C5C1A" w:rsidRDefault="00963EC2" w:rsidP="00963EC2">
      <w:pPr>
        <w:widowControl w:val="0"/>
        <w:numPr>
          <w:ilvl w:val="1"/>
          <w:numId w:val="35"/>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Prescription Volume:</w:t>
      </w:r>
      <w:r w:rsidRPr="005C5C1A">
        <w:rPr>
          <w:rFonts w:ascii="PP Neue Montreal Book" w:eastAsia="Google Sans Text" w:hAnsi="PP Neue Montreal Book" w:cs="Google Sans Text"/>
          <w:color w:val="1B1C1D"/>
          <w:sz w:val="22"/>
          <w:szCs w:val="22"/>
        </w:rPr>
        <w:t xml:space="preserve"> In a patient population of 2 million, it is assumed that approximately 5% of patients (100,000) are prescribed an antidepressant. Of these, it is estimated that a residual 5% (5,000 patients) remain on a branded product for which a direct generic equivalent is available.</w:t>
      </w:r>
    </w:p>
    <w:p w14:paraId="5F618538" w14:textId="77777777" w:rsidR="00963EC2" w:rsidRPr="005C5C1A" w:rsidRDefault="00963EC2" w:rsidP="00963EC2">
      <w:pPr>
        <w:widowControl w:val="0"/>
        <w:numPr>
          <w:ilvl w:val="1"/>
          <w:numId w:val="35"/>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The model assumes that Cordance's nudges successfully prompt a conversion to the generic alternative for </w:t>
      </w:r>
      <w:r w:rsidRPr="005C5C1A">
        <w:rPr>
          <w:rFonts w:ascii="PP Neue Montreal Book" w:eastAsia="Google Sans Text" w:hAnsi="PP Neue Montreal Book" w:cs="Google Sans Text"/>
          <w:b/>
          <w:color w:val="1B1C1D"/>
          <w:sz w:val="22"/>
          <w:szCs w:val="22"/>
        </w:rPr>
        <w:t>10%</w:t>
      </w:r>
      <w:r w:rsidRPr="005C5C1A">
        <w:rPr>
          <w:rFonts w:ascii="PP Neue Montreal Book" w:eastAsia="Google Sans Text" w:hAnsi="PP Neue Montreal Book" w:cs="Google Sans Text"/>
          <w:color w:val="1B1C1D"/>
          <w:sz w:val="22"/>
          <w:szCs w:val="22"/>
        </w:rPr>
        <w:t xml:space="preserve"> of this target population.</w:t>
      </w:r>
    </w:p>
    <w:p w14:paraId="3B4093AE" w14:textId="77777777" w:rsidR="00963EC2" w:rsidRPr="005C5C1A" w:rsidRDefault="00963EC2" w:rsidP="00963EC2">
      <w:pPr>
        <w:widowControl w:val="0"/>
        <w:numPr>
          <w:ilvl w:val="1"/>
          <w:numId w:val="35"/>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5,000 patients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0.10 conversion rate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$400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month</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savings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12</w:t>
      </w:r>
      <w:r>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year</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months​=</w:t>
      </w:r>
      <w:r>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$2,400,000 annually</w:t>
      </w:r>
    </w:p>
    <w:p w14:paraId="376E47FD" w14:textId="77777777" w:rsidR="00963EC2" w:rsidRPr="00095483" w:rsidRDefault="00963EC2" w:rsidP="00963EC2">
      <w:pPr>
        <w:pBdr>
          <w:top w:val="nil"/>
          <w:left w:val="nil"/>
          <w:bottom w:val="nil"/>
          <w:right w:val="nil"/>
          <w:between w:val="nil"/>
        </w:pBdr>
        <w:spacing w:before="240" w:after="240"/>
        <w:rPr>
          <w:rFonts w:ascii="PP Neue Montreal Book" w:eastAsia="Google Sans Text" w:hAnsi="PP Neue Montreal Book" w:cs="Google Sans Text"/>
          <w:color w:val="215E99"/>
          <w:sz w:val="22"/>
          <w:szCs w:val="22"/>
        </w:rPr>
      </w:pPr>
    </w:p>
    <w:p w14:paraId="1CCC7D38" w14:textId="77777777" w:rsidR="00963EC2" w:rsidRPr="00095483" w:rsidRDefault="00963EC2" w:rsidP="00963EC2">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(Biologic Example)</w:t>
      </w:r>
    </w:p>
    <w:p w14:paraId="6BEC8BAF" w14:textId="77777777" w:rsidR="00963EC2" w:rsidRPr="005C5C1A" w:rsidRDefault="00963EC2" w:rsidP="00963EC2">
      <w:pPr>
        <w:widowControl w:val="0"/>
        <w:numPr>
          <w:ilvl w:val="0"/>
          <w:numId w:val="3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Prescription:</w:t>
      </w:r>
      <w:r w:rsidRPr="005C5C1A">
        <w:rPr>
          <w:rFonts w:ascii="PP Neue Montreal Book" w:eastAsia="Google Sans Text" w:hAnsi="PP Neue Montreal Book" w:cs="Google Sans Text"/>
          <w:color w:val="1B1C1D"/>
          <w:sz w:val="22"/>
          <w:szCs w:val="22"/>
        </w:rPr>
        <w:t xml:space="preserve"> The cost differential between branded biologics and their biosimilar counterparts is dramatic. The annual cost for a biologic to treat rheumatoid arthritis can range from $10,000 to $30,000.</w:t>
      </w:r>
      <w:r w:rsidRPr="005C5C1A">
        <w:rPr>
          <w:rFonts w:ascii="PP Neue Montreal Book" w:eastAsia="Google Sans Text" w:hAnsi="PP Neue Montreal Book" w:cs="Google Sans Text"/>
          <w:color w:val="575B5F"/>
          <w:sz w:val="22"/>
          <w:szCs w:val="22"/>
          <w:vertAlign w:val="superscript"/>
        </w:rPr>
        <w:t>29</w:t>
      </w:r>
      <w:r w:rsidRPr="005C5C1A">
        <w:rPr>
          <w:rFonts w:ascii="PP Neue Montreal Book" w:eastAsia="Google Sans Text" w:hAnsi="PP Neue Montreal Book" w:cs="Google Sans Text"/>
          <w:color w:val="1B1C1D"/>
          <w:sz w:val="22"/>
          <w:szCs w:val="22"/>
        </w:rPr>
        <w:t xml:space="preserve"> The list price for Humira, a leading biologic, is approximately $6,600 per month, while some of its biosimilars have launched with list prices as low as $995 per month, creating a potential savings of over $5,000 per patient per month.</w:t>
      </w:r>
      <w:r w:rsidRPr="005C5C1A">
        <w:rPr>
          <w:rFonts w:ascii="PP Neue Montreal Book" w:eastAsia="Google Sans Text" w:hAnsi="PP Neue Montreal Book" w:cs="Google Sans Text"/>
          <w:color w:val="575B5F"/>
          <w:sz w:val="22"/>
          <w:szCs w:val="22"/>
          <w:vertAlign w:val="superscript"/>
        </w:rPr>
        <w:t>30</w:t>
      </w:r>
      <w:r w:rsidRPr="005C5C1A">
        <w:rPr>
          <w:rFonts w:ascii="PP Neue Montreal Book" w:eastAsia="Google Sans Text" w:hAnsi="PP Neue Montreal Book" w:cs="Google Sans Text"/>
          <w:color w:val="1B1C1D"/>
          <w:sz w:val="22"/>
          <w:szCs w:val="22"/>
        </w:rPr>
        <w:t xml:space="preserve"> This analysis uses a blended, conservative savings estimate of</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$2,500 per month</w:t>
      </w:r>
      <w:r w:rsidRPr="005C5C1A">
        <w:rPr>
          <w:rFonts w:ascii="PP Neue Montreal Book" w:eastAsia="Google Sans Text" w:hAnsi="PP Neue Montreal Book" w:cs="Google Sans Text"/>
          <w:color w:val="1B1C1D"/>
          <w:sz w:val="22"/>
          <w:szCs w:val="22"/>
        </w:rPr>
        <w:t xml:space="preserve"> per patient converted to a biosimilar.</w:t>
      </w:r>
    </w:p>
    <w:p w14:paraId="6CB79735" w14:textId="77777777" w:rsidR="00963EC2" w:rsidRPr="005C5C1A" w:rsidRDefault="00963EC2" w:rsidP="00963EC2">
      <w:pPr>
        <w:widowControl w:val="0"/>
        <w:numPr>
          <w:ilvl w:val="0"/>
          <w:numId w:val="3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 (Biologics):</w:t>
      </w:r>
    </w:p>
    <w:p w14:paraId="5A30B5FA" w14:textId="77777777" w:rsidR="00963EC2" w:rsidRPr="005C5C1A" w:rsidRDefault="00963EC2" w:rsidP="00963EC2">
      <w:pPr>
        <w:widowControl w:val="0"/>
        <w:numPr>
          <w:ilvl w:val="1"/>
          <w:numId w:val="37"/>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Patient Volume:</w:t>
      </w:r>
      <w:r w:rsidRPr="005C5C1A">
        <w:rPr>
          <w:rFonts w:ascii="PP Neue Montreal Book" w:eastAsia="Google Sans Text" w:hAnsi="PP Neue Montreal Book" w:cs="Google Sans Text"/>
          <w:color w:val="1B1C1D"/>
          <w:sz w:val="22"/>
          <w:szCs w:val="22"/>
        </w:rPr>
        <w:t xml:space="preserve"> Assuming a 0.5% prevalence of RA in the 2 million patient population yields 10,000 patients. It is further assumed that 20% of these patients (2,000) are on a branded biologic for which a biosimilar is a clinically appropriate and available alternative.</w:t>
      </w:r>
    </w:p>
    <w:p w14:paraId="19C21D0D" w14:textId="77777777" w:rsidR="00963EC2" w:rsidRPr="005C5C1A" w:rsidRDefault="00963EC2" w:rsidP="00963EC2">
      <w:pPr>
        <w:widowControl w:val="0"/>
        <w:numPr>
          <w:ilvl w:val="1"/>
          <w:numId w:val="37"/>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Cordance successfully influences the conversion to a preferred biosimilar for </w:t>
      </w:r>
      <w:r w:rsidRPr="005C5C1A">
        <w:rPr>
          <w:rFonts w:ascii="PP Neue Montreal Book" w:eastAsia="Google Sans Text" w:hAnsi="PP Neue Montreal Book" w:cs="Google Sans Text"/>
          <w:b/>
          <w:color w:val="1B1C1D"/>
          <w:sz w:val="22"/>
          <w:szCs w:val="22"/>
        </w:rPr>
        <w:t>10%</w:t>
      </w:r>
      <w:r w:rsidRPr="005C5C1A">
        <w:rPr>
          <w:rFonts w:ascii="PP Neue Montreal Book" w:eastAsia="Google Sans Text" w:hAnsi="PP Neue Montreal Book" w:cs="Google Sans Text"/>
          <w:color w:val="1B1C1D"/>
          <w:sz w:val="22"/>
          <w:szCs w:val="22"/>
        </w:rPr>
        <w:t xml:space="preserve"> of this target patient group.</w:t>
      </w:r>
    </w:p>
    <w:p w14:paraId="46E13E69" w14:textId="77777777" w:rsidR="00963EC2" w:rsidRPr="005C5C1A" w:rsidRDefault="00963EC2" w:rsidP="00963EC2">
      <w:pPr>
        <w:widowControl w:val="0"/>
        <w:numPr>
          <w:ilvl w:val="1"/>
          <w:numId w:val="37"/>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2,000 patients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0.10 conversion rate</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$2,500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month</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savings​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12</w:t>
      </w:r>
      <w:r>
        <w:rPr>
          <w:rFonts w:ascii="PP Neue Montreal Book" w:eastAsia="Google Sans Text" w:hAnsi="PP Neue Montreal Book" w:cs="Google Sans Text"/>
          <w:color w:val="1B1C1D"/>
          <w:sz w:val="22"/>
          <w:szCs w:val="22"/>
        </w:rPr>
        <w:t>-yea</w:t>
      </w:r>
      <w:r w:rsidRPr="005C5C1A">
        <w:rPr>
          <w:rFonts w:ascii="PP Neue Montreal Book" w:eastAsia="Google Sans Text" w:hAnsi="PP Neue Montreal Book" w:cs="Google Sans Text"/>
          <w:color w:val="1B1C1D"/>
          <w:sz w:val="22"/>
          <w:szCs w:val="22"/>
        </w:rPr>
        <w:t>r</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months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$6,000,000 annually</w:t>
      </w:r>
    </w:p>
    <w:p w14:paraId="3442851C" w14:textId="66A95C14" w:rsidR="00D46E1A" w:rsidRPr="00095483" w:rsidRDefault="00D46E1A" w:rsidP="00D46E1A">
      <w:pPr>
        <w:spacing w:before="360" w:after="0"/>
        <w:rPr>
          <w:rFonts w:ascii="PP Neue Montreal" w:hAnsi="PP Neue Montreal"/>
          <w:b/>
          <w:color w:val="215E99"/>
        </w:rPr>
      </w:pPr>
      <w:r w:rsidRPr="00D46E1A">
        <w:rPr>
          <w:rFonts w:ascii="IvyPresto Display Thin" w:hAnsi="IvyPresto Display Thin" w:cs="IvyPresto Display Thin"/>
          <w:b/>
          <w:color w:val="215E99"/>
        </w:rPr>
        <w:t>(</w:t>
      </w:r>
      <w:r w:rsidR="00875645">
        <w:rPr>
          <w:rFonts w:ascii="IvyPresto Display Thin" w:hAnsi="IvyPresto Display Thin" w:cs="IvyPresto Display Thin"/>
          <w:b/>
          <w:color w:val="215E99"/>
        </w:rPr>
        <w:t>3</w:t>
      </w:r>
      <w:r w:rsidRPr="00D46E1A">
        <w:rPr>
          <w:rFonts w:ascii="IvyPresto Display Thin" w:hAnsi="IvyPresto Display Thin" w:cs="IvyPresto Display Thin"/>
          <w:b/>
          <w:color w:val="215E99"/>
        </w:rPr>
        <w:t>b.)</w:t>
      </w:r>
      <w:r w:rsidRPr="00095483">
        <w:rPr>
          <w:rFonts w:ascii="IvyPresto Display Thin" w:hAnsi="IvyPresto Display Thin" w:cs="IvyPresto Display Thin"/>
          <w:b/>
          <w:color w:val="215E99"/>
        </w:rPr>
        <w:t xml:space="preserve"> </w:t>
      </w:r>
      <w:r w:rsidRPr="00095483">
        <w:rPr>
          <w:rFonts w:ascii="PP Neue Montreal Book" w:hAnsi="PP Neue Montreal Book" w:cs="IvyPresto Display Thin"/>
          <w:b/>
          <w:color w:val="215E99"/>
        </w:rPr>
        <w:t>Decreasing System-Wide Costs</w:t>
      </w:r>
      <w:r w:rsidRPr="00095483">
        <w:rPr>
          <w:rFonts w:ascii="PP Neue Montreal" w:hAnsi="PP Neue Montreal"/>
          <w:b/>
          <w:color w:val="215E99"/>
        </w:rPr>
        <w:t xml:space="preserve"> </w:t>
      </w:r>
      <w:r w:rsidRPr="00095483">
        <w:rPr>
          <w:rFonts w:ascii="IvyPresto Display Thin" w:hAnsi="IvyPresto Display Thin" w:cs="IvyPresto Display Thin"/>
          <w:bCs/>
          <w:i/>
          <w:iCs/>
          <w:color w:val="215E99"/>
        </w:rPr>
        <w:t>(Unreimbursed Care &amp; Physician Turnover)</w:t>
      </w:r>
    </w:p>
    <w:p w14:paraId="76F96147" w14:textId="77777777" w:rsidR="00D46E1A" w:rsidRDefault="00D46E1A" w:rsidP="00D46E1A">
      <w:pPr>
        <w:pBdr>
          <w:top w:val="nil"/>
          <w:left w:val="nil"/>
          <w:bottom w:val="nil"/>
          <w:right w:val="nil"/>
          <w:between w:val="nil"/>
        </w:pBdr>
        <w:spacing w:after="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Two of the most significant and challenging costs for a health system are caring for patients who cannot pay and replacing physicians who leave due to burnout. Cordance addresses both of these issues indirectly but powerfully. By preventing the progression of chronic disease, it reduces the number of catastrophic, unreimbursed acute care episodes. By reducing administrative workload and cognitive burden, it directly targets a primary driver of physician burnout.</w:t>
      </w:r>
    </w:p>
    <w:p w14:paraId="5815E664" w14:textId="77777777" w:rsidR="00D46E1A" w:rsidRPr="00095483" w:rsidRDefault="00D46E1A" w:rsidP="00D46E1A">
      <w:pPr>
        <w:pBdr>
          <w:top w:val="nil"/>
          <w:left w:val="nil"/>
          <w:bottom w:val="nil"/>
          <w:right w:val="nil"/>
          <w:between w:val="nil"/>
        </w:pBdr>
        <w:spacing w:after="240"/>
        <w:rPr>
          <w:rFonts w:ascii="PP Neue Montreal Book" w:eastAsia="Google Sans Text" w:hAnsi="PP Neue Montreal Book" w:cs="Google Sans Text"/>
          <w:color w:val="215E99"/>
          <w:sz w:val="22"/>
          <w:szCs w:val="22"/>
        </w:rPr>
      </w:pPr>
    </w:p>
    <w:p w14:paraId="5B345F12" w14:textId="77777777" w:rsidR="00D46E1A" w:rsidRPr="00095483" w:rsidRDefault="00D46E1A" w:rsidP="00D46E1A">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(Unreimbursed Care)</w:t>
      </w:r>
    </w:p>
    <w:p w14:paraId="03302017" w14:textId="77777777" w:rsidR="00D46E1A" w:rsidRPr="005C5C1A" w:rsidRDefault="00D46E1A" w:rsidP="00D46E1A">
      <w:pPr>
        <w:widowControl w:val="0"/>
        <w:numPr>
          <w:ilvl w:val="0"/>
          <w:numId w:val="4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Incident:</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We estimated the cost of a preventable, acute event in an underinsured patient. A preventable ED visit for a common condition costs over $2,000.</w:t>
      </w:r>
      <w:r w:rsidRPr="005C5C1A">
        <w:rPr>
          <w:rFonts w:ascii="PP Neue Montreal Book" w:eastAsia="Google Sans Text" w:hAnsi="PP Neue Montreal Book" w:cs="Google Sans Text"/>
          <w:color w:val="575B5F"/>
          <w:sz w:val="22"/>
          <w:szCs w:val="22"/>
          <w:vertAlign w:val="superscript"/>
        </w:rPr>
        <w:t>41</w:t>
      </w:r>
      <w:r w:rsidRPr="005C5C1A">
        <w:rPr>
          <w:rFonts w:ascii="PP Neue Montreal Book" w:eastAsia="Google Sans Text" w:hAnsi="PP Neue Montreal Book" w:cs="Google Sans Text"/>
          <w:color w:val="1B1C1D"/>
          <w:sz w:val="22"/>
          <w:szCs w:val="22"/>
        </w:rPr>
        <w:t xml:space="preserve"> A more serious event like a heart attack, as noted in the memo, would lead to an inpatient stay with costs far exceeding that. This analysis will use a blended cost of</w:t>
      </w:r>
      <w:r>
        <w:rPr>
          <w:rFonts w:ascii="PP Neue Montreal Book" w:hAnsi="PP Neue Montreal Book"/>
          <w:color w:val="000000"/>
          <w:sz w:val="22"/>
          <w:szCs w:val="22"/>
        </w:rPr>
        <w:t xml:space="preserve"> </w:t>
      </w:r>
      <w:r w:rsidRPr="005C5C1A">
        <w:rPr>
          <w:rFonts w:ascii="PP Neue Montreal Book" w:eastAsia="Google Sans Text" w:hAnsi="PP Neue Montreal Book" w:cs="Google Sans Text"/>
          <w:b/>
          <w:color w:val="1B1C1D"/>
          <w:sz w:val="22"/>
          <w:szCs w:val="22"/>
        </w:rPr>
        <w:t>$10,000</w:t>
      </w:r>
      <w:r w:rsidRPr="005C5C1A">
        <w:rPr>
          <w:rFonts w:ascii="PP Neue Montreal Book" w:eastAsia="Google Sans Text" w:hAnsi="PP Neue Montreal Book" w:cs="Google Sans Text"/>
          <w:color w:val="1B1C1D"/>
          <w:sz w:val="22"/>
          <w:szCs w:val="22"/>
        </w:rPr>
        <w:t xml:space="preserve"> for a significant acute event that results in unreimbursed care.</w:t>
      </w:r>
    </w:p>
    <w:p w14:paraId="684BD111" w14:textId="77777777" w:rsidR="00D46E1A" w:rsidRPr="005C5C1A" w:rsidRDefault="00D46E1A" w:rsidP="00D46E1A">
      <w:pPr>
        <w:widowControl w:val="0"/>
        <w:numPr>
          <w:ilvl w:val="0"/>
          <w:numId w:val="4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w:t>
      </w:r>
    </w:p>
    <w:p w14:paraId="3FA07AA8" w14:textId="77777777" w:rsidR="00D46E1A" w:rsidRPr="005C5C1A" w:rsidRDefault="00D46E1A" w:rsidP="00D46E1A">
      <w:pPr>
        <w:widowControl w:val="0"/>
        <w:numPr>
          <w:ilvl w:val="1"/>
          <w:numId w:val="49"/>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Preventable Events:</w:t>
      </w:r>
      <w:r w:rsidRPr="005C5C1A">
        <w:rPr>
          <w:rFonts w:ascii="PP Neue Montreal Book" w:eastAsia="Google Sans Text" w:hAnsi="PP Neue Montreal Book" w:cs="Google Sans Text"/>
          <w:color w:val="1B1C1D"/>
          <w:sz w:val="22"/>
          <w:szCs w:val="22"/>
        </w:rPr>
        <w:t xml:space="preserve"> It is assumed that Cordance's alerts around "therapeutic inertia" (e.g., failure to titrate antihypertensive medications) successfully prevent </w:t>
      </w:r>
      <w:r w:rsidRPr="005C5C1A">
        <w:rPr>
          <w:rFonts w:ascii="PP Neue Montreal Book" w:eastAsia="Google Sans Text" w:hAnsi="PP Neue Montreal Book" w:cs="Google Sans Text"/>
          <w:b/>
          <w:color w:val="1B1C1D"/>
          <w:sz w:val="22"/>
          <w:szCs w:val="22"/>
        </w:rPr>
        <w:t>50 major adverse cardiovascular events</w:t>
      </w:r>
      <w:r w:rsidRPr="005C5C1A">
        <w:rPr>
          <w:rFonts w:ascii="PP Neue Montreal Book" w:eastAsia="Google Sans Text" w:hAnsi="PP Neue Montreal Book" w:cs="Google Sans Text"/>
          <w:color w:val="1B1C1D"/>
          <w:sz w:val="22"/>
          <w:szCs w:val="22"/>
        </w:rPr>
        <w:t xml:space="preserve"> per year within the health system's at-risk, underinsured patient population. In a known CVD population (secondary prevention), avoided costs will begin to accrue at the end of the first year and continue for another 2-3 years.  There are numerous other secondary prevention opportunities we did not include in this analysis, making the number below very conservative.  We understand that while these are avoided costs from a TCOC perspective, they are also avoided revenue (assuming the health system retains responsibility for the avoided services).  Cordance will always prioritize doing what is best for the patient.</w:t>
      </w:r>
    </w:p>
    <w:p w14:paraId="0A8E44B8" w14:textId="77777777" w:rsidR="00D46E1A" w:rsidRPr="005C5C1A" w:rsidRDefault="00D46E1A" w:rsidP="00D46E1A">
      <w:pPr>
        <w:widowControl w:val="0"/>
        <w:numPr>
          <w:ilvl w:val="1"/>
          <w:numId w:val="49"/>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50 prevented events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$10,000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event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cost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$500,000 annually</w:t>
      </w:r>
    </w:p>
    <w:p w14:paraId="0EEEF77A" w14:textId="77777777" w:rsidR="00D46E1A" w:rsidRPr="00095483" w:rsidRDefault="00D46E1A" w:rsidP="00D46E1A">
      <w:pPr>
        <w:pBdr>
          <w:top w:val="nil"/>
          <w:left w:val="nil"/>
          <w:bottom w:val="nil"/>
          <w:right w:val="nil"/>
          <w:between w:val="nil"/>
        </w:pBdr>
        <w:spacing w:before="240" w:after="240"/>
        <w:rPr>
          <w:rFonts w:ascii="PP Neue Montreal Book" w:eastAsia="Google Sans Text" w:hAnsi="PP Neue Montreal Book" w:cs="Google Sans Text"/>
          <w:color w:val="215E99"/>
          <w:sz w:val="22"/>
          <w:szCs w:val="22"/>
        </w:rPr>
      </w:pPr>
    </w:p>
    <w:p w14:paraId="0098B261" w14:textId="77777777" w:rsidR="00D46E1A" w:rsidRPr="00095483" w:rsidRDefault="00D46E1A" w:rsidP="00D46E1A">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(Physician Turnover)</w:t>
      </w:r>
    </w:p>
    <w:p w14:paraId="7CFFE968" w14:textId="77777777" w:rsidR="00D46E1A" w:rsidRPr="005C5C1A" w:rsidRDefault="00D46E1A" w:rsidP="00D46E1A">
      <w:pPr>
        <w:widowControl w:val="0"/>
        <w:numPr>
          <w:ilvl w:val="0"/>
          <w:numId w:val="50"/>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Physician:</w:t>
      </w:r>
      <w:r w:rsidRPr="005C5C1A">
        <w:rPr>
          <w:rFonts w:ascii="PP Neue Montreal Book" w:eastAsia="Google Sans Text" w:hAnsi="PP Neue Montreal Book" w:cs="Google Sans Text"/>
          <w:color w:val="1B1C1D"/>
          <w:sz w:val="22"/>
          <w:szCs w:val="22"/>
        </w:rPr>
        <w:t xml:space="preserve"> The cost of replacing a physician is exceptionally high, encompassing recruitment expenses, sign-on bonuses, and lost revenue during the transition and ramp-up period. Conservative estimates place this cost between </w:t>
      </w:r>
      <w:r w:rsidRPr="005C5C1A">
        <w:rPr>
          <w:rFonts w:ascii="PP Neue Montreal Book" w:eastAsia="Google Sans Text" w:hAnsi="PP Neue Montreal Book" w:cs="Google Sans Text"/>
          <w:b/>
          <w:color w:val="1B1C1D"/>
          <w:sz w:val="22"/>
          <w:szCs w:val="22"/>
        </w:rPr>
        <w:t>$500,000 and over $1 million</w:t>
      </w:r>
      <w:r w:rsidRPr="005C5C1A">
        <w:rPr>
          <w:rFonts w:ascii="PP Neue Montreal Book" w:eastAsia="Google Sans Text" w:hAnsi="PP Neue Montreal Book" w:cs="Google Sans Text"/>
          <w:color w:val="1B1C1D"/>
          <w:sz w:val="22"/>
          <w:szCs w:val="22"/>
        </w:rPr>
        <w:t xml:space="preserve"> per physician.</w:t>
      </w:r>
      <w:r w:rsidRPr="005C5C1A">
        <w:rPr>
          <w:rFonts w:ascii="PP Neue Montreal Book" w:eastAsia="Google Sans Text" w:hAnsi="PP Neue Montreal Book" w:cs="Google Sans Text"/>
          <w:color w:val="575B5F"/>
          <w:sz w:val="22"/>
          <w:szCs w:val="22"/>
          <w:vertAlign w:val="superscript"/>
        </w:rPr>
        <w:t>42</w:t>
      </w:r>
      <w:r w:rsidRPr="005C5C1A">
        <w:rPr>
          <w:rFonts w:ascii="PP Neue Montreal Book" w:eastAsia="Google Sans Text" w:hAnsi="PP Neue Montreal Book" w:cs="Google Sans Text"/>
          <w:color w:val="1B1C1D"/>
          <w:sz w:val="22"/>
          <w:szCs w:val="22"/>
        </w:rPr>
        <w:t xml:space="preserve"> This analysis will use an average cost of</w:t>
      </w:r>
      <w:r>
        <w:rPr>
          <w:rFonts w:ascii="PP Neue Montreal Book" w:hAnsi="PP Neue Montreal Book"/>
          <w:color w:val="000000"/>
          <w:sz w:val="22"/>
          <w:szCs w:val="22"/>
        </w:rPr>
        <w:t xml:space="preserve"> </w:t>
      </w:r>
      <w:r w:rsidRPr="005C5C1A">
        <w:rPr>
          <w:rFonts w:ascii="PP Neue Montreal Book" w:eastAsia="Google Sans Text" w:hAnsi="PP Neue Montreal Book" w:cs="Google Sans Text"/>
          <w:b/>
          <w:color w:val="1B1C1D"/>
          <w:sz w:val="22"/>
          <w:szCs w:val="22"/>
        </w:rPr>
        <w:t>$750,000 per physician</w:t>
      </w:r>
      <w:r w:rsidRPr="005C5C1A">
        <w:rPr>
          <w:rFonts w:ascii="PP Neue Montreal Book" w:eastAsia="Google Sans Text" w:hAnsi="PP Neue Montreal Book" w:cs="Google Sans Text"/>
          <w:color w:val="1B1C1D"/>
          <w:sz w:val="22"/>
          <w:szCs w:val="22"/>
        </w:rPr>
        <w:t>.</w:t>
      </w:r>
    </w:p>
    <w:p w14:paraId="00AA4780" w14:textId="77777777" w:rsidR="00D46E1A" w:rsidRPr="005C5C1A" w:rsidRDefault="00D46E1A" w:rsidP="00D46E1A">
      <w:pPr>
        <w:widowControl w:val="0"/>
        <w:numPr>
          <w:ilvl w:val="0"/>
          <w:numId w:val="50"/>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w:t>
      </w:r>
    </w:p>
    <w:p w14:paraId="1F85BD2A" w14:textId="77777777" w:rsidR="00D46E1A" w:rsidRPr="005C5C1A" w:rsidRDefault="00D46E1A" w:rsidP="00D46E1A">
      <w:pPr>
        <w:widowControl w:val="0"/>
        <w:numPr>
          <w:ilvl w:val="1"/>
          <w:numId w:val="5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Turnover Rate:</w:t>
      </w:r>
      <w:r w:rsidRPr="005C5C1A">
        <w:rPr>
          <w:rFonts w:ascii="PP Neue Montreal Book" w:eastAsia="Google Sans Text" w:hAnsi="PP Neue Montreal Book" w:cs="Google Sans Text"/>
          <w:color w:val="1B1C1D"/>
          <w:sz w:val="22"/>
          <w:szCs w:val="22"/>
        </w:rPr>
        <w:t xml:space="preserve"> The memo assumes four clinicians leave per year due to burnout, a plausible figure for a large system.</w:t>
      </w:r>
      <w:r w:rsidRPr="005C5C1A">
        <w:rPr>
          <w:rFonts w:ascii="PP Neue Montreal Book" w:eastAsia="Google Sans Text" w:hAnsi="PP Neue Montreal Book" w:cs="Google Sans Text"/>
          <w:color w:val="575B5F"/>
          <w:sz w:val="22"/>
          <w:szCs w:val="22"/>
          <w:vertAlign w:val="superscript"/>
        </w:rPr>
        <w:t>7</w:t>
      </w:r>
    </w:p>
    <w:p w14:paraId="68B6A88F" w14:textId="77777777" w:rsidR="00D46E1A" w:rsidRPr="005C5C1A" w:rsidRDefault="00D46E1A" w:rsidP="00D46E1A">
      <w:pPr>
        <w:widowControl w:val="0"/>
        <w:numPr>
          <w:ilvl w:val="1"/>
          <w:numId w:val="5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by reducing administrative burdens (like prior authorizations) and cognitive load, the Cordance platform contributes to the retention of </w:t>
      </w:r>
      <w:r w:rsidRPr="005C5C1A">
        <w:rPr>
          <w:rFonts w:ascii="PP Neue Montreal Book" w:eastAsia="Google Sans Text" w:hAnsi="PP Neue Montreal Book" w:cs="Google Sans Text"/>
          <w:b/>
          <w:color w:val="1B1C1D"/>
          <w:sz w:val="22"/>
          <w:szCs w:val="22"/>
        </w:rPr>
        <w:t>two</w:t>
      </w:r>
      <w:r w:rsidRPr="005C5C1A">
        <w:rPr>
          <w:rFonts w:ascii="PP Neue Montreal Book" w:eastAsia="Google Sans Text" w:hAnsi="PP Neue Montreal Book" w:cs="Google Sans Text"/>
          <w:color w:val="1B1C1D"/>
          <w:sz w:val="22"/>
          <w:szCs w:val="22"/>
        </w:rPr>
        <w:t xml:space="preserve"> of these physicians each year.</w:t>
      </w:r>
    </w:p>
    <w:p w14:paraId="426D530C" w14:textId="77777777" w:rsidR="00D46E1A" w:rsidRPr="005C5C1A" w:rsidRDefault="00D46E1A" w:rsidP="00D46E1A">
      <w:pPr>
        <w:widowControl w:val="0"/>
        <w:numPr>
          <w:ilvl w:val="1"/>
          <w:numId w:val="51"/>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2</w:t>
      </w:r>
      <w:r>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year</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retained physicians</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$750,000</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physician</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cost</w:t>
      </w:r>
      <w:r>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$1,500,000 annually</w:t>
      </w:r>
    </w:p>
    <w:p w14:paraId="114AB12C" w14:textId="77777777" w:rsidR="00963EC2" w:rsidRPr="005C5C1A" w:rsidRDefault="00963EC2"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p>
    <w:p w14:paraId="2E8E38D7" w14:textId="172C5217" w:rsidR="005C5C1A" w:rsidRPr="00095483" w:rsidRDefault="005C5C1A" w:rsidP="00095483">
      <w:pPr>
        <w:spacing w:before="360" w:after="0"/>
        <w:rPr>
          <w:rFonts w:ascii="IvyPresto Display Thin" w:hAnsi="IvyPresto Display Thin" w:cs="IvyPresto Display Thin"/>
          <w:b/>
          <w:i/>
          <w:iCs/>
          <w:color w:val="215E99"/>
        </w:rPr>
      </w:pPr>
      <w:r w:rsidRPr="00095483">
        <w:rPr>
          <w:rFonts w:ascii="IvyPresto Display Thin" w:hAnsi="IvyPresto Display Thin" w:cs="IvyPresto Display Thin"/>
          <w:b/>
          <w:color w:val="215E99"/>
        </w:rPr>
        <w:t>(</w:t>
      </w:r>
      <w:r w:rsidR="00875645">
        <w:rPr>
          <w:rFonts w:ascii="IvyPresto Display Thin" w:hAnsi="IvyPresto Display Thin" w:cs="IvyPresto Display Thin"/>
          <w:b/>
          <w:color w:val="215E99"/>
        </w:rPr>
        <w:t>3</w:t>
      </w:r>
      <w:r w:rsidR="00D46E1A" w:rsidRPr="00D46E1A">
        <w:rPr>
          <w:rFonts w:ascii="IvyPresto Display Thin" w:hAnsi="IvyPresto Display Thin" w:cs="IvyPresto Display Thin"/>
          <w:b/>
          <w:color w:val="215E99"/>
        </w:rPr>
        <w:t>c</w:t>
      </w:r>
      <w:r w:rsidRPr="00095483">
        <w:rPr>
          <w:rFonts w:ascii="IvyPresto Display Thin" w:hAnsi="IvyPresto Display Thin" w:cs="IvyPresto Display Thin"/>
          <w:b/>
          <w:color w:val="215E99"/>
        </w:rPr>
        <w:t xml:space="preserve">.) </w:t>
      </w:r>
      <w:r w:rsidRPr="00095483">
        <w:rPr>
          <w:rFonts w:ascii="PP Neue Montreal Book" w:hAnsi="PP Neue Montreal Book" w:cs="IvyPresto Display Thin"/>
          <w:b/>
          <w:color w:val="215E99"/>
        </w:rPr>
        <w:t>Reducing Spend on Unnecessary</w:t>
      </w:r>
      <w:r w:rsidRPr="00095483">
        <w:rPr>
          <w:rFonts w:ascii="PP Neue Montreal" w:hAnsi="PP Neue Montreal"/>
          <w:b/>
          <w:color w:val="215E99"/>
        </w:rPr>
        <w:t xml:space="preserve"> </w:t>
      </w:r>
      <w:r w:rsidRPr="00095483">
        <w:rPr>
          <w:rFonts w:ascii="IvyPresto Display Thin" w:hAnsi="IvyPresto Display Thin" w:cs="IvyPresto Display Thin"/>
          <w:bCs/>
          <w:i/>
          <w:iCs/>
          <w:color w:val="215E99"/>
        </w:rPr>
        <w:t>Higher-Level Diagnostics (MRI vs. X-ray)</w:t>
      </w:r>
    </w:p>
    <w:p w14:paraId="21274B4D" w14:textId="77777777" w:rsidR="005C5C1A" w:rsidRPr="005C5C1A" w:rsidRDefault="005C5C1A" w:rsidP="00095483">
      <w:pPr>
        <w:pBdr>
          <w:top w:val="nil"/>
          <w:left w:val="nil"/>
          <w:bottom w:val="nil"/>
          <w:right w:val="nil"/>
          <w:between w:val="nil"/>
        </w:pBdr>
        <w:spacing w:after="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A common source of inefficiency and excess cost in healthcare is the use of high-cost diagnostic imaging when a lower-cost alternative would be clinically sufficient. For example, ordering an MRI for an initial musculoskeletal complaint where an X-ray could effectively rule out a fracture is a frequent pattern of over-utilization. In fee-for-service models, this drives revenue; however, in VBC models where the health system is at risk for the cost, it directly erodes margins.</w:t>
      </w:r>
    </w:p>
    <w:p w14:paraId="428E8443" w14:textId="77777777" w:rsidR="00095483" w:rsidRPr="005C5C1A" w:rsidRDefault="00095483" w:rsidP="00095483">
      <w:pPr>
        <w:pBdr>
          <w:top w:val="nil"/>
          <w:left w:val="nil"/>
          <w:bottom w:val="nil"/>
          <w:right w:val="nil"/>
          <w:between w:val="nil"/>
        </w:pBdr>
        <w:spacing w:after="0"/>
        <w:rPr>
          <w:rFonts w:ascii="PP Neue Montreal Book" w:eastAsia="Google Sans Text" w:hAnsi="PP Neue Montreal Book" w:cs="Google Sans Text"/>
          <w:color w:val="1B1C1D"/>
          <w:sz w:val="22"/>
          <w:szCs w:val="22"/>
        </w:rPr>
      </w:pPr>
    </w:p>
    <w:p w14:paraId="6B59F5F8" w14:textId="77777777" w:rsidR="005C5C1A" w:rsidRPr="005C5C1A" w:rsidRDefault="005C5C1A"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The Cordance platform addresses this by embedding local policies and evidence-based guidelines into the clinical workflow, nudging a physician toward the most appropriate and cost-effective diagnostic choice. By providing greater confidence in choosing an X-ray over an MRI when medically supported, Cordance helps eliminate unnecessary spending.</w:t>
      </w:r>
    </w:p>
    <w:p w14:paraId="44F425FD" w14:textId="77777777" w:rsidR="005C5C1A" w:rsidRPr="00095483" w:rsidRDefault="005C5C1A" w:rsidP="002555C1">
      <w:pPr>
        <w:pBdr>
          <w:top w:val="nil"/>
          <w:left w:val="nil"/>
          <w:bottom w:val="nil"/>
          <w:right w:val="nil"/>
          <w:between w:val="nil"/>
        </w:pBdr>
        <w:spacing w:after="240"/>
        <w:rPr>
          <w:rFonts w:ascii="PP Neue Montreal Book" w:eastAsia="Google Sans Text" w:hAnsi="PP Neue Montreal Book" w:cs="Google Sans Text"/>
          <w:color w:val="215E99"/>
          <w:sz w:val="22"/>
          <w:szCs w:val="22"/>
        </w:rPr>
      </w:pPr>
    </w:p>
    <w:p w14:paraId="2C413A66" w14:textId="77777777" w:rsidR="005C5C1A" w:rsidRPr="00095483"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w:t>
      </w:r>
    </w:p>
    <w:p w14:paraId="49C1DD4F" w14:textId="77777777" w:rsidR="005C5C1A" w:rsidRPr="005C5C1A" w:rsidRDefault="005C5C1A" w:rsidP="002555C1">
      <w:pPr>
        <w:widowControl w:val="0"/>
        <w:numPr>
          <w:ilvl w:val="0"/>
          <w:numId w:val="52"/>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Use:</w:t>
      </w:r>
      <w:r w:rsidRPr="005C5C1A">
        <w:rPr>
          <w:rFonts w:ascii="PP Neue Montreal Book" w:eastAsia="Google Sans Text" w:hAnsi="PP Neue Montreal Book" w:cs="Google Sans Text"/>
          <w:color w:val="1B1C1D"/>
          <w:sz w:val="22"/>
          <w:szCs w:val="22"/>
        </w:rPr>
        <w:t xml:space="preserve"> The memo's placeholder of "$1000 +/-" is a highly accurate estimate of the cost differential.</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The cash price for a simple X-ray can be as low as $100-$150, whereas an MRI typically costs between $1,200 and $4,000.</w:t>
      </w:r>
      <w:r w:rsidRPr="005C5C1A">
        <w:rPr>
          <w:rFonts w:ascii="PP Neue Montreal Book" w:eastAsia="Google Sans Text" w:hAnsi="PP Neue Montreal Book" w:cs="Google Sans Text"/>
          <w:color w:val="575B5F"/>
          <w:sz w:val="22"/>
          <w:szCs w:val="22"/>
          <w:vertAlign w:val="superscript"/>
        </w:rPr>
        <w:t>26</w:t>
      </w:r>
      <w:r w:rsidRPr="005C5C1A">
        <w:rPr>
          <w:rFonts w:ascii="PP Neue Montreal Book" w:eastAsia="Google Sans Text" w:hAnsi="PP Neue Montreal Book" w:cs="Google Sans Text"/>
          <w:color w:val="1B1C1D"/>
          <w:sz w:val="22"/>
          <w:szCs w:val="22"/>
        </w:rPr>
        <w:t xml:space="preserve"> This analysis will use a conservative cost avoidance figure of</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$1,000 per unnecessary MRI</w:t>
      </w:r>
      <w:r w:rsidRPr="005C5C1A">
        <w:rPr>
          <w:rFonts w:ascii="PP Neue Montreal Book" w:eastAsia="Google Sans Text" w:hAnsi="PP Neue Montreal Book" w:cs="Google Sans Text"/>
          <w:color w:val="1B1C1D"/>
          <w:sz w:val="22"/>
          <w:szCs w:val="22"/>
        </w:rPr>
        <w:t xml:space="preserve"> that is replaced with an X-ray or other lower-cost diagnostic.</w:t>
      </w:r>
    </w:p>
    <w:p w14:paraId="2D5401B5" w14:textId="77777777" w:rsidR="005C5C1A" w:rsidRPr="005C5C1A" w:rsidRDefault="005C5C1A" w:rsidP="002555C1">
      <w:pPr>
        <w:widowControl w:val="0"/>
        <w:numPr>
          <w:ilvl w:val="0"/>
          <w:numId w:val="52"/>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w:t>
      </w:r>
    </w:p>
    <w:p w14:paraId="0AD246B6" w14:textId="77777777" w:rsidR="005C5C1A" w:rsidRPr="005C5C1A" w:rsidRDefault="005C5C1A" w:rsidP="002555C1">
      <w:pPr>
        <w:widowControl w:val="0"/>
        <w:numPr>
          <w:ilvl w:val="1"/>
          <w:numId w:val="53"/>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Relevant Volume:</w:t>
      </w:r>
      <w:r w:rsidRPr="005C5C1A">
        <w:rPr>
          <w:rFonts w:ascii="PP Neue Montreal Book" w:eastAsia="Google Sans Text" w:hAnsi="PP Neue Montreal Book" w:cs="Google Sans Text"/>
          <w:color w:val="1B1C1D"/>
          <w:sz w:val="22"/>
          <w:szCs w:val="22"/>
        </w:rPr>
        <w:t xml:space="preserve"> A medium-to-large health system is assumed to perform </w:t>
      </w:r>
      <w:r w:rsidRPr="005C5C1A">
        <w:rPr>
          <w:rFonts w:ascii="PP Neue Montreal Book" w:eastAsia="Google Sans Text" w:hAnsi="PP Neue Montreal Book" w:cs="Google Sans Text"/>
          <w:b/>
          <w:color w:val="1B1C1D"/>
          <w:sz w:val="22"/>
          <w:szCs w:val="22"/>
        </w:rPr>
        <w:t>50,000 MRIs</w:t>
      </w:r>
      <w:r w:rsidRPr="005C5C1A">
        <w:rPr>
          <w:rFonts w:ascii="PP Neue Montreal Book" w:eastAsia="Google Sans Text" w:hAnsi="PP Neue Montreal Book" w:cs="Google Sans Text"/>
          <w:color w:val="1B1C1D"/>
          <w:sz w:val="22"/>
          <w:szCs w:val="22"/>
        </w:rPr>
        <w:t xml:space="preserve"> annually across all departments.</w:t>
      </w:r>
    </w:p>
    <w:p w14:paraId="3FEF724F" w14:textId="77777777" w:rsidR="005C5C1A" w:rsidRPr="005C5C1A" w:rsidRDefault="005C5C1A" w:rsidP="002555C1">
      <w:pPr>
        <w:widowControl w:val="0"/>
        <w:numPr>
          <w:ilvl w:val="1"/>
          <w:numId w:val="53"/>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Avoidable Rate:</w:t>
      </w:r>
      <w:r w:rsidRPr="005C5C1A">
        <w:rPr>
          <w:rFonts w:ascii="PP Neue Montreal Book" w:eastAsia="Google Sans Text" w:hAnsi="PP Neue Montreal Book" w:cs="Google Sans Text"/>
          <w:color w:val="1B1C1D"/>
          <w:sz w:val="22"/>
          <w:szCs w:val="22"/>
        </w:rPr>
        <w:t xml:space="preserve"> The model accepts the memo's reasonable assumption that </w:t>
      </w:r>
      <w:r w:rsidRPr="005C5C1A">
        <w:rPr>
          <w:rFonts w:ascii="PP Neue Montreal Book" w:eastAsia="Google Sans Text" w:hAnsi="PP Neue Montreal Book" w:cs="Google Sans Text"/>
          <w:b/>
          <w:color w:val="1B1C1D"/>
          <w:sz w:val="22"/>
          <w:szCs w:val="22"/>
        </w:rPr>
        <w:t>10%</w:t>
      </w:r>
      <w:r w:rsidRPr="005C5C1A">
        <w:rPr>
          <w:rFonts w:ascii="PP Neue Montreal Book" w:eastAsia="Google Sans Text" w:hAnsi="PP Neue Montreal Book" w:cs="Google Sans Text"/>
          <w:color w:val="1B1C1D"/>
          <w:sz w:val="22"/>
          <w:szCs w:val="22"/>
        </w:rPr>
        <w:t xml:space="preserve"> of these MRIs could be safely and effectively replaced by an X-ray based on clinical guidelines for initial diagnostic workups.</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This represents a target pool of 5,000 potentially unnecessary MRIs.</w:t>
      </w:r>
    </w:p>
    <w:p w14:paraId="60011165" w14:textId="77777777" w:rsidR="005C5C1A" w:rsidRPr="005C5C1A" w:rsidRDefault="005C5C1A" w:rsidP="002555C1">
      <w:pPr>
        <w:widowControl w:val="0"/>
        <w:numPr>
          <w:ilvl w:val="1"/>
          <w:numId w:val="53"/>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Cordance's real-time decision support successfully influences physician behavior in </w:t>
      </w:r>
      <w:r w:rsidRPr="005C5C1A">
        <w:rPr>
          <w:rFonts w:ascii="PP Neue Montreal Book" w:eastAsia="Google Sans Text" w:hAnsi="PP Neue Montreal Book" w:cs="Google Sans Text"/>
          <w:b/>
          <w:color w:val="1B1C1D"/>
          <w:sz w:val="22"/>
          <w:szCs w:val="22"/>
        </w:rPr>
        <w:t>20%</w:t>
      </w:r>
      <w:r w:rsidRPr="005C5C1A">
        <w:rPr>
          <w:rFonts w:ascii="PP Neue Montreal Book" w:eastAsia="Google Sans Text" w:hAnsi="PP Neue Montreal Book" w:cs="Google Sans Text"/>
          <w:color w:val="1B1C1D"/>
          <w:sz w:val="22"/>
          <w:szCs w:val="22"/>
        </w:rPr>
        <w:t xml:space="preserve"> of these cases, leading to the selection of the more cost-effective option.</w:t>
      </w:r>
    </w:p>
    <w:p w14:paraId="5664AA71" w14:textId="708D3769" w:rsidR="005C5C1A" w:rsidRDefault="005C5C1A" w:rsidP="00D46E1A">
      <w:pPr>
        <w:widowControl w:val="0"/>
        <w:numPr>
          <w:ilvl w:val="1"/>
          <w:numId w:val="53"/>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50,000 MRIs</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0.10 avoidable rate</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0.20 success rate</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$1,000</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MRI</w:t>
      </w:r>
      <w:r w:rsidR="00814AC9">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savings​=</w:t>
      </w:r>
      <w:r w:rsidR="008F3664">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$1,000,000 annually</w:t>
      </w:r>
    </w:p>
    <w:p w14:paraId="0331F00B" w14:textId="77777777" w:rsidR="00D46E1A" w:rsidRPr="00D46E1A" w:rsidRDefault="00D46E1A" w:rsidP="00D46E1A">
      <w:pPr>
        <w:widowControl w:val="0"/>
        <w:pBdr>
          <w:top w:val="nil"/>
          <w:left w:val="nil"/>
          <w:bottom w:val="nil"/>
          <w:right w:val="nil"/>
          <w:between w:val="nil"/>
        </w:pBdr>
        <w:spacing w:before="0" w:after="120"/>
        <w:rPr>
          <w:rFonts w:ascii="PP Neue Montreal Book" w:hAnsi="PP Neue Montreal Book"/>
          <w:sz w:val="22"/>
          <w:szCs w:val="22"/>
        </w:rPr>
      </w:pPr>
    </w:p>
    <w:p w14:paraId="6EEB8964" w14:textId="6CD8FBD1" w:rsidR="005C5C1A" w:rsidRPr="00095483" w:rsidRDefault="005C5C1A" w:rsidP="00095483">
      <w:pPr>
        <w:spacing w:before="360" w:after="0"/>
        <w:rPr>
          <w:rFonts w:ascii="IvyPresto Display Thin" w:hAnsi="IvyPresto Display Thin" w:cs="IvyPresto Display Thin"/>
          <w:b/>
          <w:i/>
          <w:iCs/>
          <w:color w:val="215E99"/>
        </w:rPr>
      </w:pPr>
      <w:r w:rsidRPr="00095483">
        <w:rPr>
          <w:rFonts w:ascii="IvyPresto Display Thin" w:hAnsi="IvyPresto Display Thin" w:cs="IvyPresto Display Thin"/>
          <w:b/>
          <w:color w:val="215E99"/>
        </w:rPr>
        <w:t>(</w:t>
      </w:r>
      <w:r w:rsidR="00875645">
        <w:rPr>
          <w:rFonts w:ascii="IvyPresto Display Thin" w:hAnsi="IvyPresto Display Thin" w:cs="IvyPresto Display Thin"/>
          <w:b/>
          <w:color w:val="215E99"/>
        </w:rPr>
        <w:t>3</w:t>
      </w:r>
      <w:r w:rsidR="00D46E1A">
        <w:rPr>
          <w:rFonts w:ascii="IvyPresto Display Thin" w:hAnsi="IvyPresto Display Thin" w:cs="IvyPresto Display Thin"/>
          <w:b/>
          <w:color w:val="215E99"/>
        </w:rPr>
        <w:t>d</w:t>
      </w:r>
      <w:r w:rsidRPr="00095483">
        <w:rPr>
          <w:rFonts w:ascii="IvyPresto Display Thin" w:hAnsi="IvyPresto Display Thin" w:cs="IvyPresto Display Thin"/>
          <w:b/>
          <w:color w:val="215E99"/>
        </w:rPr>
        <w:t xml:space="preserve">.) </w:t>
      </w:r>
      <w:r w:rsidRPr="00095483">
        <w:rPr>
          <w:rFonts w:ascii="PP Neue Montreal Book" w:hAnsi="PP Neue Montreal Book" w:cs="IvyPresto Display Thin"/>
          <w:b/>
          <w:color w:val="215E99"/>
        </w:rPr>
        <w:t>Reducing Costs from</w:t>
      </w:r>
      <w:r w:rsidRPr="00095483">
        <w:rPr>
          <w:rFonts w:ascii="PP Neue Montreal" w:hAnsi="PP Neue Montreal"/>
          <w:b/>
          <w:color w:val="215E99"/>
        </w:rPr>
        <w:t xml:space="preserve"> </w:t>
      </w:r>
      <w:r w:rsidRPr="00095483">
        <w:rPr>
          <w:rFonts w:ascii="IvyPresto Display Thin" w:hAnsi="IvyPresto Display Thin" w:cs="IvyPresto Display Thin"/>
          <w:bCs/>
          <w:i/>
          <w:iCs/>
          <w:color w:val="215E99"/>
        </w:rPr>
        <w:t>Unnecessary Specialist Escalation</w:t>
      </w:r>
      <w:r w:rsidRPr="00095483">
        <w:rPr>
          <w:rFonts w:ascii="PP Neue Montreal" w:hAnsi="PP Neue Montreal"/>
          <w:b/>
          <w:i/>
          <w:iCs/>
          <w:color w:val="215E99"/>
        </w:rPr>
        <w:t xml:space="preserve"> </w:t>
      </w:r>
    </w:p>
    <w:p w14:paraId="5D02A116" w14:textId="77777777" w:rsidR="005C5C1A" w:rsidRPr="005C5C1A" w:rsidRDefault="005C5C1A" w:rsidP="00095483">
      <w:pPr>
        <w:pBdr>
          <w:top w:val="nil"/>
          <w:left w:val="nil"/>
          <w:bottom w:val="nil"/>
          <w:right w:val="nil"/>
          <w:between w:val="nil"/>
        </w:pBdr>
        <w:spacing w:after="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Premature or unnecessary referrals to specialists are a significant driver of avoidable costs, particularly in at-risk payment models. When a PCP refers a patient with a condition they could manage with proper support—such as initial management of heartburn or a borderline abnormal creatinine level—it triggers a cascade of costs, including the specialist consultation and potentially duplicative diagnostic tests. Cordance aims to reduce this by increasing the PCP's confidence and providing them with the necessary guidance to manage these conditions at the primary care level.</w:t>
      </w:r>
    </w:p>
    <w:p w14:paraId="55BDB42D" w14:textId="77777777" w:rsidR="00095483" w:rsidRPr="005C5C1A" w:rsidRDefault="00095483" w:rsidP="00095483">
      <w:pPr>
        <w:pBdr>
          <w:top w:val="nil"/>
          <w:left w:val="nil"/>
          <w:bottom w:val="nil"/>
          <w:right w:val="nil"/>
          <w:between w:val="nil"/>
        </w:pBdr>
        <w:spacing w:after="0"/>
        <w:rPr>
          <w:rFonts w:ascii="PP Neue Montreal Book" w:eastAsia="Google Sans Text" w:hAnsi="PP Neue Montreal Book" w:cs="Google Sans Text"/>
          <w:color w:val="1B1C1D"/>
          <w:sz w:val="22"/>
          <w:szCs w:val="22"/>
        </w:rPr>
      </w:pPr>
    </w:p>
    <w:p w14:paraId="6D3ECDFF" w14:textId="3DA6BB06" w:rsidR="005C5C1A" w:rsidRPr="005C5C1A" w:rsidRDefault="005C5C1A"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The most profound impact of this mechanism is in the prevention of disease progression for chronic conditions. For diabetic patients with early-stage kidney disease, proactive management by a PCP, guided by Cordance alerts, can delay or prevent the progression to end-stage renal disease (ESRD), thereby avoiding the extraordinarily high costs associated with dialysis.</w:t>
      </w:r>
    </w:p>
    <w:p w14:paraId="015F5FB1" w14:textId="77777777" w:rsidR="00D46E1A" w:rsidRPr="005C5C1A" w:rsidRDefault="00D46E1A" w:rsidP="002555C1">
      <w:pPr>
        <w:pBdr>
          <w:top w:val="nil"/>
          <w:left w:val="nil"/>
          <w:bottom w:val="nil"/>
          <w:right w:val="nil"/>
          <w:between w:val="nil"/>
        </w:pBdr>
        <w:spacing w:after="240"/>
        <w:rPr>
          <w:rFonts w:ascii="PP Neue Montreal Book" w:eastAsia="Google Sans Text" w:hAnsi="PP Neue Montreal Book" w:cs="Google Sans Text"/>
          <w:color w:val="1B1C1D"/>
          <w:sz w:val="22"/>
          <w:szCs w:val="22"/>
        </w:rPr>
      </w:pPr>
    </w:p>
    <w:p w14:paraId="1D719B76" w14:textId="77777777" w:rsidR="005C5C1A" w:rsidRPr="00095483"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(Abnormal Creatinine / Heartburn)</w:t>
      </w:r>
    </w:p>
    <w:p w14:paraId="1C84B54C" w14:textId="77777777" w:rsidR="005C5C1A" w:rsidRPr="005C5C1A" w:rsidRDefault="005C5C1A" w:rsidP="002555C1">
      <w:pPr>
        <w:widowControl w:val="0"/>
        <w:numPr>
          <w:ilvl w:val="0"/>
          <w:numId w:val="3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Avoided Referral:</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The national average cost for a new patient visit to a gastroenterologist is $355, while a nephrologist consultation can range from $73 to $147.</w:t>
      </w:r>
      <w:r w:rsidRPr="005C5C1A">
        <w:rPr>
          <w:rFonts w:ascii="PP Neue Montreal Book" w:eastAsia="Google Sans Text" w:hAnsi="PP Neue Montreal Book" w:cs="Google Sans Text"/>
          <w:color w:val="575B5F"/>
          <w:sz w:val="22"/>
          <w:szCs w:val="22"/>
          <w:vertAlign w:val="superscript"/>
        </w:rPr>
        <w:t>31</w:t>
      </w:r>
      <w:r w:rsidRPr="005C5C1A">
        <w:rPr>
          <w:rFonts w:ascii="PP Neue Montreal Book" w:eastAsia="Google Sans Text" w:hAnsi="PP Neue Montreal Book" w:cs="Google Sans Text"/>
          <w:color w:val="1B1C1D"/>
          <w:sz w:val="22"/>
          <w:szCs w:val="22"/>
        </w:rPr>
        <w:t xml:space="preserve"> This analysis will use a conservative savings figure of</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$250 per avoided referral</w:t>
      </w:r>
      <w:r w:rsidRPr="005C5C1A">
        <w:rPr>
          <w:rFonts w:ascii="PP Neue Montreal Book" w:eastAsia="Google Sans Text" w:hAnsi="PP Neue Montreal Book" w:cs="Google Sans Text"/>
          <w:color w:val="1B1C1D"/>
          <w:sz w:val="22"/>
          <w:szCs w:val="22"/>
        </w:rPr>
        <w:t>, which accounts only for the initial consultation fee.</w:t>
      </w:r>
    </w:p>
    <w:p w14:paraId="2A2BD58A" w14:textId="77777777" w:rsidR="005C5C1A" w:rsidRPr="005C5C1A" w:rsidRDefault="005C5C1A" w:rsidP="002555C1">
      <w:pPr>
        <w:widowControl w:val="0"/>
        <w:numPr>
          <w:ilvl w:val="0"/>
          <w:numId w:val="38"/>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 (General):</w:t>
      </w:r>
    </w:p>
    <w:p w14:paraId="6EABDA0F" w14:textId="77777777" w:rsidR="005C5C1A" w:rsidRPr="005C5C1A" w:rsidRDefault="005C5C1A" w:rsidP="002555C1">
      <w:pPr>
        <w:widowControl w:val="0"/>
        <w:numPr>
          <w:ilvl w:val="1"/>
          <w:numId w:val="39"/>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Referral Volume:</w:t>
      </w:r>
      <w:r w:rsidRPr="005C5C1A">
        <w:rPr>
          <w:rFonts w:ascii="PP Neue Montreal Book" w:eastAsia="Google Sans Text" w:hAnsi="PP Neue Montreal Book" w:cs="Google Sans Text"/>
          <w:color w:val="1B1C1D"/>
          <w:sz w:val="22"/>
          <w:szCs w:val="22"/>
        </w:rPr>
        <w:t xml:space="preserve"> A large health system is assumed to generate </w:t>
      </w:r>
      <w:r w:rsidRPr="005C5C1A">
        <w:rPr>
          <w:rFonts w:ascii="PP Neue Montreal Book" w:eastAsia="Google Sans Text" w:hAnsi="PP Neue Montreal Book" w:cs="Google Sans Text"/>
          <w:b/>
          <w:color w:val="1B1C1D"/>
          <w:sz w:val="22"/>
          <w:szCs w:val="22"/>
        </w:rPr>
        <w:t>500,000 specialist referrals</w:t>
      </w:r>
      <w:r w:rsidRPr="005C5C1A">
        <w:rPr>
          <w:rFonts w:ascii="PP Neue Montreal Book" w:eastAsia="Google Sans Text" w:hAnsi="PP Neue Montreal Book" w:cs="Google Sans Text"/>
          <w:color w:val="1B1C1D"/>
          <w:sz w:val="22"/>
          <w:szCs w:val="22"/>
        </w:rPr>
        <w:t xml:space="preserve"> annually from its primary care base.</w:t>
      </w:r>
    </w:p>
    <w:p w14:paraId="51D963DD" w14:textId="77777777" w:rsidR="005C5C1A" w:rsidRPr="005C5C1A" w:rsidRDefault="005C5C1A" w:rsidP="002555C1">
      <w:pPr>
        <w:widowControl w:val="0"/>
        <w:numPr>
          <w:ilvl w:val="1"/>
          <w:numId w:val="39"/>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Avoidable Rate:</w:t>
      </w:r>
      <w:r w:rsidRPr="005C5C1A">
        <w:rPr>
          <w:rFonts w:ascii="PP Neue Montreal Book" w:eastAsia="Google Sans Text" w:hAnsi="PP Neue Montreal Book" w:cs="Google Sans Text"/>
          <w:color w:val="1B1C1D"/>
          <w:sz w:val="22"/>
          <w:szCs w:val="22"/>
        </w:rPr>
        <w:t xml:space="preserve"> A conservative estimate of </w:t>
      </w:r>
      <w:r w:rsidRPr="005C5C1A">
        <w:rPr>
          <w:rFonts w:ascii="PP Neue Montreal Book" w:eastAsia="Google Sans Text" w:hAnsi="PP Neue Montreal Book" w:cs="Google Sans Text"/>
          <w:b/>
          <w:color w:val="1B1C1D"/>
          <w:sz w:val="22"/>
          <w:szCs w:val="22"/>
        </w:rPr>
        <w:t>5%</w:t>
      </w:r>
      <w:r w:rsidRPr="005C5C1A">
        <w:rPr>
          <w:rFonts w:ascii="PP Neue Montreal Book" w:eastAsia="Google Sans Text" w:hAnsi="PP Neue Montreal Book" w:cs="Google Sans Text"/>
          <w:color w:val="1B1C1D"/>
          <w:sz w:val="22"/>
          <w:szCs w:val="22"/>
        </w:rPr>
        <w:t xml:space="preserve"> of these referrals are for low-yield conditions that a well-supported PCP could manage independently.</w:t>
      </w:r>
    </w:p>
    <w:p w14:paraId="1BD8FD37" w14:textId="77777777" w:rsidR="005C5C1A" w:rsidRPr="005C5C1A" w:rsidRDefault="005C5C1A" w:rsidP="002555C1">
      <w:pPr>
        <w:widowControl w:val="0"/>
        <w:numPr>
          <w:ilvl w:val="1"/>
          <w:numId w:val="39"/>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The model assumes that Cordance successfully prevents </w:t>
      </w:r>
      <w:r w:rsidRPr="005C5C1A">
        <w:rPr>
          <w:rFonts w:ascii="PP Neue Montreal Book" w:eastAsia="Google Sans Text" w:hAnsi="PP Neue Montreal Book" w:cs="Google Sans Text"/>
          <w:b/>
          <w:color w:val="1B1C1D"/>
          <w:sz w:val="22"/>
          <w:szCs w:val="22"/>
        </w:rPr>
        <w:t>10%</w:t>
      </w:r>
      <w:r w:rsidRPr="005C5C1A">
        <w:rPr>
          <w:rFonts w:ascii="PP Neue Montreal Book" w:eastAsia="Google Sans Text" w:hAnsi="PP Neue Montreal Book" w:cs="Google Sans Text"/>
          <w:color w:val="1B1C1D"/>
          <w:sz w:val="22"/>
          <w:szCs w:val="22"/>
        </w:rPr>
        <w:t xml:space="preserve"> of these unnecessary referrals.</w:t>
      </w:r>
    </w:p>
    <w:p w14:paraId="6E76D7FB" w14:textId="12199D79" w:rsidR="005C5C1A" w:rsidRPr="005C5C1A" w:rsidRDefault="005C5C1A" w:rsidP="002555C1">
      <w:pPr>
        <w:widowControl w:val="0"/>
        <w:numPr>
          <w:ilvl w:val="1"/>
          <w:numId w:val="39"/>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sidR="00360796">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500,000 referrals</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0.05 avoidable rate</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0.10 success rate</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$250</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referral</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savings</w:t>
      </w:r>
      <w:r w:rsidR="008F3664">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8F3664">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$625,000 annually</w:t>
      </w:r>
    </w:p>
    <w:p w14:paraId="6048B071" w14:textId="77777777" w:rsidR="005C5C1A" w:rsidRPr="005C5C1A" w:rsidRDefault="005C5C1A" w:rsidP="002555C1">
      <w:pPr>
        <w:pBdr>
          <w:top w:val="nil"/>
          <w:left w:val="nil"/>
          <w:bottom w:val="nil"/>
          <w:right w:val="nil"/>
          <w:between w:val="nil"/>
        </w:pBdr>
        <w:spacing w:before="240" w:after="240"/>
        <w:rPr>
          <w:rFonts w:ascii="PP Neue Montreal Book" w:eastAsia="Google Sans Text" w:hAnsi="PP Neue Montreal Book" w:cs="Google Sans Text"/>
          <w:color w:val="1B1C1D"/>
          <w:sz w:val="22"/>
          <w:szCs w:val="22"/>
        </w:rPr>
      </w:pPr>
    </w:p>
    <w:p w14:paraId="5FA5CD6B" w14:textId="77777777" w:rsidR="005C5C1A" w:rsidRPr="00095483"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(Preventing Dialysis)</w:t>
      </w:r>
    </w:p>
    <w:p w14:paraId="35EC61EF" w14:textId="77777777" w:rsidR="005C5C1A" w:rsidRPr="005C5C1A" w:rsidRDefault="005C5C1A" w:rsidP="002555C1">
      <w:pPr>
        <w:widowControl w:val="0"/>
        <w:numPr>
          <w:ilvl w:val="0"/>
          <w:numId w:val="40"/>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Patient Per Year:</w:t>
      </w:r>
      <w:r w:rsidRPr="005C5C1A">
        <w:rPr>
          <w:rFonts w:ascii="PP Neue Montreal Book" w:eastAsia="Google Sans Text" w:hAnsi="PP Neue Montreal Book" w:cs="Google Sans Text"/>
          <w:color w:val="1B1C1D"/>
          <w:sz w:val="22"/>
          <w:szCs w:val="22"/>
        </w:rPr>
        <w:t xml:space="preserve"> The cost avoidance from preventing a patient's progression to ESRD is immense. The annual cost of preventative care for chronic kidney disease (CKD) can be substantial, but it is dwarfed by the cost of dialysis.</w:t>
      </w:r>
      <w:r w:rsidRPr="005C5C1A">
        <w:rPr>
          <w:rFonts w:ascii="PP Neue Montreal Book" w:eastAsia="Google Sans Text" w:hAnsi="PP Neue Montreal Book" w:cs="Google Sans Text"/>
          <w:color w:val="575B5F"/>
          <w:sz w:val="22"/>
          <w:szCs w:val="22"/>
          <w:vertAlign w:val="superscript"/>
        </w:rPr>
        <w:t>33</w:t>
      </w:r>
      <w:r w:rsidRPr="005C5C1A">
        <w:rPr>
          <w:rFonts w:ascii="PP Neue Montreal Book" w:eastAsia="Google Sans Text" w:hAnsi="PP Neue Montreal Book" w:cs="Google Sans Text"/>
          <w:color w:val="1B1C1D"/>
          <w:sz w:val="22"/>
          <w:szCs w:val="22"/>
        </w:rPr>
        <w:t xml:space="preserve"> The average annual cost to the Medicare system for a single hemodialysis patient is approximately</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$90,000</w:t>
      </w:r>
      <w:r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575B5F"/>
          <w:sz w:val="22"/>
          <w:szCs w:val="22"/>
          <w:vertAlign w:val="superscript"/>
        </w:rPr>
        <w:t>35</w:t>
      </w:r>
      <w:r w:rsidRPr="005C5C1A">
        <w:rPr>
          <w:rFonts w:ascii="PP Neue Montreal Book" w:eastAsia="Google Sans Text" w:hAnsi="PP Neue Montreal Book" w:cs="Google Sans Text"/>
          <w:color w:val="1B1C1D"/>
          <w:sz w:val="22"/>
          <w:szCs w:val="22"/>
        </w:rPr>
        <w:t xml:space="preserve"> This analysis will use a cost avoidance figure of</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$80,000 per patient per year</w:t>
      </w:r>
      <w:r w:rsidRPr="005C5C1A">
        <w:rPr>
          <w:rFonts w:ascii="PP Neue Montreal Book" w:eastAsia="Google Sans Text" w:hAnsi="PP Neue Montreal Book" w:cs="Google Sans Text"/>
          <w:color w:val="1B1C1D"/>
          <w:sz w:val="22"/>
          <w:szCs w:val="22"/>
        </w:rPr>
        <w:t xml:space="preserve"> for each patient whose progression to dialysis is prevented.</w:t>
      </w:r>
    </w:p>
    <w:p w14:paraId="4875CFB0" w14:textId="77777777" w:rsidR="005C5C1A" w:rsidRPr="005C5C1A" w:rsidRDefault="005C5C1A" w:rsidP="002555C1">
      <w:pPr>
        <w:widowControl w:val="0"/>
        <w:numPr>
          <w:ilvl w:val="0"/>
          <w:numId w:val="40"/>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 (Dialysis Prevention):</w:t>
      </w:r>
    </w:p>
    <w:p w14:paraId="6AAD5FD0" w14:textId="77777777" w:rsidR="005C5C1A" w:rsidRPr="005C5C1A" w:rsidRDefault="005C5C1A" w:rsidP="002555C1">
      <w:pPr>
        <w:widowControl w:val="0"/>
        <w:numPr>
          <w:ilvl w:val="1"/>
          <w:numId w:val="4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At-Risk Population:</w:t>
      </w:r>
      <w:r w:rsidRPr="005C5C1A">
        <w:rPr>
          <w:rFonts w:ascii="PP Neue Montreal Book" w:eastAsia="Google Sans Text" w:hAnsi="PP Neue Montreal Book" w:cs="Google Sans Text"/>
          <w:color w:val="1B1C1D"/>
          <w:sz w:val="22"/>
          <w:szCs w:val="22"/>
        </w:rPr>
        <w:t xml:space="preserve"> Within the 2 million patient population, it is assumed there is a cohort of </w:t>
      </w:r>
      <w:r w:rsidRPr="005C5C1A">
        <w:rPr>
          <w:rFonts w:ascii="PP Neue Montreal Book" w:eastAsia="Google Sans Text" w:hAnsi="PP Neue Montreal Book" w:cs="Google Sans Text"/>
          <w:b/>
          <w:color w:val="1B1C1D"/>
          <w:sz w:val="22"/>
          <w:szCs w:val="22"/>
        </w:rPr>
        <w:t>1,000 patients</w:t>
      </w:r>
      <w:r w:rsidRPr="005C5C1A">
        <w:rPr>
          <w:rFonts w:ascii="PP Neue Montreal Book" w:eastAsia="Google Sans Text" w:hAnsi="PP Neue Montreal Book" w:cs="Google Sans Text"/>
          <w:color w:val="1B1C1D"/>
          <w:sz w:val="22"/>
          <w:szCs w:val="22"/>
        </w:rPr>
        <w:t xml:space="preserve"> with late-stage CKD who are at high risk of requiring dialysis within the next one to two years.</w:t>
      </w:r>
    </w:p>
    <w:p w14:paraId="18419657" w14:textId="77777777" w:rsidR="005C5C1A" w:rsidRPr="005C5C1A" w:rsidRDefault="005C5C1A" w:rsidP="002555C1">
      <w:pPr>
        <w:widowControl w:val="0"/>
        <w:numPr>
          <w:ilvl w:val="1"/>
          <w:numId w:val="41"/>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Cordance's nudges—prompting more aggressive medication management, closer monitoring of renal function, and lifestyle interventions—successfully prevent just </w:t>
      </w:r>
      <w:r w:rsidRPr="005C5C1A">
        <w:rPr>
          <w:rFonts w:ascii="PP Neue Montreal Book" w:eastAsia="Google Sans Text" w:hAnsi="PP Neue Montreal Book" w:cs="Google Sans Text"/>
          <w:b/>
          <w:color w:val="1B1C1D"/>
          <w:sz w:val="22"/>
          <w:szCs w:val="22"/>
        </w:rPr>
        <w:t>1%</w:t>
      </w:r>
      <w:r w:rsidRPr="005C5C1A">
        <w:rPr>
          <w:rFonts w:ascii="PP Neue Montreal Book" w:eastAsia="Google Sans Text" w:hAnsi="PP Neue Montreal Book" w:cs="Google Sans Text"/>
          <w:color w:val="1B1C1D"/>
          <w:sz w:val="22"/>
          <w:szCs w:val="22"/>
        </w:rPr>
        <w:t xml:space="preserve"> of this high-risk cohort (10 patients) from initiating dialysis in a given year.</w:t>
      </w:r>
    </w:p>
    <w:p w14:paraId="27315109" w14:textId="0B8588DF" w:rsidR="005C5C1A" w:rsidRPr="005C5C1A" w:rsidRDefault="005C5C1A" w:rsidP="002555C1">
      <w:pPr>
        <w:widowControl w:val="0"/>
        <w:numPr>
          <w:ilvl w:val="1"/>
          <w:numId w:val="41"/>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sidR="00360796">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10 patients</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$80,000</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patient-year</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savings</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$800,000 annually</w:t>
      </w:r>
    </w:p>
    <w:p w14:paraId="29FEA069" w14:textId="77777777" w:rsidR="005C5C1A" w:rsidRPr="005C5C1A" w:rsidRDefault="005C5C1A" w:rsidP="002555C1">
      <w:pPr>
        <w:pBdr>
          <w:top w:val="nil"/>
          <w:left w:val="nil"/>
          <w:bottom w:val="nil"/>
          <w:right w:val="nil"/>
          <w:between w:val="nil"/>
        </w:pBdr>
        <w:spacing w:before="240" w:after="240"/>
        <w:rPr>
          <w:rFonts w:ascii="PP Neue Montreal Book" w:eastAsia="Google Sans Text" w:hAnsi="PP Neue Montreal Book" w:cs="Google Sans Text"/>
          <w:color w:val="1B1C1D"/>
          <w:sz w:val="22"/>
          <w:szCs w:val="22"/>
        </w:rPr>
      </w:pPr>
    </w:p>
    <w:p w14:paraId="285CA354" w14:textId="79A7D04E" w:rsidR="005C5C1A" w:rsidRPr="00095483" w:rsidRDefault="005C5C1A" w:rsidP="00095483">
      <w:pPr>
        <w:spacing w:before="360" w:after="0"/>
        <w:rPr>
          <w:rFonts w:ascii="PP Neue Montreal" w:hAnsi="PP Neue Montreal"/>
          <w:b/>
          <w:color w:val="215E99"/>
        </w:rPr>
      </w:pPr>
      <w:r w:rsidRPr="00095483">
        <w:rPr>
          <w:rFonts w:ascii="IvyPresto Display Thin" w:hAnsi="IvyPresto Display Thin" w:cs="IvyPresto Display Thin"/>
          <w:b/>
          <w:color w:val="215E99"/>
        </w:rPr>
        <w:t>(</w:t>
      </w:r>
      <w:r w:rsidR="00875645">
        <w:rPr>
          <w:rFonts w:ascii="IvyPresto Display Thin" w:hAnsi="IvyPresto Display Thin" w:cs="IvyPresto Display Thin"/>
          <w:b/>
          <w:color w:val="215E99"/>
        </w:rPr>
        <w:t>3</w:t>
      </w:r>
      <w:r w:rsidR="00D46E1A">
        <w:rPr>
          <w:rFonts w:ascii="IvyPresto Display Thin" w:hAnsi="IvyPresto Display Thin" w:cs="IvyPresto Display Thin"/>
          <w:b/>
          <w:color w:val="215E99"/>
        </w:rPr>
        <w:t>e</w:t>
      </w:r>
      <w:r w:rsidRPr="00095483">
        <w:rPr>
          <w:rFonts w:ascii="IvyPresto Display Thin" w:hAnsi="IvyPresto Display Thin" w:cs="IvyPresto Display Thin"/>
          <w:b/>
          <w:color w:val="215E99"/>
        </w:rPr>
        <w:t xml:space="preserve">.) </w:t>
      </w:r>
      <w:r w:rsidRPr="00095483">
        <w:rPr>
          <w:rFonts w:ascii="PP Neue Montreal Book" w:hAnsi="PP Neue Montreal Book" w:cs="IvyPresto Display Thin"/>
          <w:b/>
          <w:color w:val="215E99"/>
        </w:rPr>
        <w:t>Mitigating Costs from</w:t>
      </w:r>
      <w:r w:rsidRPr="00095483">
        <w:rPr>
          <w:rFonts w:ascii="PP Neue Montreal" w:hAnsi="PP Neue Montreal"/>
          <w:b/>
          <w:color w:val="215E99"/>
        </w:rPr>
        <w:t xml:space="preserve"> </w:t>
      </w:r>
      <w:r w:rsidRPr="00095483">
        <w:rPr>
          <w:rFonts w:ascii="IvyPresto Display Thin" w:hAnsi="IvyPresto Display Thin" w:cs="IvyPresto Display Thin"/>
          <w:bCs/>
          <w:i/>
          <w:iCs/>
          <w:color w:val="215E99"/>
        </w:rPr>
        <w:t>Preventable Events and Administrative Overhead</w:t>
      </w:r>
    </w:p>
    <w:p w14:paraId="7C1690AA" w14:textId="045C5D57" w:rsidR="005C5C1A" w:rsidRDefault="005C5C1A" w:rsidP="00095483">
      <w:pPr>
        <w:pBdr>
          <w:top w:val="nil"/>
          <w:left w:val="nil"/>
          <w:bottom w:val="nil"/>
          <w:right w:val="nil"/>
          <w:between w:val="nil"/>
        </w:pBdr>
        <w:spacing w:after="0"/>
        <w:rPr>
          <w:rFonts w:ascii="PP Neue Montreal Book" w:eastAsia="Google Sans Text" w:hAnsi="PP Neue Montreal Book" w:cs="Google Sans Text"/>
          <w:color w:val="1B1C1D"/>
          <w:sz w:val="22"/>
          <w:szCs w:val="22"/>
        </w:rPr>
      </w:pPr>
      <w:r w:rsidRPr="005C5C1A">
        <w:rPr>
          <w:rFonts w:ascii="PP Neue Montreal Book" w:eastAsia="Google Sans Text" w:hAnsi="PP Neue Montreal Book" w:cs="Google Sans Text"/>
          <w:color w:val="1B1C1D"/>
          <w:sz w:val="22"/>
          <w:szCs w:val="22"/>
        </w:rPr>
        <w:t>Health systems incur substantial costs from preventable process failures and administrative burdens. These include the direct costs of wasted resources from OR cancellations, the significant staff time consumed by prior authorizations, and the financial liability from medical malpractice claims. Cordance is designed to mitigate these costs by enforcing standardized processes and acting as a cognitive aid for clinicians.</w:t>
      </w:r>
    </w:p>
    <w:p w14:paraId="4486323C" w14:textId="77777777" w:rsidR="00095483" w:rsidRPr="00BE7A4E" w:rsidRDefault="00095483" w:rsidP="00095483">
      <w:pPr>
        <w:pBdr>
          <w:top w:val="nil"/>
          <w:left w:val="nil"/>
          <w:bottom w:val="nil"/>
          <w:right w:val="nil"/>
          <w:between w:val="nil"/>
        </w:pBdr>
        <w:spacing w:after="0"/>
        <w:rPr>
          <w:rFonts w:ascii="PP Neue Montreal Book" w:eastAsia="Google Sans Text" w:hAnsi="PP Neue Montreal Book" w:cs="Google Sans Text"/>
          <w:color w:val="1B1C1D"/>
          <w:sz w:val="22"/>
          <w:szCs w:val="22"/>
        </w:rPr>
      </w:pPr>
    </w:p>
    <w:p w14:paraId="08B8BCC7" w14:textId="77777777" w:rsidR="005C5C1A" w:rsidRPr="00095483"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(Prior Authorization)</w:t>
      </w:r>
    </w:p>
    <w:p w14:paraId="4829D023" w14:textId="77777777" w:rsidR="005C5C1A" w:rsidRPr="005C5C1A" w:rsidRDefault="005C5C1A" w:rsidP="002555C1">
      <w:pPr>
        <w:widowControl w:val="0"/>
        <w:numPr>
          <w:ilvl w:val="0"/>
          <w:numId w:val="4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Authorization:</w:t>
      </w:r>
      <w:r w:rsidRPr="005C5C1A">
        <w:rPr>
          <w:rFonts w:ascii="PP Neue Montreal Book" w:eastAsia="Google Sans Text" w:hAnsi="PP Neue Montreal Book" w:cs="Google Sans Text"/>
          <w:color w:val="1B1C1D"/>
          <w:sz w:val="22"/>
          <w:szCs w:val="22"/>
        </w:rPr>
        <w:t xml:space="preserve"> The administrative burden of prior authorization (PA) is a major source of physician burnout and practice inefficiency. The memo's placeholder of "$50 in overhead" per PA is a conservative estimate of the staff time and resources required.</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The true cost to the healthcare system is likely much higher when considering care delays and negative patient outcomes.</w:t>
      </w:r>
      <w:r w:rsidRPr="005C5C1A">
        <w:rPr>
          <w:rFonts w:ascii="PP Neue Montreal Book" w:eastAsia="Google Sans Text" w:hAnsi="PP Neue Montreal Book" w:cs="Google Sans Text"/>
          <w:color w:val="575B5F"/>
          <w:sz w:val="22"/>
          <w:szCs w:val="22"/>
          <w:vertAlign w:val="superscript"/>
        </w:rPr>
        <w:t>38</w:t>
      </w:r>
      <w:r w:rsidRPr="005C5C1A">
        <w:rPr>
          <w:rFonts w:ascii="PP Neue Montreal Book" w:eastAsia="Google Sans Text" w:hAnsi="PP Neue Montreal Book" w:cs="Google Sans Text"/>
          <w:color w:val="1B1C1D"/>
          <w:sz w:val="22"/>
          <w:szCs w:val="22"/>
        </w:rPr>
        <w:t xml:space="preserve"> This analysis will use the</w:t>
      </w:r>
      <w:r w:rsidRPr="005C5C1A">
        <w:rPr>
          <w:rFonts w:ascii="PP Neue Montreal Book" w:hAnsi="PP Neue Montreal Book"/>
          <w:color w:val="000000"/>
          <w:sz w:val="22"/>
          <w:szCs w:val="22"/>
        </w:rPr>
        <w:br/>
      </w:r>
      <w:r w:rsidRPr="005C5C1A">
        <w:rPr>
          <w:rFonts w:ascii="PP Neue Montreal Book" w:eastAsia="Google Sans Text" w:hAnsi="PP Neue Montreal Book" w:cs="Google Sans Text"/>
          <w:b/>
          <w:color w:val="1B1C1D"/>
          <w:sz w:val="22"/>
          <w:szCs w:val="22"/>
        </w:rPr>
        <w:t>$50 per PA</w:t>
      </w:r>
      <w:r w:rsidRPr="005C5C1A">
        <w:rPr>
          <w:rFonts w:ascii="PP Neue Montreal Book" w:eastAsia="Google Sans Text" w:hAnsi="PP Neue Montreal Book" w:cs="Google Sans Text"/>
          <w:color w:val="1B1C1D"/>
          <w:sz w:val="22"/>
          <w:szCs w:val="22"/>
        </w:rPr>
        <w:t xml:space="preserve"> figure.</w:t>
      </w:r>
    </w:p>
    <w:p w14:paraId="0722A39D" w14:textId="77777777" w:rsidR="005C5C1A" w:rsidRPr="005C5C1A" w:rsidRDefault="005C5C1A" w:rsidP="002555C1">
      <w:pPr>
        <w:widowControl w:val="0"/>
        <w:numPr>
          <w:ilvl w:val="0"/>
          <w:numId w:val="4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w:t>
      </w:r>
    </w:p>
    <w:p w14:paraId="56EB69CB" w14:textId="77777777" w:rsidR="005C5C1A" w:rsidRPr="005C5C1A" w:rsidRDefault="005C5C1A" w:rsidP="002555C1">
      <w:pPr>
        <w:widowControl w:val="0"/>
        <w:numPr>
          <w:ilvl w:val="1"/>
          <w:numId w:val="45"/>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PA Volume:</w:t>
      </w:r>
      <w:r w:rsidRPr="005C5C1A">
        <w:rPr>
          <w:rFonts w:ascii="PP Neue Montreal Book" w:eastAsia="Google Sans Text" w:hAnsi="PP Neue Montreal Book" w:cs="Google Sans Text"/>
          <w:color w:val="1B1C1D"/>
          <w:sz w:val="22"/>
          <w:szCs w:val="22"/>
        </w:rPr>
        <w:t xml:space="preserve"> On average, medical practices complete approximately 45 PA requests per physician per week.</w:t>
      </w:r>
      <w:r w:rsidRPr="005C5C1A">
        <w:rPr>
          <w:rFonts w:ascii="PP Neue Montreal Book" w:eastAsia="Google Sans Text" w:hAnsi="PP Neue Montreal Book" w:cs="Google Sans Text"/>
          <w:color w:val="575B5F"/>
          <w:sz w:val="22"/>
          <w:szCs w:val="22"/>
          <w:vertAlign w:val="superscript"/>
        </w:rPr>
        <w:t>39</w:t>
      </w:r>
      <w:r w:rsidRPr="005C5C1A">
        <w:rPr>
          <w:rFonts w:ascii="PP Neue Montreal Book" w:eastAsia="Google Sans Text" w:hAnsi="PP Neue Montreal Book" w:cs="Google Sans Text"/>
          <w:color w:val="1B1C1D"/>
          <w:sz w:val="22"/>
          <w:szCs w:val="22"/>
        </w:rPr>
        <w:t xml:space="preserve"> For the model's base of 500 physicians, this equates to 1.17 million PAs annually.</w:t>
      </w:r>
    </w:p>
    <w:p w14:paraId="20466D96" w14:textId="77777777" w:rsidR="005C5C1A" w:rsidRPr="005C5C1A" w:rsidRDefault="005C5C1A" w:rsidP="002555C1">
      <w:pPr>
        <w:widowControl w:val="0"/>
        <w:numPr>
          <w:ilvl w:val="1"/>
          <w:numId w:val="45"/>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Cordance Impact:</w:t>
      </w:r>
      <w:r w:rsidRPr="005C5C1A">
        <w:rPr>
          <w:rFonts w:ascii="PP Neue Montreal Book" w:eastAsia="Google Sans Text" w:hAnsi="PP Neue Montreal Book" w:cs="Google Sans Text"/>
          <w:color w:val="1B1C1D"/>
          <w:sz w:val="22"/>
          <w:szCs w:val="22"/>
        </w:rPr>
        <w:t xml:space="preserve"> It is assumed that by guiding clinicians toward services and medications that do not require PA ("gold-carded" pathways), Cordance can eliminate the need for just </w:t>
      </w:r>
      <w:r w:rsidRPr="005C5C1A">
        <w:rPr>
          <w:rFonts w:ascii="PP Neue Montreal Book" w:eastAsia="Google Sans Text" w:hAnsi="PP Neue Montreal Book" w:cs="Google Sans Text"/>
          <w:b/>
          <w:color w:val="1B1C1D"/>
          <w:sz w:val="22"/>
          <w:szCs w:val="22"/>
        </w:rPr>
        <w:t>1%</w:t>
      </w:r>
      <w:r w:rsidRPr="005C5C1A">
        <w:rPr>
          <w:rFonts w:ascii="PP Neue Montreal Book" w:eastAsia="Google Sans Text" w:hAnsi="PP Neue Montreal Book" w:cs="Google Sans Text"/>
          <w:color w:val="1B1C1D"/>
          <w:sz w:val="22"/>
          <w:szCs w:val="22"/>
        </w:rPr>
        <w:t xml:space="preserve"> of these requests.</w:t>
      </w:r>
    </w:p>
    <w:p w14:paraId="48E6C8FE" w14:textId="1016C1F7" w:rsidR="005C5C1A" w:rsidRPr="005C5C1A" w:rsidRDefault="005C5C1A" w:rsidP="002555C1">
      <w:pPr>
        <w:widowControl w:val="0"/>
        <w:numPr>
          <w:ilvl w:val="1"/>
          <w:numId w:val="45"/>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sidR="00360796">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1,170,000 PAs</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0.01 reduction rate</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$50</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PA</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co</w:t>
      </w:r>
      <w:r w:rsidR="00360796">
        <w:rPr>
          <w:rFonts w:ascii="PP Neue Montreal Book" w:eastAsia="Google Sans Text" w:hAnsi="PP Neue Montreal Book" w:cs="Google Sans Text"/>
          <w:color w:val="1B1C1D"/>
          <w:sz w:val="22"/>
          <w:szCs w:val="22"/>
        </w:rPr>
        <w:t>s</w:t>
      </w:r>
      <w:r w:rsidRPr="005C5C1A">
        <w:rPr>
          <w:rFonts w:ascii="PP Neue Montreal Book" w:eastAsia="Google Sans Text" w:hAnsi="PP Neue Montreal Book" w:cs="Google Sans Text"/>
          <w:color w:val="1B1C1D"/>
          <w:sz w:val="22"/>
          <w:szCs w:val="22"/>
        </w:rPr>
        <w:t>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$585,000 annually</w:t>
      </w:r>
    </w:p>
    <w:p w14:paraId="58B98646" w14:textId="77777777" w:rsidR="005C5C1A" w:rsidRPr="00095483" w:rsidRDefault="005C5C1A" w:rsidP="002555C1">
      <w:pPr>
        <w:pBdr>
          <w:top w:val="nil"/>
          <w:left w:val="nil"/>
          <w:bottom w:val="nil"/>
          <w:right w:val="nil"/>
          <w:between w:val="nil"/>
        </w:pBdr>
        <w:spacing w:before="240" w:after="240"/>
        <w:rPr>
          <w:rFonts w:ascii="PP Neue Montreal Book" w:eastAsia="Google Sans Text" w:hAnsi="PP Neue Montreal Book" w:cs="Google Sans Text"/>
          <w:color w:val="215E99"/>
          <w:sz w:val="22"/>
          <w:szCs w:val="22"/>
        </w:rPr>
      </w:pPr>
    </w:p>
    <w:p w14:paraId="606108A4" w14:textId="77777777" w:rsidR="005C5C1A" w:rsidRPr="00095483" w:rsidRDefault="005C5C1A" w:rsidP="002555C1">
      <w:pPr>
        <w:keepNext/>
        <w:keepLines/>
        <w:spacing w:before="0" w:after="120"/>
        <w:outlineLvl w:val="3"/>
        <w:rPr>
          <w:rFonts w:ascii="PP Neue Montreal Book" w:eastAsia="Google Sans" w:hAnsi="PP Neue Montreal Book" w:cs="Google Sans"/>
          <w:b/>
          <w:bCs/>
          <w:color w:val="215E99"/>
          <w:sz w:val="22"/>
          <w:szCs w:val="22"/>
        </w:rPr>
      </w:pPr>
      <w:r w:rsidRPr="00095483">
        <w:rPr>
          <w:rFonts w:ascii="PP Neue Montreal Book" w:eastAsia="Google Sans" w:hAnsi="PP Neue Montreal Book" w:cs="Google Sans"/>
          <w:b/>
          <w:bCs/>
          <w:color w:val="215E99"/>
          <w:sz w:val="22"/>
          <w:szCs w:val="22"/>
        </w:rPr>
        <w:t>Financial Modeling and Estimation (Malpractice)</w:t>
      </w:r>
    </w:p>
    <w:p w14:paraId="4CC13E21" w14:textId="77777777" w:rsidR="005C5C1A" w:rsidRPr="005C5C1A" w:rsidRDefault="005C5C1A" w:rsidP="002555C1">
      <w:pPr>
        <w:widowControl w:val="0"/>
        <w:numPr>
          <w:ilvl w:val="0"/>
          <w:numId w:val="4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Estimated Savings Per Incident:</w:t>
      </w:r>
      <w:r w:rsidRPr="005C5C1A">
        <w:rPr>
          <w:rFonts w:ascii="PP Neue Montreal Book" w:eastAsia="Google Sans Text" w:hAnsi="PP Neue Montreal Book" w:cs="Google Sans Text"/>
          <w:color w:val="1B1C1D"/>
          <w:sz w:val="22"/>
          <w:szCs w:val="22"/>
        </w:rPr>
        <w:t xml:space="preserve"> The memo's placeholder of $250,000 per avoided lawsuit is well-aligned with industry data, which shows the median medical malpractice settlement in the U.S. is </w:t>
      </w:r>
      <w:r w:rsidRPr="005C5C1A">
        <w:rPr>
          <w:rFonts w:ascii="PP Neue Montreal Book" w:eastAsia="Google Sans Text" w:hAnsi="PP Neue Montreal Book" w:cs="Google Sans Text"/>
          <w:b/>
          <w:color w:val="1B1C1D"/>
          <w:sz w:val="22"/>
          <w:szCs w:val="22"/>
        </w:rPr>
        <w:t>$250,000</w:t>
      </w:r>
      <w:r w:rsidRPr="005C5C1A">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575B5F"/>
          <w:sz w:val="22"/>
          <w:szCs w:val="22"/>
          <w:vertAlign w:val="superscript"/>
        </w:rPr>
        <w:t>7</w:t>
      </w:r>
      <w:r w:rsidRPr="005C5C1A">
        <w:rPr>
          <w:rFonts w:ascii="PP Neue Montreal Book" w:eastAsia="Google Sans Text" w:hAnsi="PP Neue Montreal Book" w:cs="Google Sans Text"/>
          <w:color w:val="1B1C1D"/>
          <w:sz w:val="22"/>
          <w:szCs w:val="22"/>
        </w:rPr>
        <w:t xml:space="preserve"> This figure will be used for the analysis.</w:t>
      </w:r>
    </w:p>
    <w:p w14:paraId="2C795713" w14:textId="77777777" w:rsidR="005C5C1A" w:rsidRPr="005C5C1A" w:rsidRDefault="005C5C1A" w:rsidP="002555C1">
      <w:pPr>
        <w:widowControl w:val="0"/>
        <w:numPr>
          <w:ilvl w:val="0"/>
          <w:numId w:val="46"/>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Median Hospital Extrapolation:</w:t>
      </w:r>
      <w:r w:rsidRPr="005C5C1A">
        <w:rPr>
          <w:rFonts w:ascii="PP Neue Montreal Book" w:eastAsia="Google Sans Text" w:hAnsi="PP Neue Montreal Book" w:cs="Google Sans Text"/>
          <w:color w:val="1B1C1D"/>
          <w:sz w:val="22"/>
          <w:szCs w:val="22"/>
        </w:rPr>
        <w:t xml:space="preserve"> The scenario described—an incidental finding on an imaging report that is not acted upon—is a common cause of malpractice litigation for missed or delayed diagnosis.</w:t>
      </w:r>
    </w:p>
    <w:p w14:paraId="460E3AA2" w14:textId="77777777" w:rsidR="005C5C1A" w:rsidRPr="005C5C1A" w:rsidRDefault="005C5C1A" w:rsidP="002555C1">
      <w:pPr>
        <w:widowControl w:val="0"/>
        <w:numPr>
          <w:ilvl w:val="1"/>
          <w:numId w:val="47"/>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Text" w:hAnsi="PP Neue Montreal Book" w:cs="Google Sans Text"/>
          <w:b/>
          <w:color w:val="1B1C1D"/>
          <w:sz w:val="22"/>
          <w:szCs w:val="22"/>
        </w:rPr>
        <w:t>Avoidance Rate:</w:t>
      </w:r>
      <w:r w:rsidRPr="005C5C1A">
        <w:rPr>
          <w:rFonts w:ascii="PP Neue Montreal Book" w:eastAsia="Google Sans Text" w:hAnsi="PP Neue Montreal Book" w:cs="Google Sans Text"/>
          <w:color w:val="1B1C1D"/>
          <w:sz w:val="22"/>
          <w:szCs w:val="22"/>
        </w:rPr>
        <w:t xml:space="preserve"> The memo's assumption of avoiding </w:t>
      </w:r>
      <w:r w:rsidRPr="005C5C1A">
        <w:rPr>
          <w:rFonts w:ascii="PP Neue Montreal Book" w:eastAsia="Google Sans Text" w:hAnsi="PP Neue Montreal Book" w:cs="Google Sans Text"/>
          <w:b/>
          <w:color w:val="1B1C1D"/>
          <w:sz w:val="22"/>
          <w:szCs w:val="22"/>
        </w:rPr>
        <w:t>two such lawsuits per year</w:t>
      </w:r>
      <w:r w:rsidRPr="005C5C1A">
        <w:rPr>
          <w:rFonts w:ascii="PP Neue Montreal Book" w:eastAsia="Google Sans Text" w:hAnsi="PP Neue Montreal Book" w:cs="Google Sans Text"/>
          <w:color w:val="1B1C1D"/>
          <w:sz w:val="22"/>
          <w:szCs w:val="22"/>
        </w:rPr>
        <w:t xml:space="preserve"> in a large health system is a reasonable target for a platform designed to close care gaps and ensure follow-up on critical findings.</w:t>
      </w:r>
      <w:r w:rsidRPr="005C5C1A">
        <w:rPr>
          <w:rFonts w:ascii="PP Neue Montreal Book" w:eastAsia="Google Sans Text" w:hAnsi="PP Neue Montreal Book" w:cs="Google Sans Text"/>
          <w:color w:val="575B5F"/>
          <w:sz w:val="22"/>
          <w:szCs w:val="22"/>
          <w:vertAlign w:val="superscript"/>
        </w:rPr>
        <w:t>7</w:t>
      </w:r>
    </w:p>
    <w:p w14:paraId="2AEC44AD" w14:textId="66F46BED" w:rsidR="005C5C1A" w:rsidRPr="005C5C1A" w:rsidRDefault="005C5C1A" w:rsidP="002555C1">
      <w:pPr>
        <w:widowControl w:val="0"/>
        <w:numPr>
          <w:ilvl w:val="1"/>
          <w:numId w:val="47"/>
        </w:numPr>
        <w:pBdr>
          <w:top w:val="nil"/>
          <w:left w:val="nil"/>
          <w:bottom w:val="nil"/>
          <w:right w:val="nil"/>
          <w:between w:val="nil"/>
        </w:pBdr>
        <w:spacing w:before="0" w:after="120"/>
        <w:rPr>
          <w:rFonts w:ascii="PP Neue Montreal Book" w:hAnsi="PP Neue Montreal Book"/>
          <w:sz w:val="22"/>
          <w:szCs w:val="22"/>
        </w:rPr>
      </w:pPr>
      <w:r w:rsidRPr="005C5C1A">
        <w:rPr>
          <w:rFonts w:ascii="PP Neue Montreal Book" w:eastAsia="Google Sans Text" w:hAnsi="PP Neue Montreal Book" w:cs="Google Sans Text"/>
          <w:color w:val="1B1C1D"/>
          <w:sz w:val="22"/>
          <w:szCs w:val="22"/>
        </w:rPr>
        <w:t>Calculation:</w:t>
      </w:r>
      <w:r w:rsidR="00360796">
        <w:rPr>
          <w:rFonts w:ascii="PP Neue Montreal Book" w:hAnsi="PP Neue Montreal Book"/>
          <w:color w:val="000000"/>
          <w:sz w:val="22"/>
          <w:szCs w:val="22"/>
        </w:rPr>
        <w:t xml:space="preserve"> </w:t>
      </w:r>
      <w:r w:rsidRPr="005C5C1A">
        <w:rPr>
          <w:rFonts w:ascii="PP Neue Montreal Book" w:eastAsia="Google Sans Text" w:hAnsi="PP Neue Montreal Book" w:cs="Google Sans Text"/>
          <w:color w:val="1B1C1D"/>
          <w:sz w:val="22"/>
          <w:szCs w:val="22"/>
        </w:rPr>
        <w:t>2</w:t>
      </w:r>
      <w:r w:rsidR="00360796">
        <w:rPr>
          <w:rFonts w:ascii="PP Neue Montreal Book" w:eastAsia="Google Sans Text" w:hAnsi="PP Neue Montreal Book" w:cs="Google Sans Text"/>
          <w:color w:val="1B1C1D"/>
          <w:sz w:val="22"/>
          <w:szCs w:val="22"/>
        </w:rPr>
        <w:t>-</w:t>
      </w:r>
      <w:r w:rsidRPr="005C5C1A">
        <w:rPr>
          <w:rFonts w:ascii="PP Neue Montreal Book" w:eastAsia="Google Sans Text" w:hAnsi="PP Neue Montreal Book" w:cs="Google Sans Text"/>
          <w:color w:val="1B1C1D"/>
          <w:sz w:val="22"/>
          <w:szCs w:val="22"/>
        </w:rPr>
        <w:t>year</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avoided lawsuits</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$250,000</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lawsuit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cost​</w:t>
      </w:r>
      <w:r w:rsidR="00360796">
        <w:rPr>
          <w:rFonts w:ascii="PP Neue Montreal Book" w:eastAsia="Google Sans Text" w:hAnsi="PP Neue Montreal Book" w:cs="Google Sans Text"/>
          <w:color w:val="1B1C1D"/>
          <w:sz w:val="22"/>
          <w:szCs w:val="22"/>
        </w:rPr>
        <w:t xml:space="preserve"> </w:t>
      </w:r>
      <w:r w:rsidRPr="005C5C1A">
        <w:rPr>
          <w:rFonts w:ascii="PP Neue Montreal Book" w:eastAsia="Google Sans Text" w:hAnsi="PP Neue Montreal Book" w:cs="Google Sans Text"/>
          <w:color w:val="1B1C1D"/>
          <w:sz w:val="22"/>
          <w:szCs w:val="22"/>
        </w:rPr>
        <w:t>=</w:t>
      </w:r>
      <w:r w:rsidR="00360796">
        <w:rPr>
          <w:rFonts w:ascii="PP Neue Montreal Book" w:eastAsia="Google Sans Text" w:hAnsi="PP Neue Montreal Book" w:cs="Google Sans Text"/>
          <w:color w:val="1B1C1D"/>
          <w:sz w:val="22"/>
          <w:szCs w:val="22"/>
        </w:rPr>
        <w:t xml:space="preserve"> </w:t>
      </w:r>
      <w:r w:rsidRPr="008F3664">
        <w:rPr>
          <w:rFonts w:ascii="PP Neue Montreal Book" w:eastAsia="Google Sans Text" w:hAnsi="PP Neue Montreal Book" w:cs="Google Sans Text"/>
          <w:b/>
          <w:bCs/>
          <w:color w:val="1B1C1D"/>
          <w:sz w:val="22"/>
          <w:szCs w:val="22"/>
        </w:rPr>
        <w:t>$500,000 annually</w:t>
      </w:r>
    </w:p>
    <w:p w14:paraId="72F73717" w14:textId="77777777" w:rsidR="005C5C1A" w:rsidRPr="005C5C1A" w:rsidRDefault="005C5C1A" w:rsidP="005C5C1A">
      <w:pPr>
        <w:keepNext/>
        <w:keepLines/>
        <w:spacing w:before="360"/>
        <w:outlineLvl w:val="0"/>
        <w:rPr>
          <w:rFonts w:ascii="IvyPresto Display Thin" w:eastAsiaTheme="majorEastAsia" w:hAnsi="IvyPresto Display Thin" w:cs="IvyPresto Display Thin"/>
          <w:b/>
          <w:color w:val="4C94D8" w:themeColor="text2" w:themeTint="80"/>
          <w:sz w:val="32"/>
          <w:szCs w:val="32"/>
        </w:rPr>
      </w:pPr>
    </w:p>
    <w:p w14:paraId="2A9611FF" w14:textId="77777777" w:rsidR="00DE16A0" w:rsidRDefault="00DE16A0">
      <w:pPr>
        <w:rPr>
          <w:rFonts w:ascii="PP Neue Montreal Book" w:eastAsia="Google Sans" w:hAnsi="PP Neue Montreal Book" w:cs="Google Sans"/>
          <w:b/>
          <w:bCs/>
          <w:color w:val="156082" w:themeColor="accent1"/>
        </w:rPr>
      </w:pPr>
      <w:r>
        <w:rPr>
          <w:rFonts w:ascii="PP Neue Montreal Book" w:eastAsia="Google Sans" w:hAnsi="PP Neue Montreal Book" w:cs="Google Sans"/>
          <w:b/>
          <w:bCs/>
          <w:color w:val="156082" w:themeColor="accent1"/>
        </w:rPr>
        <w:br w:type="page"/>
      </w:r>
    </w:p>
    <w:p w14:paraId="6862642B" w14:textId="4A07DC2A" w:rsidR="005C5C1A" w:rsidRPr="001A1D6B" w:rsidRDefault="005C5C1A" w:rsidP="005C5C1A">
      <w:pPr>
        <w:keepNext/>
        <w:keepLines/>
        <w:spacing w:before="0" w:after="40"/>
        <w:outlineLvl w:val="3"/>
        <w:rPr>
          <w:rFonts w:ascii="PP Neue Montreal Book" w:eastAsia="Google Sans" w:hAnsi="PP Neue Montreal Book" w:cs="Google Sans"/>
          <w:b/>
          <w:bCs/>
          <w:color w:val="156082" w:themeColor="accent1"/>
        </w:rPr>
      </w:pPr>
      <w:r w:rsidRPr="001A1D6B">
        <w:rPr>
          <w:rFonts w:ascii="PP Neue Montreal Book" w:eastAsia="Google Sans" w:hAnsi="PP Neue Montreal Book" w:cs="Google Sans"/>
          <w:b/>
          <w:bCs/>
          <w:color w:val="156082" w:themeColor="accent1"/>
        </w:rPr>
        <w:t>Works cited</w:t>
      </w:r>
    </w:p>
    <w:p w14:paraId="21A9B93D"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340B Drug Pricing Program - Texas Hospital Association, accessed September 26, 2025, </w:t>
      </w:r>
      <w:hyperlink r:id="rId12">
        <w:r w:rsidRPr="005C5C1A">
          <w:rPr>
            <w:rFonts w:ascii="PP Neue Montreal Book" w:eastAsia="Google Sans" w:hAnsi="PP Neue Montreal Book" w:cs="Google Sans"/>
            <w:color w:val="0000EE"/>
            <w:sz w:val="22"/>
            <w:szCs w:val="22"/>
            <w:u w:val="single"/>
          </w:rPr>
          <w:t>https://www.tha.org/issues/medicare-and-medicaid/340b-drug-pricing-program/</w:t>
        </w:r>
      </w:hyperlink>
    </w:p>
    <w:p w14:paraId="0734170E"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340B Drug Pricing Program - National Pharmaceutical Council, accessed September 26, 2025, </w:t>
      </w:r>
      <w:hyperlink r:id="rId13">
        <w:r w:rsidRPr="005C5C1A">
          <w:rPr>
            <w:rFonts w:ascii="PP Neue Montreal Book" w:eastAsia="Google Sans" w:hAnsi="PP Neue Montreal Book" w:cs="Google Sans"/>
            <w:color w:val="0000EE"/>
            <w:sz w:val="22"/>
            <w:szCs w:val="22"/>
            <w:u w:val="single"/>
          </w:rPr>
          <w:t>https://www.npcnow.org/topics/health-spending/340b-drug-pricing-program</w:t>
        </w:r>
      </w:hyperlink>
    </w:p>
    <w:p w14:paraId="746528E8"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340B Drug Pricing Program: How It Works, Why It's Controversial ..., accessed September 26, 2025, </w:t>
      </w:r>
      <w:hyperlink r:id="rId14">
        <w:r w:rsidRPr="005C5C1A">
          <w:rPr>
            <w:rFonts w:ascii="PP Neue Montreal Book" w:eastAsia="Google Sans" w:hAnsi="PP Neue Montreal Book" w:cs="Google Sans"/>
            <w:color w:val="0000EE"/>
            <w:sz w:val="22"/>
            <w:szCs w:val="22"/>
            <w:u w:val="single"/>
          </w:rPr>
          <w:t>https://www.commonwealthfund.org/publications/explainer/2025/aug/340b-drug-pricing-program-how-it-works-and-why-its-controversial</w:t>
        </w:r>
      </w:hyperlink>
    </w:p>
    <w:p w14:paraId="67DF4EA8"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The 340B Drug Pricing Program | AAMC, accessed September 26, 2025, </w:t>
      </w:r>
      <w:hyperlink r:id="rId15">
        <w:r w:rsidRPr="005C5C1A">
          <w:rPr>
            <w:rFonts w:ascii="PP Neue Montreal Book" w:eastAsia="Google Sans" w:hAnsi="PP Neue Montreal Book" w:cs="Google Sans"/>
            <w:color w:val="0000EE"/>
            <w:sz w:val="22"/>
            <w:szCs w:val="22"/>
            <w:u w:val="single"/>
          </w:rPr>
          <w:t>https://www.aamc.org/news/340b-drug-pricing-program</w:t>
        </w:r>
      </w:hyperlink>
    </w:p>
    <w:p w14:paraId="7CD95EF7"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340B Drug Pricing Program Overview, accessed September 26, 2025, </w:t>
      </w:r>
      <w:hyperlink r:id="rId16">
        <w:r w:rsidRPr="005C5C1A">
          <w:rPr>
            <w:rFonts w:ascii="PP Neue Montreal Book" w:eastAsia="Google Sans" w:hAnsi="PP Neue Montreal Book" w:cs="Google Sans"/>
            <w:color w:val="0000EE"/>
            <w:sz w:val="22"/>
            <w:szCs w:val="22"/>
            <w:u w:val="single"/>
          </w:rPr>
          <w:t>https://www.340bhealth.org/members/340b-program/overview/</w:t>
        </w:r>
      </w:hyperlink>
    </w:p>
    <w:p w14:paraId="3A1D2510"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Hospitals and 340B - PhRMA, accessed September 26, 2025, </w:t>
      </w:r>
      <w:hyperlink r:id="rId17">
        <w:r w:rsidRPr="005C5C1A">
          <w:rPr>
            <w:rFonts w:ascii="PP Neue Montreal Book" w:eastAsia="Google Sans" w:hAnsi="PP Neue Montreal Book" w:cs="Google Sans"/>
            <w:color w:val="0000EE"/>
            <w:sz w:val="22"/>
            <w:szCs w:val="22"/>
            <w:u w:val="single"/>
          </w:rPr>
          <w:t>https://phrma.org/policy-issues/340b</w:t>
        </w:r>
      </w:hyperlink>
    </w:p>
    <w:p w14:paraId="0B23AFE8"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Cordance ROI &amp; Revenue Memo.pdf</w:t>
      </w:r>
    </w:p>
    <w:p w14:paraId="732009A1"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Life Course Patterns of Prescription Drug Use in the United States - PMC, accessed September 26, 2025, </w:t>
      </w:r>
      <w:hyperlink r:id="rId18">
        <w:r w:rsidRPr="005C5C1A">
          <w:rPr>
            <w:rFonts w:ascii="PP Neue Montreal Book" w:eastAsia="Google Sans" w:hAnsi="PP Neue Montreal Book" w:cs="Google Sans"/>
            <w:color w:val="0000EE"/>
            <w:sz w:val="22"/>
            <w:szCs w:val="22"/>
            <w:u w:val="single"/>
          </w:rPr>
          <w:t>https://pmc.ncbi.nlm.nih.gov/articles/PMC10656114/</w:t>
        </w:r>
      </w:hyperlink>
    </w:p>
    <w:p w14:paraId="2F1E6817"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What separates high- and low-performing hospitals in 2025, accessed September 26, 2025, </w:t>
      </w:r>
      <w:hyperlink r:id="rId19">
        <w:r w:rsidRPr="005C5C1A">
          <w:rPr>
            <w:rFonts w:ascii="PP Neue Montreal Book" w:eastAsia="Google Sans" w:hAnsi="PP Neue Montreal Book" w:cs="Google Sans"/>
            <w:color w:val="0000EE"/>
            <w:sz w:val="22"/>
            <w:szCs w:val="22"/>
            <w:u w:val="single"/>
          </w:rPr>
          <w:t>https://www.beckershospitalreview.com/finance/what-separates-high-and-low-performing-hospitals-in-2025/</w:t>
        </w:r>
      </w:hyperlink>
    </w:p>
    <w:p w14:paraId="3C8C04E9"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Understanding Referral Leakage: Its Financial Implications for Healthcare Organizations and Patients | Simbo AI - Blogs, accessed September 26, 2025, </w:t>
      </w:r>
      <w:hyperlink r:id="rId20">
        <w:r w:rsidRPr="005C5C1A">
          <w:rPr>
            <w:rFonts w:ascii="PP Neue Montreal Book" w:eastAsia="Google Sans" w:hAnsi="PP Neue Montreal Book" w:cs="Google Sans"/>
            <w:color w:val="0000EE"/>
            <w:sz w:val="22"/>
            <w:szCs w:val="22"/>
            <w:u w:val="single"/>
          </w:rPr>
          <w:t>https://www.simbo.ai/blog/understanding-referral-leakage-its-financial-implications-for-healthcare-organizations-and-patients-4072595/</w:t>
        </w:r>
      </w:hyperlink>
    </w:p>
    <w:p w14:paraId="62A52E37"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How We're Addressing Patient Referral Leakage - Ensemble Health Partners, accessed September 26, 2025, </w:t>
      </w:r>
      <w:hyperlink r:id="rId21">
        <w:r w:rsidRPr="005C5C1A">
          <w:rPr>
            <w:rFonts w:ascii="PP Neue Montreal Book" w:eastAsia="Google Sans" w:hAnsi="PP Neue Montreal Book" w:cs="Google Sans"/>
            <w:color w:val="0000EE"/>
            <w:sz w:val="22"/>
            <w:szCs w:val="22"/>
            <w:u w:val="single"/>
          </w:rPr>
          <w:t>https://www.ensemblehp.com/blog/how-were-addressing-patient-referral-leakage/</w:t>
        </w:r>
      </w:hyperlink>
    </w:p>
    <w:p w14:paraId="75EAF06F"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Unlocking Radiology Revenue: The Hidden Impact of Referral Leakage - </w:t>
      </w:r>
      <w:proofErr w:type="spellStart"/>
      <w:r w:rsidRPr="005C5C1A">
        <w:rPr>
          <w:rFonts w:ascii="PP Neue Montreal Book" w:eastAsia="Google Sans" w:hAnsi="PP Neue Montreal Book" w:cs="Google Sans"/>
          <w:sz w:val="22"/>
          <w:szCs w:val="22"/>
        </w:rPr>
        <w:t>Glassbeam</w:t>
      </w:r>
      <w:proofErr w:type="spellEnd"/>
      <w:r w:rsidRPr="005C5C1A">
        <w:rPr>
          <w:rFonts w:ascii="PP Neue Montreal Book" w:eastAsia="Google Sans" w:hAnsi="PP Neue Montreal Book" w:cs="Google Sans"/>
          <w:sz w:val="22"/>
          <w:szCs w:val="22"/>
        </w:rPr>
        <w:t xml:space="preserve">, accessed September 26, 2025, </w:t>
      </w:r>
      <w:hyperlink r:id="rId22">
        <w:r w:rsidRPr="005C5C1A">
          <w:rPr>
            <w:rFonts w:ascii="PP Neue Montreal Book" w:eastAsia="Google Sans" w:hAnsi="PP Neue Montreal Book" w:cs="Google Sans"/>
            <w:color w:val="0000EE"/>
            <w:sz w:val="22"/>
            <w:szCs w:val="22"/>
            <w:u w:val="single"/>
          </w:rPr>
          <w:t>https://www.glassbeam.com/the-hidden-impact-of-referral-revenue-leakage/</w:t>
        </w:r>
      </w:hyperlink>
    </w:p>
    <w:p w14:paraId="5116C736"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Referral Leakage: Let's fix it together - </w:t>
      </w:r>
      <w:proofErr w:type="spellStart"/>
      <w:r w:rsidRPr="005C5C1A">
        <w:rPr>
          <w:rFonts w:ascii="PP Neue Montreal Book" w:eastAsia="Google Sans" w:hAnsi="PP Neue Montreal Book" w:cs="Google Sans"/>
          <w:sz w:val="22"/>
          <w:szCs w:val="22"/>
        </w:rPr>
        <w:t>MedMatch</w:t>
      </w:r>
      <w:proofErr w:type="spellEnd"/>
      <w:r w:rsidRPr="005C5C1A">
        <w:rPr>
          <w:rFonts w:ascii="PP Neue Montreal Book" w:eastAsia="Google Sans" w:hAnsi="PP Neue Montreal Book" w:cs="Google Sans"/>
          <w:sz w:val="22"/>
          <w:szCs w:val="22"/>
        </w:rPr>
        <w:t xml:space="preserve"> Network, accessed September 26, 2025, </w:t>
      </w:r>
      <w:hyperlink r:id="rId23">
        <w:r w:rsidRPr="005C5C1A">
          <w:rPr>
            <w:rFonts w:ascii="PP Neue Montreal Book" w:eastAsia="Google Sans" w:hAnsi="PP Neue Montreal Book" w:cs="Google Sans"/>
            <w:color w:val="0000EE"/>
            <w:sz w:val="22"/>
            <w:szCs w:val="22"/>
            <w:u w:val="single"/>
          </w:rPr>
          <w:t>https://medmatchnetwork.com/referral-leakage-lets-fix-it-together/</w:t>
        </w:r>
      </w:hyperlink>
    </w:p>
    <w:p w14:paraId="71E54A3E"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CPT Code 31231 - Description and Fee Schedule 2025 - </w:t>
      </w:r>
      <w:proofErr w:type="spellStart"/>
      <w:r w:rsidRPr="005C5C1A">
        <w:rPr>
          <w:rFonts w:ascii="PP Neue Montreal Book" w:eastAsia="Google Sans" w:hAnsi="PP Neue Montreal Book" w:cs="Google Sans"/>
          <w:sz w:val="22"/>
          <w:szCs w:val="22"/>
        </w:rPr>
        <w:t>PayerPrice</w:t>
      </w:r>
      <w:proofErr w:type="spellEnd"/>
      <w:r w:rsidRPr="005C5C1A">
        <w:rPr>
          <w:rFonts w:ascii="PP Neue Montreal Book" w:eastAsia="Google Sans" w:hAnsi="PP Neue Montreal Book" w:cs="Google Sans"/>
          <w:sz w:val="22"/>
          <w:szCs w:val="22"/>
        </w:rPr>
        <w:t xml:space="preserve">, accessed September 26, 2025, </w:t>
      </w:r>
      <w:hyperlink r:id="rId24">
        <w:r w:rsidRPr="005C5C1A">
          <w:rPr>
            <w:rFonts w:ascii="PP Neue Montreal Book" w:eastAsia="Google Sans" w:hAnsi="PP Neue Montreal Book" w:cs="Google Sans"/>
            <w:color w:val="0000EE"/>
            <w:sz w:val="22"/>
            <w:szCs w:val="22"/>
            <w:u w:val="single"/>
          </w:rPr>
          <w:t>https://payerprice.com/rates/31231-CPT-fee-schedule</w:t>
        </w:r>
      </w:hyperlink>
    </w:p>
    <w:p w14:paraId="045E0E62"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2025 ENT reimbursement - Procedure coding and ... - Stryker, accessed September 26, 2025, </w:t>
      </w:r>
      <w:hyperlink r:id="rId25">
        <w:r w:rsidRPr="005C5C1A">
          <w:rPr>
            <w:rFonts w:ascii="PP Neue Montreal Book" w:eastAsia="Google Sans" w:hAnsi="PP Neue Montreal Book" w:cs="Google Sans"/>
            <w:color w:val="0000EE"/>
            <w:sz w:val="22"/>
            <w:szCs w:val="22"/>
            <w:u w:val="single"/>
          </w:rPr>
          <w:t>https://www.stryker.com/content/dam/commercial/usa/ent/gsnps/ENT-GSNPS-REIM-766503-EN_US.pdf</w:t>
        </w:r>
      </w:hyperlink>
    </w:p>
    <w:p w14:paraId="275A819F"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CPT Code 31255 - Description and Fee Schedule 2025 - </w:t>
      </w:r>
      <w:proofErr w:type="spellStart"/>
      <w:r w:rsidRPr="005C5C1A">
        <w:rPr>
          <w:rFonts w:ascii="PP Neue Montreal Book" w:eastAsia="Google Sans" w:hAnsi="PP Neue Montreal Book" w:cs="Google Sans"/>
          <w:sz w:val="22"/>
          <w:szCs w:val="22"/>
        </w:rPr>
        <w:t>PayerPrice</w:t>
      </w:r>
      <w:proofErr w:type="spellEnd"/>
      <w:r w:rsidRPr="005C5C1A">
        <w:rPr>
          <w:rFonts w:ascii="PP Neue Montreal Book" w:eastAsia="Google Sans" w:hAnsi="PP Neue Montreal Book" w:cs="Google Sans"/>
          <w:sz w:val="22"/>
          <w:szCs w:val="22"/>
        </w:rPr>
        <w:t xml:space="preserve">, accessed September 26, 2025, </w:t>
      </w:r>
      <w:hyperlink r:id="rId26">
        <w:r w:rsidRPr="005C5C1A">
          <w:rPr>
            <w:rFonts w:ascii="PP Neue Montreal Book" w:eastAsia="Google Sans" w:hAnsi="PP Neue Montreal Book" w:cs="Google Sans"/>
            <w:color w:val="0000EE"/>
            <w:sz w:val="22"/>
            <w:szCs w:val="22"/>
            <w:u w:val="single"/>
          </w:rPr>
          <w:t>https://payerprice.com/rates/31255-CPT-fee-schedule</w:t>
        </w:r>
      </w:hyperlink>
    </w:p>
    <w:p w14:paraId="562B7731"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Patient Referral Leakage FAQ - WebMD Ignite, accessed September 26, 2025, </w:t>
      </w:r>
      <w:hyperlink r:id="rId27">
        <w:r w:rsidRPr="005C5C1A">
          <w:rPr>
            <w:rFonts w:ascii="PP Neue Montreal Book" w:eastAsia="Google Sans" w:hAnsi="PP Neue Montreal Book" w:cs="Google Sans"/>
            <w:color w:val="0000EE"/>
            <w:sz w:val="22"/>
            <w:szCs w:val="22"/>
            <w:u w:val="single"/>
          </w:rPr>
          <w:t>https://webmdignite.com/faq/patient-referral-leakage</w:t>
        </w:r>
      </w:hyperlink>
    </w:p>
    <w:p w14:paraId="5C88891C"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Referral Leakage in ACOs: Causes, Costs &amp; Fixes - Innovaccer, accessed September 26, 2025, </w:t>
      </w:r>
      <w:hyperlink r:id="rId28">
        <w:r w:rsidRPr="005C5C1A">
          <w:rPr>
            <w:rFonts w:ascii="PP Neue Montreal Book" w:eastAsia="Google Sans" w:hAnsi="PP Neue Montreal Book" w:cs="Google Sans"/>
            <w:color w:val="0000EE"/>
            <w:sz w:val="22"/>
            <w:szCs w:val="22"/>
            <w:u w:val="single"/>
          </w:rPr>
          <w:t>https://webflow.innovaccer.com/blogs/uncovering-the-silent-epidemic-of-referral-leakage</w:t>
        </w:r>
      </w:hyperlink>
    </w:p>
    <w:p w14:paraId="7D00F01A"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CT Scan vs. MRI – Uses, Cost, Risks &amp; More | </w:t>
      </w:r>
      <w:proofErr w:type="spellStart"/>
      <w:r w:rsidRPr="005C5C1A">
        <w:rPr>
          <w:rFonts w:ascii="PP Neue Montreal Book" w:eastAsia="Google Sans" w:hAnsi="PP Neue Montreal Book" w:cs="Google Sans"/>
          <w:sz w:val="22"/>
          <w:szCs w:val="22"/>
        </w:rPr>
        <w:t>Docpanel</w:t>
      </w:r>
      <w:proofErr w:type="spellEnd"/>
      <w:r w:rsidRPr="005C5C1A">
        <w:rPr>
          <w:rFonts w:ascii="PP Neue Montreal Book" w:eastAsia="Google Sans" w:hAnsi="PP Neue Montreal Book" w:cs="Google Sans"/>
          <w:sz w:val="22"/>
          <w:szCs w:val="22"/>
        </w:rPr>
        <w:t xml:space="preserve">, accessed September 26, 2025, </w:t>
      </w:r>
      <w:hyperlink r:id="rId29">
        <w:r w:rsidRPr="005C5C1A">
          <w:rPr>
            <w:rFonts w:ascii="PP Neue Montreal Book" w:eastAsia="Google Sans" w:hAnsi="PP Neue Montreal Book" w:cs="Google Sans"/>
            <w:color w:val="0000EE"/>
            <w:sz w:val="22"/>
            <w:szCs w:val="22"/>
            <w:u w:val="single"/>
          </w:rPr>
          <w:t>https://docpanel.com/ct-scan-vs-mri-uses-cost-risks-more</w:t>
        </w:r>
      </w:hyperlink>
    </w:p>
    <w:p w14:paraId="28081C18"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Why Are MRIs So Expensive at Hospitals? - Heartland Imaging, accessed September 26, 2025, </w:t>
      </w:r>
      <w:hyperlink r:id="rId30">
        <w:r w:rsidRPr="005C5C1A">
          <w:rPr>
            <w:rFonts w:ascii="PP Neue Montreal Book" w:eastAsia="Google Sans" w:hAnsi="PP Neue Montreal Book" w:cs="Google Sans"/>
            <w:color w:val="0000EE"/>
            <w:sz w:val="22"/>
            <w:szCs w:val="22"/>
            <w:u w:val="single"/>
          </w:rPr>
          <w:t>https://heartlandimagingcenters.com/2021/03/19/why-are-mris-so-expensive-at-hospitals/</w:t>
        </w:r>
      </w:hyperlink>
    </w:p>
    <w:p w14:paraId="5A2A87EE"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Evaluating factors associated with the cancellation and delay of elective surgical procedures: a systematic review - Oxford Academic, accessed September 26, 2025, </w:t>
      </w:r>
      <w:hyperlink r:id="rId31">
        <w:r w:rsidRPr="005C5C1A">
          <w:rPr>
            <w:rFonts w:ascii="PP Neue Montreal Book" w:eastAsia="Google Sans" w:hAnsi="PP Neue Montreal Book" w:cs="Google Sans"/>
            <w:color w:val="0000EE"/>
            <w:sz w:val="22"/>
            <w:szCs w:val="22"/>
            <w:u w:val="single"/>
          </w:rPr>
          <w:t>https://academic.oup.com/intqhc/article/33/2/mzab092/6294831</w:t>
        </w:r>
      </w:hyperlink>
    </w:p>
    <w:p w14:paraId="2CAD8CAE"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Cancellation of elective surgery: rates, reasons and effect on patient satisfaction - PMC, accessed September 26, 2025, </w:t>
      </w:r>
      <w:hyperlink r:id="rId32">
        <w:r w:rsidRPr="005C5C1A">
          <w:rPr>
            <w:rFonts w:ascii="PP Neue Montreal Book" w:eastAsia="Google Sans" w:hAnsi="PP Neue Montreal Book" w:cs="Google Sans"/>
            <w:color w:val="0000EE"/>
            <w:sz w:val="22"/>
            <w:szCs w:val="22"/>
            <w:u w:val="single"/>
          </w:rPr>
          <w:t>https://pmc.ncbi.nlm.nih.gov/articles/PMC8064262/</w:t>
        </w:r>
      </w:hyperlink>
    </w:p>
    <w:p w14:paraId="18FAB32C"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Surgery Cancellation Rate Benchmark (+ Cost Calculator) - </w:t>
      </w:r>
      <w:proofErr w:type="spellStart"/>
      <w:r w:rsidRPr="005C5C1A">
        <w:rPr>
          <w:rFonts w:ascii="PP Neue Montreal Book" w:eastAsia="Google Sans" w:hAnsi="PP Neue Montreal Book" w:cs="Google Sans"/>
          <w:sz w:val="22"/>
          <w:szCs w:val="22"/>
        </w:rPr>
        <w:t>MyPreOp</w:t>
      </w:r>
      <w:proofErr w:type="spellEnd"/>
      <w:r w:rsidRPr="005C5C1A">
        <w:rPr>
          <w:rFonts w:ascii="PP Neue Montreal Book" w:eastAsia="Google Sans" w:hAnsi="PP Neue Montreal Book" w:cs="Google Sans"/>
          <w:sz w:val="22"/>
          <w:szCs w:val="22"/>
        </w:rPr>
        <w:t xml:space="preserve">, accessed September 26, 2025, </w:t>
      </w:r>
      <w:hyperlink r:id="rId33">
        <w:r w:rsidRPr="005C5C1A">
          <w:rPr>
            <w:rFonts w:ascii="PP Neue Montreal Book" w:eastAsia="Google Sans" w:hAnsi="PP Neue Montreal Book" w:cs="Google Sans"/>
            <w:color w:val="0000EE"/>
            <w:sz w:val="22"/>
            <w:szCs w:val="22"/>
            <w:u w:val="single"/>
          </w:rPr>
          <w:t>https://www.mypreop.org/post/surgery-cancellation-rate-benchmark-cost-calculator</w:t>
        </w:r>
      </w:hyperlink>
    </w:p>
    <w:p w14:paraId="64B86F28"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U.S. Hospitals that Provide Superior Patient Experience Generate 50 Percent Higher Financial Performance than Average Providers, Accenture Finds, accessed September 26, 2025, </w:t>
      </w:r>
      <w:hyperlink r:id="rId34">
        <w:r w:rsidRPr="005C5C1A">
          <w:rPr>
            <w:rFonts w:ascii="PP Neue Montreal Book" w:eastAsia="Google Sans" w:hAnsi="PP Neue Montreal Book" w:cs="Google Sans"/>
            <w:color w:val="0000EE"/>
            <w:sz w:val="22"/>
            <w:szCs w:val="22"/>
            <w:u w:val="single"/>
          </w:rPr>
          <w:t>https://newsroom.accenture.com/news/2016/us-hospitals-that-provide-superior-patient-experience-generate-50-percent-higher-financial-performance-than-average-providers-accenture-finds</w:t>
        </w:r>
      </w:hyperlink>
    </w:p>
    <w:p w14:paraId="128D3903"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Value of patient experience | Deloitte US, accessed September 26, 2025, </w:t>
      </w:r>
      <w:hyperlink r:id="rId35">
        <w:r w:rsidRPr="005C5C1A">
          <w:rPr>
            <w:rFonts w:ascii="PP Neue Montreal Book" w:eastAsia="Google Sans" w:hAnsi="PP Neue Montreal Book" w:cs="Google Sans"/>
            <w:color w:val="0000EE"/>
            <w:sz w:val="22"/>
            <w:szCs w:val="22"/>
            <w:u w:val="single"/>
          </w:rPr>
          <w:t>https://www.deloitte.com/us/en/Industries/life-sciences-health-care/articles/hospitals-patient-experience.html</w:t>
        </w:r>
      </w:hyperlink>
    </w:p>
    <w:p w14:paraId="4ED0D5A5"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Browse cash prices for radiology services | Sidecar Health, accessed September 26, 2025, </w:t>
      </w:r>
      <w:hyperlink r:id="rId36">
        <w:r w:rsidRPr="005C5C1A">
          <w:rPr>
            <w:rFonts w:ascii="PP Neue Montreal Book" w:eastAsia="Google Sans" w:hAnsi="PP Neue Montreal Book" w:cs="Google Sans"/>
            <w:color w:val="0000EE"/>
            <w:sz w:val="22"/>
            <w:szCs w:val="22"/>
            <w:u w:val="single"/>
          </w:rPr>
          <w:t>https://cost.sidecarhealth.com/browse/radiology-services-costs</w:t>
        </w:r>
      </w:hyperlink>
    </w:p>
    <w:p w14:paraId="3CA10591"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MRI vs. X-Ray: Pros, Cons, Costs &amp; More - Healthline, accessed September 26, 2025, </w:t>
      </w:r>
      <w:hyperlink r:id="rId37">
        <w:r w:rsidRPr="005C5C1A">
          <w:rPr>
            <w:rFonts w:ascii="PP Neue Montreal Book" w:eastAsia="Google Sans" w:hAnsi="PP Neue Montreal Book" w:cs="Google Sans"/>
            <w:color w:val="0000EE"/>
            <w:sz w:val="22"/>
            <w:szCs w:val="22"/>
            <w:u w:val="single"/>
          </w:rPr>
          <w:t>https://www.healthline.com/health/mri-vs-xray</w:t>
        </w:r>
      </w:hyperlink>
    </w:p>
    <w:p w14:paraId="085F515D"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How Much Does Sertraline Cost Without Insurance? - </w:t>
      </w:r>
      <w:proofErr w:type="spellStart"/>
      <w:r w:rsidRPr="005C5C1A">
        <w:rPr>
          <w:rFonts w:ascii="PP Neue Montreal Book" w:eastAsia="Google Sans" w:hAnsi="PP Neue Montreal Book" w:cs="Google Sans"/>
          <w:sz w:val="22"/>
          <w:szCs w:val="22"/>
        </w:rPr>
        <w:t>GoodRx</w:t>
      </w:r>
      <w:proofErr w:type="spellEnd"/>
      <w:r w:rsidRPr="005C5C1A">
        <w:rPr>
          <w:rFonts w:ascii="PP Neue Montreal Book" w:eastAsia="Google Sans" w:hAnsi="PP Neue Montreal Book" w:cs="Google Sans"/>
          <w:sz w:val="22"/>
          <w:szCs w:val="22"/>
        </w:rPr>
        <w:t xml:space="preserve">, accessed September 26, 2025, </w:t>
      </w:r>
      <w:hyperlink r:id="rId38">
        <w:r w:rsidRPr="005C5C1A">
          <w:rPr>
            <w:rFonts w:ascii="PP Neue Montreal Book" w:eastAsia="Google Sans" w:hAnsi="PP Neue Montreal Book" w:cs="Google Sans"/>
            <w:color w:val="0000EE"/>
            <w:sz w:val="22"/>
            <w:szCs w:val="22"/>
            <w:u w:val="single"/>
          </w:rPr>
          <w:t>https://www.goodrx.com/sertraline/sertraline-cost-without-insurance</w:t>
        </w:r>
      </w:hyperlink>
    </w:p>
    <w:p w14:paraId="4BC10D6A"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The Real Cost of Biologic Drugs, accessed September 26, 2025, </w:t>
      </w:r>
      <w:hyperlink r:id="rId39">
        <w:r w:rsidRPr="005C5C1A">
          <w:rPr>
            <w:rFonts w:ascii="PP Neue Montreal Book" w:eastAsia="Google Sans" w:hAnsi="PP Neue Montreal Book" w:cs="Google Sans"/>
            <w:color w:val="0000EE"/>
            <w:sz w:val="22"/>
            <w:szCs w:val="22"/>
            <w:u w:val="single"/>
          </w:rPr>
          <w:t>https://biologicmeds.org/biologic-basics/the-real-cost-of-biologic-drugs/</w:t>
        </w:r>
      </w:hyperlink>
    </w:p>
    <w:p w14:paraId="482C70ED"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Save Billions or Stick With Humira? Drug Brokers Steer Americans to the Costly Choice, accessed September 26, 2025, </w:t>
      </w:r>
      <w:hyperlink r:id="rId40">
        <w:r w:rsidRPr="005C5C1A">
          <w:rPr>
            <w:rFonts w:ascii="PP Neue Montreal Book" w:eastAsia="Google Sans" w:hAnsi="PP Neue Montreal Book" w:cs="Google Sans"/>
            <w:color w:val="0000EE"/>
            <w:sz w:val="22"/>
            <w:szCs w:val="22"/>
            <w:u w:val="single"/>
          </w:rPr>
          <w:t>https://kffhealthnews.org/news/article/humira-abbvie-biosimilar-biologic-savings-pbm-rebates/</w:t>
        </w:r>
      </w:hyperlink>
    </w:p>
    <w:p w14:paraId="6BF510A2"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Cost of nephrologist visit by state - Sidecar Health Care Calculator, accessed September 26, 2025, </w:t>
      </w:r>
      <w:hyperlink r:id="rId41">
        <w:r w:rsidRPr="005C5C1A">
          <w:rPr>
            <w:rFonts w:ascii="PP Neue Montreal Book" w:eastAsia="Google Sans" w:hAnsi="PP Neue Montreal Book" w:cs="Google Sans"/>
            <w:color w:val="0000EE"/>
            <w:sz w:val="22"/>
            <w:szCs w:val="22"/>
            <w:u w:val="single"/>
          </w:rPr>
          <w:t>https://cost.sidecarhealth.com/c/nephrologist-visit-cost</w:t>
        </w:r>
      </w:hyperlink>
    </w:p>
    <w:p w14:paraId="338BFD34"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How Much Does a Gastroenterology Visit Cost? - CareCredit, accessed September 26, 2025, </w:t>
      </w:r>
      <w:hyperlink r:id="rId42">
        <w:r w:rsidRPr="005C5C1A">
          <w:rPr>
            <w:rFonts w:ascii="PP Neue Montreal Book" w:eastAsia="Google Sans" w:hAnsi="PP Neue Montreal Book" w:cs="Google Sans"/>
            <w:color w:val="0000EE"/>
            <w:sz w:val="22"/>
            <w:szCs w:val="22"/>
            <w:u w:val="single"/>
          </w:rPr>
          <w:t>https://www.carecredit.com/well-u/health-wellness/gastroenterology-visit-cost/</w:t>
        </w:r>
      </w:hyperlink>
    </w:p>
    <w:p w14:paraId="1C7D9261"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A Guide to Managing the Cost of Kidney Disease Treatment - Healthline, accessed September 26, 2025, </w:t>
      </w:r>
      <w:hyperlink r:id="rId43">
        <w:r w:rsidRPr="005C5C1A">
          <w:rPr>
            <w:rFonts w:ascii="PP Neue Montreal Book" w:eastAsia="Google Sans" w:hAnsi="PP Neue Montreal Book" w:cs="Google Sans"/>
            <w:color w:val="0000EE"/>
            <w:sz w:val="22"/>
            <w:szCs w:val="22"/>
            <w:u w:val="single"/>
          </w:rPr>
          <w:t>https://www.healthline.com/health/kidney-disease/affording-treatment-for-ckd</w:t>
        </w:r>
      </w:hyperlink>
    </w:p>
    <w:p w14:paraId="18654897"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Direct All-Cause Health Care Costs Associated With Chronic Kidney Disease in Patients With Diabetes and Hypertension: A Managed Care Perspective, accessed September 26, 2025, </w:t>
      </w:r>
      <w:hyperlink r:id="rId44">
        <w:r w:rsidRPr="005C5C1A">
          <w:rPr>
            <w:rFonts w:ascii="PP Neue Montreal Book" w:eastAsia="Google Sans" w:hAnsi="PP Neue Montreal Book" w:cs="Google Sans"/>
            <w:color w:val="0000EE"/>
            <w:sz w:val="22"/>
            <w:szCs w:val="22"/>
            <w:u w:val="single"/>
          </w:rPr>
          <w:t>https://www.jmcp.org/doi/10.18553/jmcp.2009.15.4.312</w:t>
        </w:r>
      </w:hyperlink>
    </w:p>
    <w:p w14:paraId="009E88EC"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pharm.ucsf.edu, accessed September 26, 2025, </w:t>
      </w:r>
      <w:hyperlink r:id="rId45" w:anchor=":~:text=Hemodialysis%20care%20costs%20the%20Medicare,a%20total%20of%20%2428%20billion.">
        <w:r w:rsidRPr="005C5C1A">
          <w:rPr>
            <w:rFonts w:ascii="PP Neue Montreal Book" w:eastAsia="Google Sans" w:hAnsi="PP Neue Montreal Book" w:cs="Google Sans"/>
            <w:color w:val="0000EE"/>
            <w:sz w:val="22"/>
            <w:szCs w:val="22"/>
            <w:u w:val="single"/>
          </w:rPr>
          <w:t>https://pharm.ucsf.edu/kidney/need/statistics#:~:text=Hemodialysis%20care%20costs%20the%20Medicare,a%20total%20of%20%2428%20billion.</w:t>
        </w:r>
      </w:hyperlink>
    </w:p>
    <w:p w14:paraId="5CF784D3"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Statistics · The Kidney Project · UCSF, accessed September 26, 2025, </w:t>
      </w:r>
      <w:hyperlink r:id="rId46">
        <w:r w:rsidRPr="005C5C1A">
          <w:rPr>
            <w:rFonts w:ascii="PP Neue Montreal Book" w:eastAsia="Google Sans" w:hAnsi="PP Neue Montreal Book" w:cs="Google Sans"/>
            <w:color w:val="0000EE"/>
            <w:sz w:val="22"/>
            <w:szCs w:val="22"/>
            <w:u w:val="single"/>
          </w:rPr>
          <w:t>https://pharm.ucsf.edu/kidney/need/statistics</w:t>
        </w:r>
      </w:hyperlink>
    </w:p>
    <w:p w14:paraId="1EAF6A3F"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Your Ultimate Guide to Surgery Cancellation Policies - </w:t>
      </w:r>
      <w:proofErr w:type="spellStart"/>
      <w:r w:rsidRPr="005C5C1A">
        <w:rPr>
          <w:rFonts w:ascii="PP Neue Montreal Book" w:eastAsia="Google Sans" w:hAnsi="PP Neue Montreal Book" w:cs="Google Sans"/>
          <w:sz w:val="22"/>
          <w:szCs w:val="22"/>
        </w:rPr>
        <w:t>Surgimate</w:t>
      </w:r>
      <w:proofErr w:type="spellEnd"/>
      <w:r w:rsidRPr="005C5C1A">
        <w:rPr>
          <w:rFonts w:ascii="PP Neue Montreal Book" w:eastAsia="Google Sans" w:hAnsi="PP Neue Montreal Book" w:cs="Google Sans"/>
          <w:sz w:val="22"/>
          <w:szCs w:val="22"/>
        </w:rPr>
        <w:t xml:space="preserve">, accessed September 26, 2025, </w:t>
      </w:r>
      <w:hyperlink r:id="rId47">
        <w:r w:rsidRPr="005C5C1A">
          <w:rPr>
            <w:rFonts w:ascii="PP Neue Montreal Book" w:eastAsia="Google Sans" w:hAnsi="PP Neue Montreal Book" w:cs="Google Sans"/>
            <w:color w:val="0000EE"/>
            <w:sz w:val="22"/>
            <w:szCs w:val="22"/>
            <w:u w:val="single"/>
          </w:rPr>
          <w:t>https://www.surgimate.com/your-ultimate-guide-surgery-cancellation-policy/</w:t>
        </w:r>
      </w:hyperlink>
    </w:p>
    <w:p w14:paraId="4A8BBECA"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Don't fall for these myths on prior authorization | American Medical Association, accessed September 26, 2025, </w:t>
      </w:r>
      <w:hyperlink r:id="rId48">
        <w:r w:rsidRPr="005C5C1A">
          <w:rPr>
            <w:rFonts w:ascii="PP Neue Montreal Book" w:eastAsia="Google Sans" w:hAnsi="PP Neue Montreal Book" w:cs="Google Sans"/>
            <w:color w:val="0000EE"/>
            <w:sz w:val="22"/>
            <w:szCs w:val="22"/>
            <w:u w:val="single"/>
          </w:rPr>
          <w:t>https://www.ama-assn.org/practice-management/prior-authorization/don-t-fall-these-myths-prior-authorization</w:t>
        </w:r>
      </w:hyperlink>
    </w:p>
    <w:p w14:paraId="6E23254B"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A Guide to Relieving Administrative Burden: Prior Authorization - AAFP, accessed September 26, 2025, </w:t>
      </w:r>
      <w:hyperlink r:id="rId49">
        <w:r w:rsidRPr="005C5C1A">
          <w:rPr>
            <w:rFonts w:ascii="PP Neue Montreal Book" w:eastAsia="Google Sans" w:hAnsi="PP Neue Montreal Book" w:cs="Google Sans"/>
            <w:color w:val="0000EE"/>
            <w:sz w:val="22"/>
            <w:szCs w:val="22"/>
            <w:u w:val="single"/>
          </w:rPr>
          <w:t>https://www.aafp.org/pubs/fpm/issues/2023/1100/prior-authorization.pdf</w:t>
        </w:r>
      </w:hyperlink>
    </w:p>
    <w:p w14:paraId="555AAD40"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Average Settlements Amounts in Medical Malpractice Lawsuits - Miller &amp; Zois, accessed September 26, 2025, </w:t>
      </w:r>
      <w:hyperlink r:id="rId50">
        <w:r w:rsidRPr="005C5C1A">
          <w:rPr>
            <w:rFonts w:ascii="PP Neue Montreal Book" w:eastAsia="Google Sans" w:hAnsi="PP Neue Montreal Book" w:cs="Google Sans"/>
            <w:color w:val="0000EE"/>
            <w:sz w:val="22"/>
            <w:szCs w:val="22"/>
            <w:u w:val="single"/>
          </w:rPr>
          <w:t>https://www.millerandzois.com/medical-malpractice/medical-malpractice-settlement-worth/</w:t>
        </w:r>
      </w:hyperlink>
    </w:p>
    <w:p w14:paraId="12B54599"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18 Million Avoidable Hospital Emergency Department Visits Add $32 Billion in Costs to the Health Care System Each Year - UnitedHealth Group, accessed September 26, 2025, </w:t>
      </w:r>
      <w:hyperlink r:id="rId51">
        <w:r w:rsidRPr="005C5C1A">
          <w:rPr>
            <w:rFonts w:ascii="PP Neue Montreal Book" w:eastAsia="Google Sans" w:hAnsi="PP Neue Montreal Book" w:cs="Google Sans"/>
            <w:color w:val="0000EE"/>
            <w:sz w:val="22"/>
            <w:szCs w:val="22"/>
            <w:u w:val="single"/>
          </w:rPr>
          <w:t>https://www.unitedhealthgroup.com/content/dam/UHG/PDF/2019/UHG-Avoidable-ED-Visits.pdf</w:t>
        </w:r>
      </w:hyperlink>
    </w:p>
    <w:p w14:paraId="4F3BADC9"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How Much Does It Cost to Replace a Physician During Peak Demand? - Hayes Locums, accessed September 26, 2025, </w:t>
      </w:r>
      <w:hyperlink r:id="rId52">
        <w:r w:rsidRPr="005C5C1A">
          <w:rPr>
            <w:rFonts w:ascii="PP Neue Montreal Book" w:eastAsia="Google Sans" w:hAnsi="PP Neue Montreal Book" w:cs="Google Sans"/>
            <w:color w:val="0000EE"/>
            <w:sz w:val="22"/>
            <w:szCs w:val="22"/>
            <w:u w:val="single"/>
          </w:rPr>
          <w:t>https://www.hayeslocums.com/blog/how-much-does-it-cost-to-replace-a-physician-during-peak-demand/</w:t>
        </w:r>
      </w:hyperlink>
    </w:p>
    <w:p w14:paraId="3F86E27E" w14:textId="77777777" w:rsidR="005C5C1A" w:rsidRPr="005C5C1A" w:rsidRDefault="005C5C1A" w:rsidP="005C5C1A">
      <w:pPr>
        <w:widowControl w:val="0"/>
        <w:numPr>
          <w:ilvl w:val="0"/>
          <w:numId w:val="54"/>
        </w:numPr>
        <w:pBdr>
          <w:top w:val="nil"/>
          <w:left w:val="nil"/>
          <w:bottom w:val="nil"/>
          <w:right w:val="nil"/>
          <w:between w:val="nil"/>
        </w:pBdr>
        <w:spacing w:before="0" w:after="0"/>
        <w:rPr>
          <w:rFonts w:ascii="PP Neue Montreal Book" w:hAnsi="PP Neue Montreal Book"/>
          <w:sz w:val="22"/>
          <w:szCs w:val="22"/>
        </w:rPr>
      </w:pPr>
      <w:r w:rsidRPr="005C5C1A">
        <w:rPr>
          <w:rFonts w:ascii="PP Neue Montreal Book" w:eastAsia="Google Sans" w:hAnsi="PP Neue Montreal Book" w:cs="Google Sans"/>
          <w:sz w:val="22"/>
          <w:szCs w:val="22"/>
        </w:rPr>
        <w:t xml:space="preserve">How much physician burnout is costing your organization | American Medical Association, accessed September 26, 2025, </w:t>
      </w:r>
      <w:hyperlink r:id="rId53">
        <w:r w:rsidRPr="005C5C1A">
          <w:rPr>
            <w:rFonts w:ascii="PP Neue Montreal Book" w:eastAsia="Google Sans" w:hAnsi="PP Neue Montreal Book" w:cs="Google Sans"/>
            <w:color w:val="0000EE"/>
            <w:sz w:val="22"/>
            <w:szCs w:val="22"/>
            <w:u w:val="single"/>
          </w:rPr>
          <w:t>https://www.ama-assn.org/practice-management/physician-health/how-much-physician-burnout-costing-your-organization</w:t>
        </w:r>
      </w:hyperlink>
    </w:p>
    <w:p w14:paraId="09D67171" w14:textId="77777777" w:rsidR="00074AAF" w:rsidRPr="008C6801" w:rsidRDefault="00074AAF" w:rsidP="002F4B9E">
      <w:pPr>
        <w:spacing w:before="240" w:after="240" w:line="259" w:lineRule="auto"/>
        <w:rPr>
          <w:rFonts w:ascii="PP Neue Montreal" w:eastAsia="PP Neue Montreal" w:hAnsi="PP Neue Montreal" w:cs="PP Neue Montreal"/>
          <w:sz w:val="22"/>
          <w:szCs w:val="22"/>
          <w:highlight w:val="yellow"/>
        </w:rPr>
      </w:pPr>
    </w:p>
    <w:sectPr w:rsidR="00074AAF" w:rsidRPr="008C6801" w:rsidSect="00891B55">
      <w:headerReference w:type="even" r:id="rId54"/>
      <w:headerReference w:type="default" r:id="rId55"/>
      <w:footerReference w:type="even" r:id="rId56"/>
      <w:footerReference w:type="default" r:id="rId57"/>
      <w:headerReference w:type="first" r:id="rId58"/>
      <w:pgSz w:w="12240" w:h="15840"/>
      <w:pgMar w:top="1531" w:right="720" w:bottom="720" w:left="720" w:header="544" w:footer="57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E783" w14:textId="77777777" w:rsidR="00B17A7C" w:rsidRDefault="00B17A7C" w:rsidP="000D5500">
      <w:r>
        <w:separator/>
      </w:r>
    </w:p>
  </w:endnote>
  <w:endnote w:type="continuationSeparator" w:id="0">
    <w:p w14:paraId="45426C30" w14:textId="77777777" w:rsidR="00B17A7C" w:rsidRDefault="00B17A7C" w:rsidP="000D5500">
      <w:r>
        <w:continuationSeparator/>
      </w:r>
    </w:p>
  </w:endnote>
  <w:endnote w:type="continuationNotice" w:id="1">
    <w:p w14:paraId="686311CB" w14:textId="77777777" w:rsidR="00B17A7C" w:rsidRDefault="00B17A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Ingram Mono">
    <w:panose1 w:val="00000000000000000000"/>
    <w:charset w:val="00"/>
    <w:family w:val="modern"/>
    <w:notTrueType/>
    <w:pitch w:val="fixed"/>
    <w:sig w:usb0="A0000AEF" w:usb1="4000E0FB"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PP Neue Montreal Medium">
    <w:altName w:val="Calibri"/>
    <w:panose1 w:val="00000000000000000000"/>
    <w:charset w:val="4D"/>
    <w:family w:val="auto"/>
    <w:notTrueType/>
    <w:pitch w:val="variable"/>
    <w:sig w:usb0="00000207" w:usb1="02000001" w:usb2="00000000" w:usb3="00000000" w:csb0="00000097" w:csb1="00000000"/>
  </w:font>
  <w:font w:name="IvyPresto Display Thin">
    <w:altName w:val="Calibri"/>
    <w:panose1 w:val="00000000000000000000"/>
    <w:charset w:val="00"/>
    <w:family w:val="swiss"/>
    <w:notTrueType/>
    <w:pitch w:val="variable"/>
    <w:sig w:usb0="A00000EF" w:usb1="4000E07B" w:usb2="00000008" w:usb3="00000000" w:csb0="00000001" w:csb1="00000000"/>
  </w:font>
  <w:font w:name="Aptos Display">
    <w:panose1 w:val="00000000000000000000"/>
    <w:charset w:val="00"/>
    <w:family w:val="roman"/>
    <w:notTrueType/>
    <w:pitch w:val="default"/>
  </w:font>
  <w:font w:name="PP Neue Montreal">
    <w:altName w:val="Calibri"/>
    <w:panose1 w:val="00000000000000000000"/>
    <w:charset w:val="4D"/>
    <w:family w:val="auto"/>
    <w:notTrueType/>
    <w:pitch w:val="variable"/>
    <w:sig w:usb0="00000207" w:usb1="02000001" w:usb2="00000000" w:usb3="00000000" w:csb0="00000097" w:csb1="00000000"/>
  </w:font>
  <w:font w:name="-webkit-standard">
    <w:altName w:val="Cambria"/>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PP Neue Montreal Book">
    <w:altName w:val="Calibri"/>
    <w:panose1 w:val="00000000000000000000"/>
    <w:charset w:val="4D"/>
    <w:family w:val="auto"/>
    <w:notTrueType/>
    <w:pitch w:val="variable"/>
    <w:sig w:usb0="00000207" w:usb1="02000001" w:usb2="00000000" w:usb3="00000000" w:csb0="00000097" w:csb1="00000000"/>
  </w:font>
  <w:font w:name="Google Sans Text">
    <w:charset w:val="00"/>
    <w:family w:val="auto"/>
    <w:pitch w:val="default"/>
  </w:font>
  <w:font w:name="Google Sans">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277295"/>
      <w:docPartObj>
        <w:docPartGallery w:val="Page Numbers (Bottom of Page)"/>
        <w:docPartUnique/>
      </w:docPartObj>
    </w:sdtPr>
    <w:sdtContent>
      <w:p w14:paraId="704497AC" w14:textId="77777777" w:rsidR="00A978A1" w:rsidRDefault="00A978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7B86F1" w14:textId="77777777" w:rsidR="00A978A1" w:rsidRDefault="00A978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418742"/>
      <w:docPartObj>
        <w:docPartGallery w:val="Page Numbers (Bottom of Page)"/>
        <w:docPartUnique/>
      </w:docPartObj>
    </w:sdtPr>
    <w:sdtContent>
      <w:p w14:paraId="6963C518" w14:textId="77777777" w:rsidR="00A978A1" w:rsidRDefault="00A978A1">
        <w:pPr>
          <w:pStyle w:val="Footer"/>
          <w:framePr w:wrap="none" w:vAnchor="text" w:hAnchor="margin" w:xAlign="center" w:y="1"/>
          <w:rPr>
            <w:rStyle w:val="PageNumber"/>
          </w:rPr>
        </w:pPr>
        <w:r w:rsidRPr="00A978A1">
          <w:rPr>
            <w:rStyle w:val="PageNumber"/>
            <w:rFonts w:ascii="Ingram Mono" w:hAnsi="Ingram Mono" w:cs="Ingram Mono"/>
            <w:sz w:val="21"/>
            <w:szCs w:val="21"/>
          </w:rPr>
          <w:fldChar w:fldCharType="begin"/>
        </w:r>
        <w:r w:rsidRPr="00A978A1">
          <w:rPr>
            <w:rStyle w:val="PageNumber"/>
            <w:rFonts w:ascii="Ingram Mono" w:hAnsi="Ingram Mono" w:cs="Ingram Mono"/>
            <w:sz w:val="21"/>
            <w:szCs w:val="21"/>
          </w:rPr>
          <w:instrText xml:space="preserve"> PAGE </w:instrText>
        </w:r>
        <w:r w:rsidRPr="00A978A1">
          <w:rPr>
            <w:rStyle w:val="PageNumber"/>
            <w:rFonts w:ascii="Ingram Mono" w:hAnsi="Ingram Mono" w:cs="Ingram Mono"/>
            <w:sz w:val="21"/>
            <w:szCs w:val="21"/>
          </w:rPr>
          <w:fldChar w:fldCharType="separate"/>
        </w:r>
        <w:r w:rsidRPr="00A978A1">
          <w:rPr>
            <w:rStyle w:val="PageNumber"/>
            <w:rFonts w:ascii="Ingram Mono" w:hAnsi="Ingram Mono" w:cs="Ingram Mono"/>
            <w:noProof/>
            <w:sz w:val="21"/>
            <w:szCs w:val="21"/>
          </w:rPr>
          <w:t>1</w:t>
        </w:r>
        <w:r w:rsidRPr="00A978A1">
          <w:rPr>
            <w:rStyle w:val="PageNumber"/>
            <w:rFonts w:ascii="Ingram Mono" w:hAnsi="Ingram Mono" w:cs="Ingram Mono"/>
            <w:sz w:val="21"/>
            <w:szCs w:val="21"/>
          </w:rPr>
          <w:fldChar w:fldCharType="end"/>
        </w:r>
      </w:p>
    </w:sdtContent>
  </w:sdt>
  <w:p w14:paraId="338D0BA7" w14:textId="143FC176" w:rsidR="00A978A1" w:rsidRDefault="00A07B34">
    <w:pPr>
      <w:pStyle w:val="Footer"/>
    </w:pPr>
    <w:r>
      <w:rPr>
        <w:rFonts w:ascii="PP Neue Montreal" w:eastAsia="PP Neue Montreal" w:hAnsi="PP Neue Montreal" w:cs="PP Neue Montreal"/>
        <w:noProof/>
        <w:color w:val="000000" w:themeColor="text1"/>
        <w:sz w:val="22"/>
        <w:szCs w:val="22"/>
      </w:rPr>
      <mc:AlternateContent>
        <mc:Choice Requires="wps">
          <w:drawing>
            <wp:anchor distT="0" distB="0" distL="114300" distR="114300" simplePos="0" relativeHeight="251658244" behindDoc="0" locked="0" layoutInCell="1" allowOverlap="1" wp14:anchorId="432813AA" wp14:editId="02CBA72A">
              <wp:simplePos x="0" y="0"/>
              <wp:positionH relativeFrom="column">
                <wp:posOffset>3304032</wp:posOffset>
              </wp:positionH>
              <wp:positionV relativeFrom="paragraph">
                <wp:posOffset>329184</wp:posOffset>
              </wp:positionV>
              <wp:extent cx="243840" cy="207010"/>
              <wp:effectExtent l="0" t="0" r="0" b="0"/>
              <wp:wrapNone/>
              <wp:docPr id="407191276" name="Rectangle 2"/>
              <wp:cNvGraphicFramePr/>
              <a:graphic xmlns:a="http://schemas.openxmlformats.org/drawingml/2006/main">
                <a:graphicData uri="http://schemas.microsoft.com/office/word/2010/wordprocessingShape">
                  <wps:wsp>
                    <wps:cNvSpPr/>
                    <wps:spPr>
                      <a:xfrm>
                        <a:off x="0" y="0"/>
                        <a:ext cx="243840" cy="207010"/>
                      </a:xfrm>
                      <a:prstGeom prst="rect">
                        <a:avLst/>
                      </a:prstGeom>
                      <a:solidFill>
                        <a:srgbClr val="F8F8F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w:pict>
            <v:rect id="Rectangle 2" style="position:absolute;margin-left:260.15pt;margin-top:25.9pt;width:19.2pt;height:16.3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8f8f8" stroked="f" strokeweight="1pt" w14:anchorId="4FD3C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68eAIAAF4FAAAOAAAAZHJzL2Uyb0RvYy54bWysVFFr2zAQfh/sPwi9r3aydO1CnBJSMgal&#10;LW1HnxVZig2yTjspcbJfv5PsOF1b9jBGQJF0d9/dff5Os6t9Y9hOoa/BFnx0lnOmrISytpuC/3ha&#10;fbrkzAdhS2HAqoIflOdX848fZq2bqjFUYEqFjECsn7au4FUIbpplXlaqEf4MnLJk1ICNCHTETVai&#10;aAm9Mdk4z79kLWDpEKTynm6vOyOfJ3ytlQx3WnsVmCk41RbSimldxzWbz8R0g8JVtezLEP9QRSNq&#10;S0kHqGsRBNti/QaqqSWCBx3OJDQZaF1LlXqgbkb5q24eK+FU6oXI8W6gyf8/WHm7e3T3SDS0zk89&#10;bWMXe41N/Kf62D6RdRjIUvvAJF2OJ58vJ0SpJNM4v6DqI5nZKdihD98UNCxuCo70LRJFYnfjQ+d6&#10;dIm5PJi6XNXGpANu1kuDbCfou60u469H/8PN2OhsIYZ1iPEmO7WSduFgVPQz9kFpVpex+FRJUpka&#10;8ggplQ2jzlSJUnXpR+d5fuxtiEidJsCIrCn/gN0DRAW/xe6q7P1jqEoiHYLzvxXWBQ8RKTPYMAQ3&#10;tQV8D8BQV33mzv9IUkdNZGkN5eEeGUI3It7JVU3f7Ub4cC+QZoI+Nc15uKNFG2gLDv2Oswrw13v3&#10;0Z+kSlbOWpqxgvufW4GKM/Pdkoi/jiZRQSEdJucXYzrgS8v6pcVumyWQHEb0ojiZttE/mONWIzTP&#10;9BwsYlYyCSspd8FlwONhGbrZpwdFqsUiudEgOhFu7KOTETyyGnX5tH8W6HrxBlL9LRznUUxfabjz&#10;jZEWFtsAuk4CP/Ha801DnITTPzjxlXh5Tl6nZ3H+GwAA//8DAFBLAwQUAAYACAAAACEAAem7ld0A&#10;AAAJAQAADwAAAGRycy9kb3ducmV2LnhtbEyPwU7DMAyG70i8Q2QkbixdWbeqNJ2gDO3cwe5ZE9pC&#10;40RJtrVvjznBzZY//f7+cjuZkV20D4NFActFAkxja9WAnYCP97eHHFiIEpUcLWoBsw6wrW5vSlko&#10;e8VGXw6xYxSCoZAC+hhdwXloe21kWFinkW6f1hsZafUdV15eKdyMPE2SNTdyQPrQS6frXrffh7MR&#10;8FLHtXN118yNf53T3XH/tcv3QtzfTc9PwKKe4h8Mv/qkDhU5newZVWCjgCxNHgmlYUkVCMiyfAPs&#10;JCBfrYBXJf/foPoBAAD//wMAUEsBAi0AFAAGAAgAAAAhALaDOJL+AAAA4QEAABMAAAAAAAAAAAAA&#10;AAAAAAAAAFtDb250ZW50X1R5cGVzXS54bWxQSwECLQAUAAYACAAAACEAOP0h/9YAAACUAQAACwAA&#10;AAAAAAAAAAAAAAAvAQAAX3JlbHMvLnJlbHNQSwECLQAUAAYACAAAACEABwL+vHgCAABeBQAADgAA&#10;AAAAAAAAAAAAAAAuAgAAZHJzL2Uyb0RvYy54bWxQSwECLQAUAAYACAAAACEAAem7ld0AAAAJAQAA&#10;DwAAAAAAAAAAAAAAAADSBAAAZHJzL2Rvd25yZXYueG1sUEsFBgAAAAAEAAQA8wAAANwF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255D" w14:textId="77777777" w:rsidR="00B17A7C" w:rsidRDefault="00B17A7C" w:rsidP="000D5500">
      <w:r>
        <w:separator/>
      </w:r>
    </w:p>
  </w:footnote>
  <w:footnote w:type="continuationSeparator" w:id="0">
    <w:p w14:paraId="0CA5EE5B" w14:textId="77777777" w:rsidR="00B17A7C" w:rsidRDefault="00B17A7C" w:rsidP="000D5500">
      <w:r>
        <w:continuationSeparator/>
      </w:r>
    </w:p>
  </w:footnote>
  <w:footnote w:type="continuationNotice" w:id="1">
    <w:p w14:paraId="5BF90683" w14:textId="77777777" w:rsidR="00B17A7C" w:rsidRDefault="00B17A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4FCA" w14:textId="77212924" w:rsidR="000D5500" w:rsidRDefault="007039E5">
    <w:pPr>
      <w:pStyle w:val="Header"/>
    </w:pPr>
    <w:r>
      <w:rPr>
        <w:noProof/>
      </w:rPr>
      <w:drawing>
        <wp:anchor distT="0" distB="0" distL="114300" distR="114300" simplePos="0" relativeHeight="251658242" behindDoc="1" locked="0" layoutInCell="0" allowOverlap="1" wp14:anchorId="6ADB7E49" wp14:editId="467F8CF0">
          <wp:simplePos x="0" y="0"/>
          <wp:positionH relativeFrom="margin">
            <wp:align>center</wp:align>
          </wp:positionH>
          <wp:positionV relativeFrom="margin">
            <wp:align>center</wp:align>
          </wp:positionV>
          <wp:extent cx="7733665" cy="9923145"/>
          <wp:effectExtent l="0" t="0" r="635" b="0"/>
          <wp:wrapNone/>
          <wp:docPr id="3" name="WordPictureWatermark9258051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92580511"/>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3665" cy="99231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7798" w14:textId="4E343453" w:rsidR="000D5500" w:rsidRDefault="007039E5" w:rsidP="0022184F">
    <w:pPr>
      <w:pStyle w:val="Header"/>
      <w:tabs>
        <w:tab w:val="clear" w:pos="9360"/>
        <w:tab w:val="right" w:pos="10800"/>
      </w:tabs>
    </w:pPr>
    <w:r>
      <w:rPr>
        <w:noProof/>
      </w:rPr>
      <w:drawing>
        <wp:anchor distT="0" distB="0" distL="114300" distR="114300" simplePos="0" relativeHeight="251658243" behindDoc="1" locked="0" layoutInCell="0" allowOverlap="1" wp14:anchorId="71B78CE7" wp14:editId="264EABAE">
          <wp:simplePos x="0" y="0"/>
          <wp:positionH relativeFrom="margin">
            <wp:align>center</wp:align>
          </wp:positionH>
          <wp:positionV relativeFrom="margin">
            <wp:align>center</wp:align>
          </wp:positionV>
          <wp:extent cx="7733665" cy="9923145"/>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EditPoint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3665" cy="9923145"/>
                  </a:xfrm>
                  <a:prstGeom prst="rect">
                    <a:avLst/>
                  </a:prstGeom>
                  <a:noFill/>
                </pic:spPr>
              </pic:pic>
            </a:graphicData>
          </a:graphic>
          <wp14:sizeRelH relativeFrom="page">
            <wp14:pctWidth>0</wp14:pctWidth>
          </wp14:sizeRelH>
          <wp14:sizeRelV relativeFrom="page">
            <wp14:pctHeight>0</wp14:pctHeight>
          </wp14:sizeRelV>
        </wp:anchor>
      </w:drawing>
    </w:r>
    <w:r w:rsidR="00A978A1">
      <w:rPr>
        <w:noProof/>
      </w:rPr>
      <mc:AlternateContent>
        <mc:Choice Requires="wps">
          <w:drawing>
            <wp:anchor distT="0" distB="0" distL="114300" distR="114300" simplePos="0" relativeHeight="251658240" behindDoc="0" locked="0" layoutInCell="1" allowOverlap="1" wp14:anchorId="4C7BB246" wp14:editId="40730670">
              <wp:simplePos x="0" y="0"/>
              <wp:positionH relativeFrom="column">
                <wp:posOffset>3302635</wp:posOffset>
              </wp:positionH>
              <wp:positionV relativeFrom="paragraph">
                <wp:posOffset>-102235</wp:posOffset>
              </wp:positionV>
              <wp:extent cx="3546764" cy="457142"/>
              <wp:effectExtent l="0" t="0" r="0" b="0"/>
              <wp:wrapNone/>
              <wp:docPr id="732945389" name="Text Box 6"/>
              <wp:cNvGraphicFramePr/>
              <a:graphic xmlns:a="http://schemas.openxmlformats.org/drawingml/2006/main">
                <a:graphicData uri="http://schemas.microsoft.com/office/word/2010/wordprocessingShape">
                  <wps:wsp>
                    <wps:cNvSpPr txBox="1"/>
                    <wps:spPr>
                      <a:xfrm>
                        <a:off x="0" y="0"/>
                        <a:ext cx="3546764" cy="457142"/>
                      </a:xfrm>
                      <a:prstGeom prst="rect">
                        <a:avLst/>
                      </a:prstGeom>
                      <a:noFill/>
                      <a:ln w="6350">
                        <a:noFill/>
                      </a:ln>
                    </wps:spPr>
                    <wps:txbx>
                      <w:txbxContent>
                        <w:p w14:paraId="6238D66D" w14:textId="77777777" w:rsidR="00A978A1" w:rsidRPr="00B56865" w:rsidRDefault="00A978A1" w:rsidP="0022184F">
                          <w:pPr>
                            <w:ind w:right="-30"/>
                            <w:jc w:val="right"/>
                            <w:rPr>
                              <w:rFonts w:ascii="Ingram Mono" w:hAnsi="Ingram Mono" w:cs="Ingram Mono"/>
                              <w:sz w:val="15"/>
                              <w:szCs w:val="15"/>
                            </w:rPr>
                          </w:pPr>
                          <w:r w:rsidRPr="00B56865">
                            <w:rPr>
                              <w:rFonts w:ascii="Ingram Mono" w:hAnsi="Ingram Mono" w:cs="Ingram Mono"/>
                              <w:sz w:val="15"/>
                              <w:szCs w:val="15"/>
                            </w:rPr>
                            <w:t>REDCELLPARTNERS.COM</w:t>
                          </w:r>
                        </w:p>
                        <w:p w14:paraId="398702A4" w14:textId="77777777" w:rsidR="00A978A1" w:rsidRPr="00B56865" w:rsidRDefault="00A978A1" w:rsidP="0022184F">
                          <w:pPr>
                            <w:ind w:right="-30"/>
                            <w:jc w:val="right"/>
                            <w:rPr>
                              <w:rFonts w:ascii="Ingram Mono" w:hAnsi="Ingram Mono" w:cs="Ingram Mono"/>
                              <w:sz w:val="15"/>
                              <w:szCs w:val="15"/>
                            </w:rPr>
                          </w:pPr>
                          <w:r w:rsidRPr="00B56865">
                            <w:rPr>
                              <w:rFonts w:ascii="Ingram Mono" w:hAnsi="Ingram Mono" w:cs="Ingram Mono"/>
                              <w:sz w:val="15"/>
                              <w:szCs w:val="15"/>
                            </w:rPr>
                            <w:t>CONFIDENTIAL – DO NOT DISTRIBUTE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4C7BB246">
              <v:stroke joinstyle="miter"/>
              <v:path gradientshapeok="t" o:connecttype="rect"/>
            </v:shapetype>
            <v:shape id="Text Box 6" style="position:absolute;margin-left:260.05pt;margin-top:-8.05pt;width:279.25pt;height:3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BhFwIAACwEAAAOAAAAZHJzL2Uyb0RvYy54bWysU8tu2zAQvBfoPxC817Id2WkFy4GbwEWB&#10;IAngFDnTFGkJILksSVtyv75LSn4g7anohdrlrvYxM1zcdVqRg3C+AVPSyWhMiTAcqsbsSvrjdf3p&#10;MyU+MFMxBUaU9Cg8vVt+/LBobSGmUIOqhCNYxPiitSWtQ7BFlnleC838CKwwGJTgNAvoul1WOdZi&#10;da2y6Xg8z1pwlXXAhfd4+9AH6TLVl1Lw8CylF4GokuJsIZ0undt4ZssFK3aO2brhwxjsH6bQrDHY&#10;9FzqgQVG9q75o5RuuAMPMow46AykbLhIO+A2k/G7bTY1syLtguB4e4bJ/7+y/OmwsS+OhO4rdEhg&#10;BKS1vvB4GffppNPxi5MSjCOExzNsoguE4+XNLJ/fznNKOMby2e0kn8Yy2eVv63z4JkCTaJTUIS0J&#10;LXZ49KFPPaXEZgbWjVKJGmVIW9L5zWycfjhHsLgy2OMya7RCt+2GBbZQHXEvBz3l3vJ1g80fmQ8v&#10;zCHHuArqNjzjIRVgExgsSmpwv/52H/MReoxS0qJmSup/7pkTlKjvBkn5MsnzKLLkIBBTdNx1ZHsd&#10;MXt9DyjLCb4Qy5MZ84M6mdKBfkN5r2JXDDHDsXdJw8m8D72S8XlwsVqlJJSVZeHRbCyPpSOcEdrX&#10;7o05O+AfkLknOKmLFe9o6HN7Ilb7ALJJHEWAe1QH3FGSieXh+UTNX/sp6/LIl78BAAD//wMAUEsD&#10;BBQABgAIAAAAIQAKhs7e4gAAAAsBAAAPAAAAZHJzL2Rvd25yZXYueG1sTI9NS8NAEIbvgv9hGcFb&#10;u0kgMabZlBIoguihtRdvk+w2Cd2PmN220V/v9KS3Gd6Hd54p17PR7KImPzgrIF5GwJRtnRxsJ+Dw&#10;sV3kwHxAK1E7qwR8Kw/r6v6uxEK6q92pyz50jEqsL1BAH8JYcO7bXhn0SzcqS9nRTQYDrVPH5YRX&#10;KjeaJ1GUcYODpQs9jqruVXvan42A13r7jrsmMfmPrl/ejpvx6/CZCvH4MG9WwIKawx8MN31Sh4qc&#10;Gne20jMtIE2imFABizij4UZET3kGrKEsfQZelfz/D9UvAAAA//8DAFBLAQItABQABgAIAAAAIQC2&#10;gziS/gAAAOEBAAATAAAAAAAAAAAAAAAAAAAAAABbQ29udGVudF9UeXBlc10ueG1sUEsBAi0AFAAG&#10;AAgAAAAhADj9If/WAAAAlAEAAAsAAAAAAAAAAAAAAAAALwEAAF9yZWxzLy5yZWxzUEsBAi0AFAAG&#10;AAgAAAAhAMA2EGEXAgAALAQAAA4AAAAAAAAAAAAAAAAALgIAAGRycy9lMm9Eb2MueG1sUEsBAi0A&#10;FAAGAAgAAAAhAAqGzt7iAAAACwEAAA8AAAAAAAAAAAAAAAAAcQQAAGRycy9kb3ducmV2LnhtbFBL&#10;BQYAAAAABAAEAPMAAACABQAAAAA=&#10;">
              <v:textbox>
                <w:txbxContent>
                  <w:p w:rsidRPr="00B56865" w:rsidR="00A978A1" w:rsidP="0022184F" w:rsidRDefault="00A978A1" w14:paraId="6238D66D" w14:textId="77777777">
                    <w:pPr>
                      <w:ind w:right="-30"/>
                      <w:jc w:val="right"/>
                      <w:rPr>
                        <w:rFonts w:ascii="Ingram Mono" w:hAnsi="Ingram Mono" w:cs="Ingram Mono"/>
                        <w:sz w:val="15"/>
                        <w:szCs w:val="15"/>
                      </w:rPr>
                    </w:pPr>
                    <w:r w:rsidRPr="00B56865">
                      <w:rPr>
                        <w:rFonts w:ascii="Ingram Mono" w:hAnsi="Ingram Mono" w:cs="Ingram Mono"/>
                        <w:sz w:val="15"/>
                        <w:szCs w:val="15"/>
                      </w:rPr>
                      <w:t>REDCELLPARTNERS.COM</w:t>
                    </w:r>
                  </w:p>
                  <w:p w:rsidRPr="00B56865" w:rsidR="00A978A1" w:rsidP="0022184F" w:rsidRDefault="00A978A1" w14:paraId="398702A4" w14:textId="77777777">
                    <w:pPr>
                      <w:ind w:right="-30"/>
                      <w:jc w:val="right"/>
                      <w:rPr>
                        <w:rFonts w:ascii="Ingram Mono" w:hAnsi="Ingram Mono" w:cs="Ingram Mono"/>
                        <w:sz w:val="15"/>
                        <w:szCs w:val="15"/>
                      </w:rPr>
                    </w:pPr>
                    <w:r w:rsidRPr="00B56865">
                      <w:rPr>
                        <w:rFonts w:ascii="Ingram Mono" w:hAnsi="Ingram Mono" w:cs="Ingram Mono"/>
                        <w:sz w:val="15"/>
                        <w:szCs w:val="15"/>
                      </w:rPr>
                      <w:t>CONFIDENTIAL – DO NOT DISTRIBUTE</w:t>
                    </w:r>
                  </w:p>
                </w:txbxContent>
              </v:textbox>
            </v:shape>
          </w:pict>
        </mc:Fallback>
      </mc:AlternateContent>
    </w:r>
    <w:r w:rsidR="00A978A1">
      <w:rPr>
        <w:noProof/>
      </w:rPr>
      <w:drawing>
        <wp:inline distT="0" distB="0" distL="0" distR="0" wp14:anchorId="17CADCD1" wp14:editId="5C860781">
          <wp:extent cx="1371600" cy="164709"/>
          <wp:effectExtent l="0" t="0" r="0" b="635"/>
          <wp:docPr id="842654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8679" name="Picture 1731098679"/>
                  <pic:cNvPicPr/>
                </pic:nvPicPr>
                <pic:blipFill>
                  <a:blip r:embed="rId2">
                    <a:extLst>
                      <a:ext uri="{28A0092B-C50C-407E-A947-70E740481C1C}">
                        <a14:useLocalDpi xmlns:a14="http://schemas.microsoft.com/office/drawing/2010/main" val="0"/>
                      </a:ext>
                    </a:extLst>
                  </a:blip>
                  <a:stretch>
                    <a:fillRect/>
                  </a:stretch>
                </pic:blipFill>
                <pic:spPr>
                  <a:xfrm>
                    <a:off x="0" y="0"/>
                    <a:ext cx="1692656" cy="20326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9757" w14:textId="43C843DF" w:rsidR="000D5500" w:rsidRDefault="007039E5">
    <w:pPr>
      <w:pStyle w:val="Header"/>
    </w:pPr>
    <w:r>
      <w:rPr>
        <w:noProof/>
      </w:rPr>
      <w:drawing>
        <wp:anchor distT="0" distB="0" distL="114300" distR="114300" simplePos="0" relativeHeight="251658241" behindDoc="1" locked="0" layoutInCell="0" allowOverlap="1" wp14:anchorId="1CDAC7F1" wp14:editId="331CF98B">
          <wp:simplePos x="0" y="0"/>
          <wp:positionH relativeFrom="margin">
            <wp:align>center</wp:align>
          </wp:positionH>
          <wp:positionV relativeFrom="margin">
            <wp:align>center</wp:align>
          </wp:positionV>
          <wp:extent cx="7733665" cy="9923145"/>
          <wp:effectExtent l="0" t="0" r="635" b="0"/>
          <wp:wrapNone/>
          <wp:docPr id="1" name="WordPictureWatermark9258051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92580510"/>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3665" cy="9923145"/>
                  </a:xfrm>
                  <a:prstGeom prst="rect">
                    <a:avLst/>
                  </a:prstGeom>
                  <a:noFill/>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gAqUrww94rY63" int2:id="c0lOmoi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4DA4"/>
    <w:multiLevelType w:val="multilevel"/>
    <w:tmpl w:val="AAF03B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69E7F4F"/>
    <w:multiLevelType w:val="hybridMultilevel"/>
    <w:tmpl w:val="AFA0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7165F"/>
    <w:multiLevelType w:val="multilevel"/>
    <w:tmpl w:val="BB5AE2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CF42E67"/>
    <w:multiLevelType w:val="hybridMultilevel"/>
    <w:tmpl w:val="C9A0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E0B85"/>
    <w:multiLevelType w:val="multilevel"/>
    <w:tmpl w:val="2D02F4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FA278E2"/>
    <w:multiLevelType w:val="multilevel"/>
    <w:tmpl w:val="B0321C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0AD7150"/>
    <w:multiLevelType w:val="hybridMultilevel"/>
    <w:tmpl w:val="65CCBB58"/>
    <w:lvl w:ilvl="0" w:tplc="0409000F">
      <w:start w:val="1"/>
      <w:numFmt w:val="decimal"/>
      <w:lvlText w:val="%1."/>
      <w:lvlJc w:val="left"/>
      <w:pPr>
        <w:ind w:left="720" w:hanging="360"/>
      </w:pPr>
      <w:rPr>
        <w:rFonts w:hint="default"/>
      </w:rPr>
    </w:lvl>
    <w:lvl w:ilvl="1" w:tplc="98CEA182" w:tentative="1">
      <w:start w:val="1"/>
      <w:numFmt w:val="bullet"/>
      <w:lvlText w:val="•"/>
      <w:lvlJc w:val="left"/>
      <w:pPr>
        <w:tabs>
          <w:tab w:val="num" w:pos="1440"/>
        </w:tabs>
        <w:ind w:left="1440" w:hanging="360"/>
      </w:pPr>
      <w:rPr>
        <w:rFonts w:ascii="Arial" w:hAnsi="Arial" w:hint="default"/>
      </w:rPr>
    </w:lvl>
    <w:lvl w:ilvl="2" w:tplc="80DE62D4" w:tentative="1">
      <w:start w:val="1"/>
      <w:numFmt w:val="bullet"/>
      <w:lvlText w:val="•"/>
      <w:lvlJc w:val="left"/>
      <w:pPr>
        <w:tabs>
          <w:tab w:val="num" w:pos="2160"/>
        </w:tabs>
        <w:ind w:left="2160" w:hanging="360"/>
      </w:pPr>
      <w:rPr>
        <w:rFonts w:ascii="Arial" w:hAnsi="Arial" w:hint="default"/>
      </w:rPr>
    </w:lvl>
    <w:lvl w:ilvl="3" w:tplc="F5787E50" w:tentative="1">
      <w:start w:val="1"/>
      <w:numFmt w:val="bullet"/>
      <w:lvlText w:val="•"/>
      <w:lvlJc w:val="left"/>
      <w:pPr>
        <w:tabs>
          <w:tab w:val="num" w:pos="2880"/>
        </w:tabs>
        <w:ind w:left="2880" w:hanging="360"/>
      </w:pPr>
      <w:rPr>
        <w:rFonts w:ascii="Arial" w:hAnsi="Arial" w:hint="default"/>
      </w:rPr>
    </w:lvl>
    <w:lvl w:ilvl="4" w:tplc="4C84D9AE" w:tentative="1">
      <w:start w:val="1"/>
      <w:numFmt w:val="bullet"/>
      <w:lvlText w:val="•"/>
      <w:lvlJc w:val="left"/>
      <w:pPr>
        <w:tabs>
          <w:tab w:val="num" w:pos="3600"/>
        </w:tabs>
        <w:ind w:left="3600" w:hanging="360"/>
      </w:pPr>
      <w:rPr>
        <w:rFonts w:ascii="Arial" w:hAnsi="Arial" w:hint="default"/>
      </w:rPr>
    </w:lvl>
    <w:lvl w:ilvl="5" w:tplc="6DE8B53E" w:tentative="1">
      <w:start w:val="1"/>
      <w:numFmt w:val="bullet"/>
      <w:lvlText w:val="•"/>
      <w:lvlJc w:val="left"/>
      <w:pPr>
        <w:tabs>
          <w:tab w:val="num" w:pos="4320"/>
        </w:tabs>
        <w:ind w:left="4320" w:hanging="360"/>
      </w:pPr>
      <w:rPr>
        <w:rFonts w:ascii="Arial" w:hAnsi="Arial" w:hint="default"/>
      </w:rPr>
    </w:lvl>
    <w:lvl w:ilvl="6" w:tplc="C10EBB64" w:tentative="1">
      <w:start w:val="1"/>
      <w:numFmt w:val="bullet"/>
      <w:lvlText w:val="•"/>
      <w:lvlJc w:val="left"/>
      <w:pPr>
        <w:tabs>
          <w:tab w:val="num" w:pos="5040"/>
        </w:tabs>
        <w:ind w:left="5040" w:hanging="360"/>
      </w:pPr>
      <w:rPr>
        <w:rFonts w:ascii="Arial" w:hAnsi="Arial" w:hint="default"/>
      </w:rPr>
    </w:lvl>
    <w:lvl w:ilvl="7" w:tplc="943A15CC" w:tentative="1">
      <w:start w:val="1"/>
      <w:numFmt w:val="bullet"/>
      <w:lvlText w:val="•"/>
      <w:lvlJc w:val="left"/>
      <w:pPr>
        <w:tabs>
          <w:tab w:val="num" w:pos="5760"/>
        </w:tabs>
        <w:ind w:left="5760" w:hanging="360"/>
      </w:pPr>
      <w:rPr>
        <w:rFonts w:ascii="Arial" w:hAnsi="Arial" w:hint="default"/>
      </w:rPr>
    </w:lvl>
    <w:lvl w:ilvl="8" w:tplc="947AB5E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0D01FCC"/>
    <w:multiLevelType w:val="hybridMultilevel"/>
    <w:tmpl w:val="CF0A5D80"/>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8061A9"/>
    <w:multiLevelType w:val="multilevel"/>
    <w:tmpl w:val="983CD3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8650904"/>
    <w:multiLevelType w:val="multilevel"/>
    <w:tmpl w:val="32A8CF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9C31587"/>
    <w:multiLevelType w:val="multilevel"/>
    <w:tmpl w:val="1F8EEB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B757CBF"/>
    <w:multiLevelType w:val="hybridMultilevel"/>
    <w:tmpl w:val="F7AE5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2051B"/>
    <w:multiLevelType w:val="hybridMultilevel"/>
    <w:tmpl w:val="8D70A05A"/>
    <w:lvl w:ilvl="0" w:tplc="4EAA2970">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E82F24"/>
    <w:multiLevelType w:val="multilevel"/>
    <w:tmpl w:val="479C88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1503D8E"/>
    <w:multiLevelType w:val="hybridMultilevel"/>
    <w:tmpl w:val="88C09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257F4"/>
    <w:multiLevelType w:val="hybridMultilevel"/>
    <w:tmpl w:val="C7603B10"/>
    <w:lvl w:ilvl="0" w:tplc="032E506A">
      <w:start w:val="1"/>
      <w:numFmt w:val="decimal"/>
      <w:lvlText w:val="(h)"/>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4743BF"/>
    <w:multiLevelType w:val="multilevel"/>
    <w:tmpl w:val="5E7E6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56E2D52"/>
    <w:multiLevelType w:val="hybridMultilevel"/>
    <w:tmpl w:val="9A346B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820B38"/>
    <w:multiLevelType w:val="multilevel"/>
    <w:tmpl w:val="0EB812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9B9695F"/>
    <w:multiLevelType w:val="hybridMultilevel"/>
    <w:tmpl w:val="435218D2"/>
    <w:lvl w:ilvl="0" w:tplc="032E506A">
      <w:start w:val="1"/>
      <w:numFmt w:val="decimal"/>
      <w:lvlText w:val="(h)"/>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8E1F30"/>
    <w:multiLevelType w:val="multilevel"/>
    <w:tmpl w:val="63948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2ED6322"/>
    <w:multiLevelType w:val="multilevel"/>
    <w:tmpl w:val="B7002A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4DB76E7"/>
    <w:multiLevelType w:val="multilevel"/>
    <w:tmpl w:val="965CF2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5A94003"/>
    <w:multiLevelType w:val="hybridMultilevel"/>
    <w:tmpl w:val="E994899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7233F"/>
    <w:multiLevelType w:val="hybridMultilevel"/>
    <w:tmpl w:val="789468F2"/>
    <w:lvl w:ilvl="0" w:tplc="8D9283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2A68C8"/>
    <w:multiLevelType w:val="multilevel"/>
    <w:tmpl w:val="3EB654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9E0E622"/>
    <w:multiLevelType w:val="hybridMultilevel"/>
    <w:tmpl w:val="FFFFFFFF"/>
    <w:lvl w:ilvl="0" w:tplc="6B204736">
      <w:start w:val="1"/>
      <w:numFmt w:val="bullet"/>
      <w:lvlText w:val=""/>
      <w:lvlJc w:val="left"/>
      <w:pPr>
        <w:ind w:left="720" w:hanging="360"/>
      </w:pPr>
      <w:rPr>
        <w:rFonts w:ascii="Symbol" w:hAnsi="Symbol" w:hint="default"/>
      </w:rPr>
    </w:lvl>
    <w:lvl w:ilvl="1" w:tplc="3E628B14">
      <w:start w:val="1"/>
      <w:numFmt w:val="bullet"/>
      <w:lvlText w:val="o"/>
      <w:lvlJc w:val="left"/>
      <w:pPr>
        <w:ind w:left="1440" w:hanging="360"/>
      </w:pPr>
      <w:rPr>
        <w:rFonts w:ascii="Courier New" w:hAnsi="Courier New" w:hint="default"/>
      </w:rPr>
    </w:lvl>
    <w:lvl w:ilvl="2" w:tplc="EE8E769C">
      <w:start w:val="1"/>
      <w:numFmt w:val="bullet"/>
      <w:lvlText w:val=""/>
      <w:lvlJc w:val="left"/>
      <w:pPr>
        <w:ind w:left="2160" w:hanging="360"/>
      </w:pPr>
      <w:rPr>
        <w:rFonts w:ascii="Wingdings" w:hAnsi="Wingdings" w:hint="default"/>
      </w:rPr>
    </w:lvl>
    <w:lvl w:ilvl="3" w:tplc="C7965D12">
      <w:start w:val="1"/>
      <w:numFmt w:val="bullet"/>
      <w:lvlText w:val=""/>
      <w:lvlJc w:val="left"/>
      <w:pPr>
        <w:ind w:left="2880" w:hanging="360"/>
      </w:pPr>
      <w:rPr>
        <w:rFonts w:ascii="Symbol" w:hAnsi="Symbol" w:hint="default"/>
      </w:rPr>
    </w:lvl>
    <w:lvl w:ilvl="4" w:tplc="078A872A">
      <w:start w:val="1"/>
      <w:numFmt w:val="bullet"/>
      <w:lvlText w:val="o"/>
      <w:lvlJc w:val="left"/>
      <w:pPr>
        <w:ind w:left="3600" w:hanging="360"/>
      </w:pPr>
      <w:rPr>
        <w:rFonts w:ascii="Courier New" w:hAnsi="Courier New" w:hint="default"/>
      </w:rPr>
    </w:lvl>
    <w:lvl w:ilvl="5" w:tplc="C65AFD96">
      <w:start w:val="1"/>
      <w:numFmt w:val="bullet"/>
      <w:lvlText w:val=""/>
      <w:lvlJc w:val="left"/>
      <w:pPr>
        <w:ind w:left="4320" w:hanging="360"/>
      </w:pPr>
      <w:rPr>
        <w:rFonts w:ascii="Wingdings" w:hAnsi="Wingdings" w:hint="default"/>
      </w:rPr>
    </w:lvl>
    <w:lvl w:ilvl="6" w:tplc="F6966E74">
      <w:start w:val="1"/>
      <w:numFmt w:val="bullet"/>
      <w:lvlText w:val=""/>
      <w:lvlJc w:val="left"/>
      <w:pPr>
        <w:ind w:left="5040" w:hanging="360"/>
      </w:pPr>
      <w:rPr>
        <w:rFonts w:ascii="Symbol" w:hAnsi="Symbol" w:hint="default"/>
      </w:rPr>
    </w:lvl>
    <w:lvl w:ilvl="7" w:tplc="AF92EF3E">
      <w:start w:val="1"/>
      <w:numFmt w:val="bullet"/>
      <w:lvlText w:val="o"/>
      <w:lvlJc w:val="left"/>
      <w:pPr>
        <w:ind w:left="5760" w:hanging="360"/>
      </w:pPr>
      <w:rPr>
        <w:rFonts w:ascii="Courier New" w:hAnsi="Courier New" w:hint="default"/>
      </w:rPr>
    </w:lvl>
    <w:lvl w:ilvl="8" w:tplc="C3CE2836">
      <w:start w:val="1"/>
      <w:numFmt w:val="bullet"/>
      <w:lvlText w:val=""/>
      <w:lvlJc w:val="left"/>
      <w:pPr>
        <w:ind w:left="6480" w:hanging="360"/>
      </w:pPr>
      <w:rPr>
        <w:rFonts w:ascii="Wingdings" w:hAnsi="Wingdings" w:hint="default"/>
      </w:rPr>
    </w:lvl>
  </w:abstractNum>
  <w:abstractNum w:abstractNumId="27" w15:restartNumberingAfterBreak="0">
    <w:nsid w:val="3A237FCE"/>
    <w:multiLevelType w:val="multilevel"/>
    <w:tmpl w:val="B6823E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BAA1A9D"/>
    <w:multiLevelType w:val="hybridMultilevel"/>
    <w:tmpl w:val="7696CED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413BB2"/>
    <w:multiLevelType w:val="multilevel"/>
    <w:tmpl w:val="D62E4E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F0865F6"/>
    <w:multiLevelType w:val="multilevel"/>
    <w:tmpl w:val="9E0CC9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3F364223"/>
    <w:multiLevelType w:val="multilevel"/>
    <w:tmpl w:val="DD1065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454A6581"/>
    <w:multiLevelType w:val="multilevel"/>
    <w:tmpl w:val="97DE98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8163EDE"/>
    <w:multiLevelType w:val="hybridMultilevel"/>
    <w:tmpl w:val="AF1EC516"/>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8FE7984"/>
    <w:multiLevelType w:val="multilevel"/>
    <w:tmpl w:val="25CA32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4FA135B7"/>
    <w:multiLevelType w:val="hybridMultilevel"/>
    <w:tmpl w:val="FFFFFFFF"/>
    <w:lvl w:ilvl="0" w:tplc="24F890B4">
      <w:start w:val="1"/>
      <w:numFmt w:val="bullet"/>
      <w:lvlText w:val="o"/>
      <w:lvlJc w:val="left"/>
      <w:pPr>
        <w:ind w:left="720" w:hanging="360"/>
      </w:pPr>
      <w:rPr>
        <w:rFonts w:ascii="Courier New" w:hAnsi="Courier New" w:hint="default"/>
      </w:rPr>
    </w:lvl>
    <w:lvl w:ilvl="1" w:tplc="BF325C24">
      <w:start w:val="1"/>
      <w:numFmt w:val="bullet"/>
      <w:lvlText w:val="o"/>
      <w:lvlJc w:val="left"/>
      <w:pPr>
        <w:ind w:left="1440" w:hanging="360"/>
      </w:pPr>
      <w:rPr>
        <w:rFonts w:ascii="Courier New" w:hAnsi="Courier New" w:hint="default"/>
      </w:rPr>
    </w:lvl>
    <w:lvl w:ilvl="2" w:tplc="6ABAC784">
      <w:start w:val="1"/>
      <w:numFmt w:val="bullet"/>
      <w:lvlText w:val=""/>
      <w:lvlJc w:val="left"/>
      <w:pPr>
        <w:ind w:left="2160" w:hanging="360"/>
      </w:pPr>
      <w:rPr>
        <w:rFonts w:ascii="Wingdings" w:hAnsi="Wingdings" w:hint="default"/>
      </w:rPr>
    </w:lvl>
    <w:lvl w:ilvl="3" w:tplc="C7F46908">
      <w:start w:val="1"/>
      <w:numFmt w:val="bullet"/>
      <w:lvlText w:val=""/>
      <w:lvlJc w:val="left"/>
      <w:pPr>
        <w:ind w:left="2880" w:hanging="360"/>
      </w:pPr>
      <w:rPr>
        <w:rFonts w:ascii="Symbol" w:hAnsi="Symbol" w:hint="default"/>
      </w:rPr>
    </w:lvl>
    <w:lvl w:ilvl="4" w:tplc="CBF02996">
      <w:start w:val="1"/>
      <w:numFmt w:val="bullet"/>
      <w:lvlText w:val="o"/>
      <w:lvlJc w:val="left"/>
      <w:pPr>
        <w:ind w:left="3600" w:hanging="360"/>
      </w:pPr>
      <w:rPr>
        <w:rFonts w:ascii="Courier New" w:hAnsi="Courier New" w:hint="default"/>
      </w:rPr>
    </w:lvl>
    <w:lvl w:ilvl="5" w:tplc="BD68E2CE">
      <w:start w:val="1"/>
      <w:numFmt w:val="bullet"/>
      <w:lvlText w:val=""/>
      <w:lvlJc w:val="left"/>
      <w:pPr>
        <w:ind w:left="4320" w:hanging="360"/>
      </w:pPr>
      <w:rPr>
        <w:rFonts w:ascii="Wingdings" w:hAnsi="Wingdings" w:hint="default"/>
      </w:rPr>
    </w:lvl>
    <w:lvl w:ilvl="6" w:tplc="9F8C3CE0">
      <w:start w:val="1"/>
      <w:numFmt w:val="bullet"/>
      <w:lvlText w:val=""/>
      <w:lvlJc w:val="left"/>
      <w:pPr>
        <w:ind w:left="5040" w:hanging="360"/>
      </w:pPr>
      <w:rPr>
        <w:rFonts w:ascii="Symbol" w:hAnsi="Symbol" w:hint="default"/>
      </w:rPr>
    </w:lvl>
    <w:lvl w:ilvl="7" w:tplc="F18E59DE">
      <w:start w:val="1"/>
      <w:numFmt w:val="bullet"/>
      <w:lvlText w:val="o"/>
      <w:lvlJc w:val="left"/>
      <w:pPr>
        <w:ind w:left="5760" w:hanging="360"/>
      </w:pPr>
      <w:rPr>
        <w:rFonts w:ascii="Courier New" w:hAnsi="Courier New" w:hint="default"/>
      </w:rPr>
    </w:lvl>
    <w:lvl w:ilvl="8" w:tplc="31420A26">
      <w:start w:val="1"/>
      <w:numFmt w:val="bullet"/>
      <w:lvlText w:val=""/>
      <w:lvlJc w:val="left"/>
      <w:pPr>
        <w:ind w:left="6480" w:hanging="360"/>
      </w:pPr>
      <w:rPr>
        <w:rFonts w:ascii="Wingdings" w:hAnsi="Wingdings" w:hint="default"/>
      </w:rPr>
    </w:lvl>
  </w:abstractNum>
  <w:abstractNum w:abstractNumId="36" w15:restartNumberingAfterBreak="0">
    <w:nsid w:val="53453A43"/>
    <w:multiLevelType w:val="multilevel"/>
    <w:tmpl w:val="B6AC7E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543539A7"/>
    <w:multiLevelType w:val="hybridMultilevel"/>
    <w:tmpl w:val="65DE80C0"/>
    <w:lvl w:ilvl="0" w:tplc="83943FD6">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027666"/>
    <w:multiLevelType w:val="multilevel"/>
    <w:tmpl w:val="0802B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373DB"/>
    <w:multiLevelType w:val="hybridMultilevel"/>
    <w:tmpl w:val="6694CE28"/>
    <w:lvl w:ilvl="0" w:tplc="6F3CED6E">
      <w:start w:val="8"/>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A7B64D9"/>
    <w:multiLevelType w:val="multilevel"/>
    <w:tmpl w:val="3E4418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5B9656D2"/>
    <w:multiLevelType w:val="multilevel"/>
    <w:tmpl w:val="235274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5BCE466A"/>
    <w:multiLevelType w:val="hybridMultilevel"/>
    <w:tmpl w:val="35AEC06E"/>
    <w:lvl w:ilvl="0" w:tplc="649883F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2737D0"/>
    <w:multiLevelType w:val="hybridMultilevel"/>
    <w:tmpl w:val="56767ED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7704BF"/>
    <w:multiLevelType w:val="multilevel"/>
    <w:tmpl w:val="7D189A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653A412F"/>
    <w:multiLevelType w:val="hybridMultilevel"/>
    <w:tmpl w:val="C5D8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D4202C"/>
    <w:multiLevelType w:val="hybridMultilevel"/>
    <w:tmpl w:val="FFFFFFFF"/>
    <w:lvl w:ilvl="0" w:tplc="032E506A">
      <w:start w:val="1"/>
      <w:numFmt w:val="decimal"/>
      <w:lvlText w:val="(h)"/>
      <w:lvlJc w:val="left"/>
      <w:pPr>
        <w:ind w:left="720" w:hanging="360"/>
      </w:pPr>
    </w:lvl>
    <w:lvl w:ilvl="1" w:tplc="4D76F5C2">
      <w:start w:val="1"/>
      <w:numFmt w:val="bullet"/>
      <w:lvlText w:val="·"/>
      <w:lvlJc w:val="left"/>
      <w:pPr>
        <w:ind w:left="1440" w:hanging="360"/>
      </w:pPr>
      <w:rPr>
        <w:rFonts w:ascii="Symbol" w:hAnsi="Symbol" w:hint="default"/>
      </w:rPr>
    </w:lvl>
    <w:lvl w:ilvl="2" w:tplc="BAEEF67A">
      <w:start w:val="1"/>
      <w:numFmt w:val="lowerRoman"/>
      <w:lvlText w:val="%3."/>
      <w:lvlJc w:val="right"/>
      <w:pPr>
        <w:ind w:left="2160" w:hanging="180"/>
      </w:pPr>
    </w:lvl>
    <w:lvl w:ilvl="3" w:tplc="6BA4F254">
      <w:start w:val="1"/>
      <w:numFmt w:val="decimal"/>
      <w:lvlText w:val="%4."/>
      <w:lvlJc w:val="left"/>
      <w:pPr>
        <w:ind w:left="2880" w:hanging="360"/>
      </w:pPr>
    </w:lvl>
    <w:lvl w:ilvl="4" w:tplc="34167F9A">
      <w:start w:val="1"/>
      <w:numFmt w:val="lowerLetter"/>
      <w:lvlText w:val="%5."/>
      <w:lvlJc w:val="left"/>
      <w:pPr>
        <w:ind w:left="3600" w:hanging="360"/>
      </w:pPr>
    </w:lvl>
    <w:lvl w:ilvl="5" w:tplc="A13282F6">
      <w:start w:val="1"/>
      <w:numFmt w:val="lowerRoman"/>
      <w:lvlText w:val="%6."/>
      <w:lvlJc w:val="right"/>
      <w:pPr>
        <w:ind w:left="4320" w:hanging="180"/>
      </w:pPr>
    </w:lvl>
    <w:lvl w:ilvl="6" w:tplc="B76E8CA8">
      <w:start w:val="1"/>
      <w:numFmt w:val="decimal"/>
      <w:lvlText w:val="%7."/>
      <w:lvlJc w:val="left"/>
      <w:pPr>
        <w:ind w:left="5040" w:hanging="360"/>
      </w:pPr>
    </w:lvl>
    <w:lvl w:ilvl="7" w:tplc="9858DD88">
      <w:start w:val="1"/>
      <w:numFmt w:val="lowerLetter"/>
      <w:lvlText w:val="%8."/>
      <w:lvlJc w:val="left"/>
      <w:pPr>
        <w:ind w:left="5760" w:hanging="360"/>
      </w:pPr>
    </w:lvl>
    <w:lvl w:ilvl="8" w:tplc="3A3EBF70">
      <w:start w:val="1"/>
      <w:numFmt w:val="lowerRoman"/>
      <w:lvlText w:val="%9."/>
      <w:lvlJc w:val="right"/>
      <w:pPr>
        <w:ind w:left="6480" w:hanging="180"/>
      </w:pPr>
    </w:lvl>
  </w:abstractNum>
  <w:abstractNum w:abstractNumId="47" w15:restartNumberingAfterBreak="0">
    <w:nsid w:val="6713E062"/>
    <w:multiLevelType w:val="hybridMultilevel"/>
    <w:tmpl w:val="FFFFFFFF"/>
    <w:lvl w:ilvl="0" w:tplc="0958F222">
      <w:start w:val="1"/>
      <w:numFmt w:val="bullet"/>
      <w:lvlText w:val=""/>
      <w:lvlJc w:val="left"/>
      <w:pPr>
        <w:ind w:left="720" w:hanging="360"/>
      </w:pPr>
      <w:rPr>
        <w:rFonts w:ascii="Symbol" w:hAnsi="Symbol" w:hint="default"/>
      </w:rPr>
    </w:lvl>
    <w:lvl w:ilvl="1" w:tplc="81F87B00">
      <w:start w:val="1"/>
      <w:numFmt w:val="bullet"/>
      <w:lvlText w:val="o"/>
      <w:lvlJc w:val="left"/>
      <w:pPr>
        <w:ind w:left="1440" w:hanging="360"/>
      </w:pPr>
      <w:rPr>
        <w:rFonts w:ascii="Courier New" w:hAnsi="Courier New" w:hint="default"/>
      </w:rPr>
    </w:lvl>
    <w:lvl w:ilvl="2" w:tplc="1D443C8E">
      <w:start w:val="1"/>
      <w:numFmt w:val="bullet"/>
      <w:lvlText w:val=""/>
      <w:lvlJc w:val="left"/>
      <w:pPr>
        <w:ind w:left="2160" w:hanging="360"/>
      </w:pPr>
      <w:rPr>
        <w:rFonts w:ascii="Wingdings" w:hAnsi="Wingdings" w:hint="default"/>
      </w:rPr>
    </w:lvl>
    <w:lvl w:ilvl="3" w:tplc="63145B72">
      <w:start w:val="1"/>
      <w:numFmt w:val="bullet"/>
      <w:lvlText w:val=""/>
      <w:lvlJc w:val="left"/>
      <w:pPr>
        <w:ind w:left="2880" w:hanging="360"/>
      </w:pPr>
      <w:rPr>
        <w:rFonts w:ascii="Symbol" w:hAnsi="Symbol" w:hint="default"/>
      </w:rPr>
    </w:lvl>
    <w:lvl w:ilvl="4" w:tplc="7C949620">
      <w:start w:val="1"/>
      <w:numFmt w:val="bullet"/>
      <w:lvlText w:val="o"/>
      <w:lvlJc w:val="left"/>
      <w:pPr>
        <w:ind w:left="3600" w:hanging="360"/>
      </w:pPr>
      <w:rPr>
        <w:rFonts w:ascii="Courier New" w:hAnsi="Courier New" w:hint="default"/>
      </w:rPr>
    </w:lvl>
    <w:lvl w:ilvl="5" w:tplc="F5AE97D2">
      <w:start w:val="1"/>
      <w:numFmt w:val="bullet"/>
      <w:lvlText w:val=""/>
      <w:lvlJc w:val="left"/>
      <w:pPr>
        <w:ind w:left="4320" w:hanging="360"/>
      </w:pPr>
      <w:rPr>
        <w:rFonts w:ascii="Wingdings" w:hAnsi="Wingdings" w:hint="default"/>
      </w:rPr>
    </w:lvl>
    <w:lvl w:ilvl="6" w:tplc="BC8E0BDE">
      <w:start w:val="1"/>
      <w:numFmt w:val="bullet"/>
      <w:lvlText w:val=""/>
      <w:lvlJc w:val="left"/>
      <w:pPr>
        <w:ind w:left="5040" w:hanging="360"/>
      </w:pPr>
      <w:rPr>
        <w:rFonts w:ascii="Symbol" w:hAnsi="Symbol" w:hint="default"/>
      </w:rPr>
    </w:lvl>
    <w:lvl w:ilvl="7" w:tplc="7FF2D21C">
      <w:start w:val="1"/>
      <w:numFmt w:val="bullet"/>
      <w:lvlText w:val="o"/>
      <w:lvlJc w:val="left"/>
      <w:pPr>
        <w:ind w:left="5760" w:hanging="360"/>
      </w:pPr>
      <w:rPr>
        <w:rFonts w:ascii="Courier New" w:hAnsi="Courier New" w:hint="default"/>
      </w:rPr>
    </w:lvl>
    <w:lvl w:ilvl="8" w:tplc="FB76ABA6">
      <w:start w:val="1"/>
      <w:numFmt w:val="bullet"/>
      <w:lvlText w:val=""/>
      <w:lvlJc w:val="left"/>
      <w:pPr>
        <w:ind w:left="6480" w:hanging="360"/>
      </w:pPr>
      <w:rPr>
        <w:rFonts w:ascii="Wingdings" w:hAnsi="Wingdings" w:hint="default"/>
      </w:rPr>
    </w:lvl>
  </w:abstractNum>
  <w:abstractNum w:abstractNumId="48" w15:restartNumberingAfterBreak="0">
    <w:nsid w:val="67F912F6"/>
    <w:multiLevelType w:val="multilevel"/>
    <w:tmpl w:val="393C43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681956B4"/>
    <w:multiLevelType w:val="multilevel"/>
    <w:tmpl w:val="1B5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4A1BFE"/>
    <w:multiLevelType w:val="multilevel"/>
    <w:tmpl w:val="1A16FF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699415B9"/>
    <w:multiLevelType w:val="multilevel"/>
    <w:tmpl w:val="0D50F0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6CDC00B4"/>
    <w:multiLevelType w:val="multilevel"/>
    <w:tmpl w:val="6A1A06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6E9512F5"/>
    <w:multiLevelType w:val="multilevel"/>
    <w:tmpl w:val="E85CD4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6F350C84"/>
    <w:multiLevelType w:val="hybridMultilevel"/>
    <w:tmpl w:val="F3E8D650"/>
    <w:lvl w:ilvl="0" w:tplc="FB88377C">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0B75B11"/>
    <w:multiLevelType w:val="multilevel"/>
    <w:tmpl w:val="E6C0F8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7483051D"/>
    <w:multiLevelType w:val="multilevel"/>
    <w:tmpl w:val="D24AE1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75A20857"/>
    <w:multiLevelType w:val="multilevel"/>
    <w:tmpl w:val="54AE173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76F43809"/>
    <w:multiLevelType w:val="hybridMultilevel"/>
    <w:tmpl w:val="6CFC631C"/>
    <w:lvl w:ilvl="0" w:tplc="D6C027E4">
      <w:start w:val="1"/>
      <w:numFmt w:val="decimal"/>
      <w:lvlText w:val="%1."/>
      <w:lvlJc w:val="left"/>
      <w:pPr>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7AFD19F0"/>
    <w:multiLevelType w:val="multilevel"/>
    <w:tmpl w:val="8B4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B2A5A"/>
    <w:multiLevelType w:val="multilevel"/>
    <w:tmpl w:val="F8B0F9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7E125AE7"/>
    <w:multiLevelType w:val="multilevel"/>
    <w:tmpl w:val="4DFA07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78953582">
    <w:abstractNumId w:val="6"/>
  </w:num>
  <w:num w:numId="2" w16cid:durableId="1740638621">
    <w:abstractNumId w:val="3"/>
  </w:num>
  <w:num w:numId="3" w16cid:durableId="427046485">
    <w:abstractNumId w:val="11"/>
  </w:num>
  <w:num w:numId="4" w16cid:durableId="2000159061">
    <w:abstractNumId w:val="58"/>
  </w:num>
  <w:num w:numId="5" w16cid:durableId="552082628">
    <w:abstractNumId w:val="59"/>
  </w:num>
  <w:num w:numId="6" w16cid:durableId="1722436689">
    <w:abstractNumId w:val="49"/>
  </w:num>
  <w:num w:numId="7" w16cid:durableId="875969196">
    <w:abstractNumId w:val="14"/>
  </w:num>
  <w:num w:numId="8" w16cid:durableId="190606514">
    <w:abstractNumId w:val="42"/>
  </w:num>
  <w:num w:numId="9" w16cid:durableId="391277500">
    <w:abstractNumId w:val="45"/>
  </w:num>
  <w:num w:numId="10" w16cid:durableId="1154221296">
    <w:abstractNumId w:val="54"/>
  </w:num>
  <w:num w:numId="11" w16cid:durableId="1995721791">
    <w:abstractNumId w:val="43"/>
  </w:num>
  <w:num w:numId="12" w16cid:durableId="316111017">
    <w:abstractNumId w:val="12"/>
  </w:num>
  <w:num w:numId="13" w16cid:durableId="1712222610">
    <w:abstractNumId w:val="39"/>
  </w:num>
  <w:num w:numId="14" w16cid:durableId="1356033656">
    <w:abstractNumId w:val="24"/>
  </w:num>
  <w:num w:numId="15" w16cid:durableId="547497917">
    <w:abstractNumId w:val="37"/>
  </w:num>
  <w:num w:numId="16" w16cid:durableId="1808934839">
    <w:abstractNumId w:val="38"/>
  </w:num>
  <w:num w:numId="17" w16cid:durableId="98331469">
    <w:abstractNumId w:val="26"/>
  </w:num>
  <w:num w:numId="18" w16cid:durableId="997727392">
    <w:abstractNumId w:val="46"/>
  </w:num>
  <w:num w:numId="19" w16cid:durableId="2081902154">
    <w:abstractNumId w:val="35"/>
  </w:num>
  <w:num w:numId="20" w16cid:durableId="2085056668">
    <w:abstractNumId w:val="10"/>
  </w:num>
  <w:num w:numId="21" w16cid:durableId="1266497430">
    <w:abstractNumId w:val="52"/>
  </w:num>
  <w:num w:numId="22" w16cid:durableId="1463890497">
    <w:abstractNumId w:val="55"/>
  </w:num>
  <w:num w:numId="23" w16cid:durableId="399330419">
    <w:abstractNumId w:val="22"/>
  </w:num>
  <w:num w:numId="24" w16cid:durableId="1002508488">
    <w:abstractNumId w:val="32"/>
  </w:num>
  <w:num w:numId="25" w16cid:durableId="168640442">
    <w:abstractNumId w:val="4"/>
  </w:num>
  <w:num w:numId="26" w16cid:durableId="700253251">
    <w:abstractNumId w:val="34"/>
  </w:num>
  <w:num w:numId="27" w16cid:durableId="1645039992">
    <w:abstractNumId w:val="25"/>
  </w:num>
  <w:num w:numId="28" w16cid:durableId="1822964141">
    <w:abstractNumId w:val="60"/>
  </w:num>
  <w:num w:numId="29" w16cid:durableId="2030258360">
    <w:abstractNumId w:val="27"/>
  </w:num>
  <w:num w:numId="30" w16cid:durableId="1249999793">
    <w:abstractNumId w:val="53"/>
  </w:num>
  <w:num w:numId="31" w16cid:durableId="145780350">
    <w:abstractNumId w:val="20"/>
  </w:num>
  <w:num w:numId="32" w16cid:durableId="1920091795">
    <w:abstractNumId w:val="40"/>
  </w:num>
  <w:num w:numId="33" w16cid:durableId="995494395">
    <w:abstractNumId w:val="1"/>
  </w:num>
  <w:num w:numId="34" w16cid:durableId="1361591269">
    <w:abstractNumId w:val="18"/>
  </w:num>
  <w:num w:numId="35" w16cid:durableId="1110272902">
    <w:abstractNumId w:val="8"/>
  </w:num>
  <w:num w:numId="36" w16cid:durableId="58401463">
    <w:abstractNumId w:val="9"/>
  </w:num>
  <w:num w:numId="37" w16cid:durableId="1517578472">
    <w:abstractNumId w:val="51"/>
  </w:num>
  <w:num w:numId="38" w16cid:durableId="957368745">
    <w:abstractNumId w:val="50"/>
  </w:num>
  <w:num w:numId="39" w16cid:durableId="1708025480">
    <w:abstractNumId w:val="21"/>
  </w:num>
  <w:num w:numId="40" w16cid:durableId="2122845136">
    <w:abstractNumId w:val="29"/>
  </w:num>
  <w:num w:numId="41" w16cid:durableId="948582681">
    <w:abstractNumId w:val="36"/>
  </w:num>
  <w:num w:numId="42" w16cid:durableId="1243953596">
    <w:abstractNumId w:val="56"/>
  </w:num>
  <w:num w:numId="43" w16cid:durableId="717315512">
    <w:abstractNumId w:val="2"/>
  </w:num>
  <w:num w:numId="44" w16cid:durableId="69543026">
    <w:abstractNumId w:val="48"/>
  </w:num>
  <w:num w:numId="45" w16cid:durableId="431324224">
    <w:abstractNumId w:val="44"/>
  </w:num>
  <w:num w:numId="46" w16cid:durableId="23099312">
    <w:abstractNumId w:val="13"/>
  </w:num>
  <w:num w:numId="47" w16cid:durableId="627904790">
    <w:abstractNumId w:val="16"/>
  </w:num>
  <w:num w:numId="48" w16cid:durableId="1729842574">
    <w:abstractNumId w:val="30"/>
  </w:num>
  <w:num w:numId="49" w16cid:durableId="1503473869">
    <w:abstractNumId w:val="0"/>
  </w:num>
  <w:num w:numId="50" w16cid:durableId="151143475">
    <w:abstractNumId w:val="61"/>
  </w:num>
  <w:num w:numId="51" w16cid:durableId="1314068504">
    <w:abstractNumId w:val="41"/>
  </w:num>
  <w:num w:numId="52" w16cid:durableId="1832715439">
    <w:abstractNumId w:val="5"/>
  </w:num>
  <w:num w:numId="53" w16cid:durableId="20250722">
    <w:abstractNumId w:val="31"/>
  </w:num>
  <w:num w:numId="54" w16cid:durableId="934558019">
    <w:abstractNumId w:val="57"/>
  </w:num>
  <w:num w:numId="55" w16cid:durableId="821966415">
    <w:abstractNumId w:val="47"/>
  </w:num>
  <w:num w:numId="56" w16cid:durableId="1933472399">
    <w:abstractNumId w:val="23"/>
  </w:num>
  <w:num w:numId="57" w16cid:durableId="121312678">
    <w:abstractNumId w:val="19"/>
  </w:num>
  <w:num w:numId="58" w16cid:durableId="1781219159">
    <w:abstractNumId w:val="17"/>
  </w:num>
  <w:num w:numId="59" w16cid:durableId="2107191466">
    <w:abstractNumId w:val="15"/>
  </w:num>
  <w:num w:numId="60" w16cid:durableId="1584996451">
    <w:abstractNumId w:val="28"/>
  </w:num>
  <w:num w:numId="61" w16cid:durableId="93863791">
    <w:abstractNumId w:val="33"/>
  </w:num>
  <w:num w:numId="62" w16cid:durableId="275872391">
    <w:abstractNumId w:val="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2FC"/>
    <w:rsid w:val="000024F8"/>
    <w:rsid w:val="0000293E"/>
    <w:rsid w:val="00003454"/>
    <w:rsid w:val="000037A6"/>
    <w:rsid w:val="00003D7C"/>
    <w:rsid w:val="00004559"/>
    <w:rsid w:val="00005A84"/>
    <w:rsid w:val="00005D88"/>
    <w:rsid w:val="00005F0C"/>
    <w:rsid w:val="000075FA"/>
    <w:rsid w:val="0001117E"/>
    <w:rsid w:val="000115B6"/>
    <w:rsid w:val="00015C98"/>
    <w:rsid w:val="00015D28"/>
    <w:rsid w:val="00016108"/>
    <w:rsid w:val="00016720"/>
    <w:rsid w:val="00016C00"/>
    <w:rsid w:val="0001796A"/>
    <w:rsid w:val="00017EC3"/>
    <w:rsid w:val="00020895"/>
    <w:rsid w:val="0002121C"/>
    <w:rsid w:val="00021CE5"/>
    <w:rsid w:val="00024AE4"/>
    <w:rsid w:val="00024F61"/>
    <w:rsid w:val="00025685"/>
    <w:rsid w:val="00025A33"/>
    <w:rsid w:val="00026161"/>
    <w:rsid w:val="00026AC2"/>
    <w:rsid w:val="00027DAF"/>
    <w:rsid w:val="000302BB"/>
    <w:rsid w:val="00030541"/>
    <w:rsid w:val="0003167F"/>
    <w:rsid w:val="0003236B"/>
    <w:rsid w:val="000332A3"/>
    <w:rsid w:val="00033DD4"/>
    <w:rsid w:val="00033FD4"/>
    <w:rsid w:val="00037603"/>
    <w:rsid w:val="0004040E"/>
    <w:rsid w:val="000430AB"/>
    <w:rsid w:val="000443F9"/>
    <w:rsid w:val="00044988"/>
    <w:rsid w:val="000454D0"/>
    <w:rsid w:val="0004790C"/>
    <w:rsid w:val="000479A2"/>
    <w:rsid w:val="00047D85"/>
    <w:rsid w:val="000526B9"/>
    <w:rsid w:val="00052D64"/>
    <w:rsid w:val="000534C9"/>
    <w:rsid w:val="000536B8"/>
    <w:rsid w:val="0005389E"/>
    <w:rsid w:val="0005427F"/>
    <w:rsid w:val="00057F50"/>
    <w:rsid w:val="00060971"/>
    <w:rsid w:val="00060D69"/>
    <w:rsid w:val="00061851"/>
    <w:rsid w:val="00061AB4"/>
    <w:rsid w:val="00062721"/>
    <w:rsid w:val="0006466D"/>
    <w:rsid w:val="00065185"/>
    <w:rsid w:val="00066647"/>
    <w:rsid w:val="00067236"/>
    <w:rsid w:val="00070B00"/>
    <w:rsid w:val="00070FC3"/>
    <w:rsid w:val="000718C0"/>
    <w:rsid w:val="00072A48"/>
    <w:rsid w:val="00072DDC"/>
    <w:rsid w:val="0007361C"/>
    <w:rsid w:val="00073796"/>
    <w:rsid w:val="00073B20"/>
    <w:rsid w:val="00074AAF"/>
    <w:rsid w:val="0007538A"/>
    <w:rsid w:val="00075AF0"/>
    <w:rsid w:val="00076B88"/>
    <w:rsid w:val="0007714F"/>
    <w:rsid w:val="00077326"/>
    <w:rsid w:val="00077750"/>
    <w:rsid w:val="00080648"/>
    <w:rsid w:val="000806D5"/>
    <w:rsid w:val="00081105"/>
    <w:rsid w:val="00081409"/>
    <w:rsid w:val="00081E7E"/>
    <w:rsid w:val="00082CB1"/>
    <w:rsid w:val="0008449C"/>
    <w:rsid w:val="000847FC"/>
    <w:rsid w:val="00085F66"/>
    <w:rsid w:val="00086DAD"/>
    <w:rsid w:val="00086E95"/>
    <w:rsid w:val="000873C7"/>
    <w:rsid w:val="00087B30"/>
    <w:rsid w:val="00090166"/>
    <w:rsid w:val="00090613"/>
    <w:rsid w:val="00091414"/>
    <w:rsid w:val="0009147D"/>
    <w:rsid w:val="00092725"/>
    <w:rsid w:val="00093426"/>
    <w:rsid w:val="00093859"/>
    <w:rsid w:val="00094274"/>
    <w:rsid w:val="00094B96"/>
    <w:rsid w:val="00094E69"/>
    <w:rsid w:val="00095483"/>
    <w:rsid w:val="000959FB"/>
    <w:rsid w:val="00095AF8"/>
    <w:rsid w:val="000962B8"/>
    <w:rsid w:val="00096765"/>
    <w:rsid w:val="0009736B"/>
    <w:rsid w:val="000A3E59"/>
    <w:rsid w:val="000A71F0"/>
    <w:rsid w:val="000A7BAD"/>
    <w:rsid w:val="000B1010"/>
    <w:rsid w:val="000B2A03"/>
    <w:rsid w:val="000B2C95"/>
    <w:rsid w:val="000B4263"/>
    <w:rsid w:val="000B4751"/>
    <w:rsid w:val="000B4C33"/>
    <w:rsid w:val="000B527A"/>
    <w:rsid w:val="000B52D6"/>
    <w:rsid w:val="000B5DF6"/>
    <w:rsid w:val="000B6658"/>
    <w:rsid w:val="000B6988"/>
    <w:rsid w:val="000C02B0"/>
    <w:rsid w:val="000C0362"/>
    <w:rsid w:val="000C086D"/>
    <w:rsid w:val="000C095E"/>
    <w:rsid w:val="000C1107"/>
    <w:rsid w:val="000C1B72"/>
    <w:rsid w:val="000C1D57"/>
    <w:rsid w:val="000C28E3"/>
    <w:rsid w:val="000C31A2"/>
    <w:rsid w:val="000C3F7A"/>
    <w:rsid w:val="000C49A3"/>
    <w:rsid w:val="000C4C84"/>
    <w:rsid w:val="000C59E7"/>
    <w:rsid w:val="000C5D9C"/>
    <w:rsid w:val="000C6875"/>
    <w:rsid w:val="000C6DC8"/>
    <w:rsid w:val="000C6ED3"/>
    <w:rsid w:val="000C6FD4"/>
    <w:rsid w:val="000C74EB"/>
    <w:rsid w:val="000D00C9"/>
    <w:rsid w:val="000D1F7D"/>
    <w:rsid w:val="000D2546"/>
    <w:rsid w:val="000D2F05"/>
    <w:rsid w:val="000D31FD"/>
    <w:rsid w:val="000D4372"/>
    <w:rsid w:val="000D45BB"/>
    <w:rsid w:val="000D46E4"/>
    <w:rsid w:val="000D5500"/>
    <w:rsid w:val="000D55B2"/>
    <w:rsid w:val="000D6034"/>
    <w:rsid w:val="000D7358"/>
    <w:rsid w:val="000E0179"/>
    <w:rsid w:val="000E0E6D"/>
    <w:rsid w:val="000E1C05"/>
    <w:rsid w:val="000E1FB8"/>
    <w:rsid w:val="000E2510"/>
    <w:rsid w:val="000E3955"/>
    <w:rsid w:val="000E39B4"/>
    <w:rsid w:val="000E496A"/>
    <w:rsid w:val="000E4C33"/>
    <w:rsid w:val="000E50A9"/>
    <w:rsid w:val="000E538F"/>
    <w:rsid w:val="000E5B2E"/>
    <w:rsid w:val="000E5E2D"/>
    <w:rsid w:val="000E6053"/>
    <w:rsid w:val="000E640A"/>
    <w:rsid w:val="000E64A7"/>
    <w:rsid w:val="000E6937"/>
    <w:rsid w:val="000E72F7"/>
    <w:rsid w:val="000F09FC"/>
    <w:rsid w:val="000F17ED"/>
    <w:rsid w:val="000F18DD"/>
    <w:rsid w:val="000F197D"/>
    <w:rsid w:val="000F1EF6"/>
    <w:rsid w:val="000F2B35"/>
    <w:rsid w:val="000F2E24"/>
    <w:rsid w:val="000F3455"/>
    <w:rsid w:val="000F3586"/>
    <w:rsid w:val="000F3D17"/>
    <w:rsid w:val="000F4140"/>
    <w:rsid w:val="000F46F4"/>
    <w:rsid w:val="000F5BFE"/>
    <w:rsid w:val="000F6829"/>
    <w:rsid w:val="00100131"/>
    <w:rsid w:val="00100813"/>
    <w:rsid w:val="00100F39"/>
    <w:rsid w:val="00101B3D"/>
    <w:rsid w:val="00101F60"/>
    <w:rsid w:val="00103366"/>
    <w:rsid w:val="001033A7"/>
    <w:rsid w:val="00104377"/>
    <w:rsid w:val="0010648B"/>
    <w:rsid w:val="00106A83"/>
    <w:rsid w:val="00106B3E"/>
    <w:rsid w:val="00107031"/>
    <w:rsid w:val="00107FBF"/>
    <w:rsid w:val="001109DD"/>
    <w:rsid w:val="00113F47"/>
    <w:rsid w:val="001144D2"/>
    <w:rsid w:val="001145A7"/>
    <w:rsid w:val="001162F5"/>
    <w:rsid w:val="0011690D"/>
    <w:rsid w:val="0011719E"/>
    <w:rsid w:val="00117A4E"/>
    <w:rsid w:val="001204BB"/>
    <w:rsid w:val="00121278"/>
    <w:rsid w:val="001212F7"/>
    <w:rsid w:val="001213D0"/>
    <w:rsid w:val="001225B7"/>
    <w:rsid w:val="00122B26"/>
    <w:rsid w:val="00122D4E"/>
    <w:rsid w:val="0012340E"/>
    <w:rsid w:val="00123623"/>
    <w:rsid w:val="001243C7"/>
    <w:rsid w:val="00124840"/>
    <w:rsid w:val="00124EE7"/>
    <w:rsid w:val="00124FBF"/>
    <w:rsid w:val="00125778"/>
    <w:rsid w:val="00125AB5"/>
    <w:rsid w:val="0012621E"/>
    <w:rsid w:val="00126343"/>
    <w:rsid w:val="00127834"/>
    <w:rsid w:val="00127DCA"/>
    <w:rsid w:val="00130B6C"/>
    <w:rsid w:val="00130BB6"/>
    <w:rsid w:val="00131E66"/>
    <w:rsid w:val="001321A4"/>
    <w:rsid w:val="0013226C"/>
    <w:rsid w:val="001325F2"/>
    <w:rsid w:val="001329FC"/>
    <w:rsid w:val="001339E3"/>
    <w:rsid w:val="00134495"/>
    <w:rsid w:val="00134527"/>
    <w:rsid w:val="00134ACB"/>
    <w:rsid w:val="00134B0D"/>
    <w:rsid w:val="00134FEB"/>
    <w:rsid w:val="00135767"/>
    <w:rsid w:val="00136844"/>
    <w:rsid w:val="00141C9C"/>
    <w:rsid w:val="00142310"/>
    <w:rsid w:val="00142EE1"/>
    <w:rsid w:val="001436F9"/>
    <w:rsid w:val="0014428F"/>
    <w:rsid w:val="0014451A"/>
    <w:rsid w:val="0014494F"/>
    <w:rsid w:val="00146495"/>
    <w:rsid w:val="001469C6"/>
    <w:rsid w:val="00146B25"/>
    <w:rsid w:val="001473C9"/>
    <w:rsid w:val="00150094"/>
    <w:rsid w:val="0015108F"/>
    <w:rsid w:val="001512B6"/>
    <w:rsid w:val="0015130E"/>
    <w:rsid w:val="001515F8"/>
    <w:rsid w:val="001518D2"/>
    <w:rsid w:val="00154129"/>
    <w:rsid w:val="00154608"/>
    <w:rsid w:val="00154B04"/>
    <w:rsid w:val="00154C6B"/>
    <w:rsid w:val="00154E74"/>
    <w:rsid w:val="0015655C"/>
    <w:rsid w:val="00156604"/>
    <w:rsid w:val="0015672D"/>
    <w:rsid w:val="00160A22"/>
    <w:rsid w:val="00160A3F"/>
    <w:rsid w:val="00160F49"/>
    <w:rsid w:val="00161963"/>
    <w:rsid w:val="0016200B"/>
    <w:rsid w:val="001638EF"/>
    <w:rsid w:val="00164076"/>
    <w:rsid w:val="001642A6"/>
    <w:rsid w:val="001648BF"/>
    <w:rsid w:val="00164DEA"/>
    <w:rsid w:val="00164E0F"/>
    <w:rsid w:val="00165418"/>
    <w:rsid w:val="001718B1"/>
    <w:rsid w:val="00172D89"/>
    <w:rsid w:val="00174AAD"/>
    <w:rsid w:val="00174E6A"/>
    <w:rsid w:val="00175499"/>
    <w:rsid w:val="001757E7"/>
    <w:rsid w:val="0018083B"/>
    <w:rsid w:val="00181469"/>
    <w:rsid w:val="00181555"/>
    <w:rsid w:val="00181A60"/>
    <w:rsid w:val="0018322F"/>
    <w:rsid w:val="00183441"/>
    <w:rsid w:val="001836E1"/>
    <w:rsid w:val="00183DAA"/>
    <w:rsid w:val="00184768"/>
    <w:rsid w:val="00186564"/>
    <w:rsid w:val="00186A98"/>
    <w:rsid w:val="001901F0"/>
    <w:rsid w:val="00190471"/>
    <w:rsid w:val="00190B34"/>
    <w:rsid w:val="001917B3"/>
    <w:rsid w:val="00191C8D"/>
    <w:rsid w:val="001924A2"/>
    <w:rsid w:val="00195240"/>
    <w:rsid w:val="001956A0"/>
    <w:rsid w:val="0019674F"/>
    <w:rsid w:val="00196AD9"/>
    <w:rsid w:val="001A0AD7"/>
    <w:rsid w:val="001A1290"/>
    <w:rsid w:val="001A1D6B"/>
    <w:rsid w:val="001A2612"/>
    <w:rsid w:val="001A300E"/>
    <w:rsid w:val="001A39AF"/>
    <w:rsid w:val="001A4AA2"/>
    <w:rsid w:val="001A523E"/>
    <w:rsid w:val="001A6EA3"/>
    <w:rsid w:val="001A7060"/>
    <w:rsid w:val="001B0191"/>
    <w:rsid w:val="001B02EB"/>
    <w:rsid w:val="001B0424"/>
    <w:rsid w:val="001B08E5"/>
    <w:rsid w:val="001B0907"/>
    <w:rsid w:val="001B1A54"/>
    <w:rsid w:val="001B1E7D"/>
    <w:rsid w:val="001B1F0D"/>
    <w:rsid w:val="001B2C02"/>
    <w:rsid w:val="001B3BAF"/>
    <w:rsid w:val="001B4008"/>
    <w:rsid w:val="001B4488"/>
    <w:rsid w:val="001B4515"/>
    <w:rsid w:val="001B698E"/>
    <w:rsid w:val="001B7511"/>
    <w:rsid w:val="001C0398"/>
    <w:rsid w:val="001C070F"/>
    <w:rsid w:val="001C08C4"/>
    <w:rsid w:val="001C15F6"/>
    <w:rsid w:val="001C1E62"/>
    <w:rsid w:val="001C27EB"/>
    <w:rsid w:val="001C3C80"/>
    <w:rsid w:val="001C5063"/>
    <w:rsid w:val="001C5279"/>
    <w:rsid w:val="001C5773"/>
    <w:rsid w:val="001C6873"/>
    <w:rsid w:val="001C6D7D"/>
    <w:rsid w:val="001C6F21"/>
    <w:rsid w:val="001C73E9"/>
    <w:rsid w:val="001C743C"/>
    <w:rsid w:val="001C76FF"/>
    <w:rsid w:val="001C7A86"/>
    <w:rsid w:val="001D0662"/>
    <w:rsid w:val="001D1028"/>
    <w:rsid w:val="001D1A60"/>
    <w:rsid w:val="001D1B4A"/>
    <w:rsid w:val="001D27E3"/>
    <w:rsid w:val="001D2814"/>
    <w:rsid w:val="001D30CE"/>
    <w:rsid w:val="001D32C4"/>
    <w:rsid w:val="001D3496"/>
    <w:rsid w:val="001D3718"/>
    <w:rsid w:val="001D3944"/>
    <w:rsid w:val="001D448D"/>
    <w:rsid w:val="001D45EF"/>
    <w:rsid w:val="001D4E05"/>
    <w:rsid w:val="001D4E97"/>
    <w:rsid w:val="001D758C"/>
    <w:rsid w:val="001E06B1"/>
    <w:rsid w:val="001E0DC8"/>
    <w:rsid w:val="001E3505"/>
    <w:rsid w:val="001E4380"/>
    <w:rsid w:val="001E4DD9"/>
    <w:rsid w:val="001E5DE0"/>
    <w:rsid w:val="001E5E50"/>
    <w:rsid w:val="001E6410"/>
    <w:rsid w:val="001E678A"/>
    <w:rsid w:val="001E6D89"/>
    <w:rsid w:val="001E715B"/>
    <w:rsid w:val="001E7779"/>
    <w:rsid w:val="001F00F4"/>
    <w:rsid w:val="001F0758"/>
    <w:rsid w:val="001F1DBD"/>
    <w:rsid w:val="001F285F"/>
    <w:rsid w:val="001F3733"/>
    <w:rsid w:val="001F3F6F"/>
    <w:rsid w:val="001F40A2"/>
    <w:rsid w:val="001F4F5B"/>
    <w:rsid w:val="001F63D4"/>
    <w:rsid w:val="001F665A"/>
    <w:rsid w:val="001F669E"/>
    <w:rsid w:val="001F7E10"/>
    <w:rsid w:val="001F7E4F"/>
    <w:rsid w:val="002005ED"/>
    <w:rsid w:val="0020168F"/>
    <w:rsid w:val="00201F7A"/>
    <w:rsid w:val="00202A48"/>
    <w:rsid w:val="00204532"/>
    <w:rsid w:val="00205038"/>
    <w:rsid w:val="00205F64"/>
    <w:rsid w:val="00205FBC"/>
    <w:rsid w:val="00206387"/>
    <w:rsid w:val="0020647C"/>
    <w:rsid w:val="0020666F"/>
    <w:rsid w:val="00206B24"/>
    <w:rsid w:val="00206CFD"/>
    <w:rsid w:val="0020709D"/>
    <w:rsid w:val="0021122B"/>
    <w:rsid w:val="00211B30"/>
    <w:rsid w:val="002120BF"/>
    <w:rsid w:val="002124D7"/>
    <w:rsid w:val="00212E0C"/>
    <w:rsid w:val="00213B91"/>
    <w:rsid w:val="002141B5"/>
    <w:rsid w:val="00216776"/>
    <w:rsid w:val="00216A6F"/>
    <w:rsid w:val="0022184F"/>
    <w:rsid w:val="00222A0F"/>
    <w:rsid w:val="0022353B"/>
    <w:rsid w:val="0022387F"/>
    <w:rsid w:val="00223F1D"/>
    <w:rsid w:val="00224388"/>
    <w:rsid w:val="00224A3C"/>
    <w:rsid w:val="00225A7A"/>
    <w:rsid w:val="0022636B"/>
    <w:rsid w:val="0022690F"/>
    <w:rsid w:val="00230B70"/>
    <w:rsid w:val="0023100D"/>
    <w:rsid w:val="0023136F"/>
    <w:rsid w:val="002314CC"/>
    <w:rsid w:val="00232871"/>
    <w:rsid w:val="002328D4"/>
    <w:rsid w:val="0023514E"/>
    <w:rsid w:val="00235CAE"/>
    <w:rsid w:val="00236A63"/>
    <w:rsid w:val="002371CC"/>
    <w:rsid w:val="00237231"/>
    <w:rsid w:val="00237313"/>
    <w:rsid w:val="0023751D"/>
    <w:rsid w:val="00237983"/>
    <w:rsid w:val="00240524"/>
    <w:rsid w:val="002411CD"/>
    <w:rsid w:val="00241836"/>
    <w:rsid w:val="00242C60"/>
    <w:rsid w:val="00242D4F"/>
    <w:rsid w:val="00244381"/>
    <w:rsid w:val="00244B40"/>
    <w:rsid w:val="0024617C"/>
    <w:rsid w:val="002465EA"/>
    <w:rsid w:val="00246938"/>
    <w:rsid w:val="00246F9F"/>
    <w:rsid w:val="0024707C"/>
    <w:rsid w:val="0024713D"/>
    <w:rsid w:val="0024753A"/>
    <w:rsid w:val="002508B2"/>
    <w:rsid w:val="0025193F"/>
    <w:rsid w:val="00252476"/>
    <w:rsid w:val="0025297E"/>
    <w:rsid w:val="00252A00"/>
    <w:rsid w:val="00253DEC"/>
    <w:rsid w:val="00255552"/>
    <w:rsid w:val="002555C1"/>
    <w:rsid w:val="00257500"/>
    <w:rsid w:val="002613AB"/>
    <w:rsid w:val="00261888"/>
    <w:rsid w:val="00261A76"/>
    <w:rsid w:val="00261EAC"/>
    <w:rsid w:val="00262077"/>
    <w:rsid w:val="00264BB4"/>
    <w:rsid w:val="00265529"/>
    <w:rsid w:val="00266BBE"/>
    <w:rsid w:val="002673C3"/>
    <w:rsid w:val="00267967"/>
    <w:rsid w:val="00267E22"/>
    <w:rsid w:val="00270CFB"/>
    <w:rsid w:val="00270F8A"/>
    <w:rsid w:val="002710B3"/>
    <w:rsid w:val="0027260F"/>
    <w:rsid w:val="00272715"/>
    <w:rsid w:val="00272CCD"/>
    <w:rsid w:val="00273AF9"/>
    <w:rsid w:val="00273F93"/>
    <w:rsid w:val="002754FB"/>
    <w:rsid w:val="00275528"/>
    <w:rsid w:val="002756BD"/>
    <w:rsid w:val="00275BDC"/>
    <w:rsid w:val="00276B38"/>
    <w:rsid w:val="00276D4B"/>
    <w:rsid w:val="00277C40"/>
    <w:rsid w:val="002800F1"/>
    <w:rsid w:val="002801D3"/>
    <w:rsid w:val="00280981"/>
    <w:rsid w:val="00281188"/>
    <w:rsid w:val="002814DC"/>
    <w:rsid w:val="00281634"/>
    <w:rsid w:val="00281A97"/>
    <w:rsid w:val="002824F5"/>
    <w:rsid w:val="00282984"/>
    <w:rsid w:val="00282B63"/>
    <w:rsid w:val="00283790"/>
    <w:rsid w:val="0028401F"/>
    <w:rsid w:val="00286E83"/>
    <w:rsid w:val="002910C7"/>
    <w:rsid w:val="00291DD6"/>
    <w:rsid w:val="00292AD9"/>
    <w:rsid w:val="0029334F"/>
    <w:rsid w:val="002935EC"/>
    <w:rsid w:val="0029668E"/>
    <w:rsid w:val="00296F27"/>
    <w:rsid w:val="002A0191"/>
    <w:rsid w:val="002A0625"/>
    <w:rsid w:val="002A086B"/>
    <w:rsid w:val="002A204F"/>
    <w:rsid w:val="002A2EE0"/>
    <w:rsid w:val="002A3B95"/>
    <w:rsid w:val="002A5D92"/>
    <w:rsid w:val="002A62EC"/>
    <w:rsid w:val="002A6873"/>
    <w:rsid w:val="002A6FBB"/>
    <w:rsid w:val="002A7829"/>
    <w:rsid w:val="002A79BA"/>
    <w:rsid w:val="002B30ED"/>
    <w:rsid w:val="002B481C"/>
    <w:rsid w:val="002B521C"/>
    <w:rsid w:val="002B7246"/>
    <w:rsid w:val="002C0634"/>
    <w:rsid w:val="002C0D96"/>
    <w:rsid w:val="002C2107"/>
    <w:rsid w:val="002C3BE2"/>
    <w:rsid w:val="002C42C8"/>
    <w:rsid w:val="002C4560"/>
    <w:rsid w:val="002C4E7C"/>
    <w:rsid w:val="002C539C"/>
    <w:rsid w:val="002C58B6"/>
    <w:rsid w:val="002C595A"/>
    <w:rsid w:val="002C7B08"/>
    <w:rsid w:val="002D03B3"/>
    <w:rsid w:val="002D0826"/>
    <w:rsid w:val="002D181C"/>
    <w:rsid w:val="002D2807"/>
    <w:rsid w:val="002D30AF"/>
    <w:rsid w:val="002D4402"/>
    <w:rsid w:val="002D616D"/>
    <w:rsid w:val="002E02EB"/>
    <w:rsid w:val="002E0BCA"/>
    <w:rsid w:val="002E1D39"/>
    <w:rsid w:val="002E3687"/>
    <w:rsid w:val="002E36C2"/>
    <w:rsid w:val="002E36D9"/>
    <w:rsid w:val="002E38D5"/>
    <w:rsid w:val="002E421D"/>
    <w:rsid w:val="002E43BD"/>
    <w:rsid w:val="002E49D7"/>
    <w:rsid w:val="002E5526"/>
    <w:rsid w:val="002E59D0"/>
    <w:rsid w:val="002E5C85"/>
    <w:rsid w:val="002E6536"/>
    <w:rsid w:val="002E6B79"/>
    <w:rsid w:val="002E7FC0"/>
    <w:rsid w:val="002F02B7"/>
    <w:rsid w:val="002F0A0F"/>
    <w:rsid w:val="002F0F41"/>
    <w:rsid w:val="002F2665"/>
    <w:rsid w:val="002F3569"/>
    <w:rsid w:val="002F42C9"/>
    <w:rsid w:val="002F4680"/>
    <w:rsid w:val="002F47EC"/>
    <w:rsid w:val="002F4B9E"/>
    <w:rsid w:val="002F4ECD"/>
    <w:rsid w:val="002F5911"/>
    <w:rsid w:val="002F62E5"/>
    <w:rsid w:val="002F7270"/>
    <w:rsid w:val="002F77B5"/>
    <w:rsid w:val="002F7F62"/>
    <w:rsid w:val="00300353"/>
    <w:rsid w:val="0030080F"/>
    <w:rsid w:val="00300815"/>
    <w:rsid w:val="0030176E"/>
    <w:rsid w:val="0030271D"/>
    <w:rsid w:val="00302EBC"/>
    <w:rsid w:val="003037BC"/>
    <w:rsid w:val="003040A5"/>
    <w:rsid w:val="003042B3"/>
    <w:rsid w:val="0030484F"/>
    <w:rsid w:val="0030519A"/>
    <w:rsid w:val="00305EAC"/>
    <w:rsid w:val="0030681B"/>
    <w:rsid w:val="003076CF"/>
    <w:rsid w:val="00307950"/>
    <w:rsid w:val="00307B08"/>
    <w:rsid w:val="003107BC"/>
    <w:rsid w:val="00310F03"/>
    <w:rsid w:val="00312AAF"/>
    <w:rsid w:val="003134BB"/>
    <w:rsid w:val="00313A27"/>
    <w:rsid w:val="00314A16"/>
    <w:rsid w:val="00315151"/>
    <w:rsid w:val="00315D51"/>
    <w:rsid w:val="00316144"/>
    <w:rsid w:val="0031712A"/>
    <w:rsid w:val="00317726"/>
    <w:rsid w:val="003179B9"/>
    <w:rsid w:val="00321CFD"/>
    <w:rsid w:val="00322960"/>
    <w:rsid w:val="00322A3F"/>
    <w:rsid w:val="00322AAD"/>
    <w:rsid w:val="00323047"/>
    <w:rsid w:val="0032346B"/>
    <w:rsid w:val="00323914"/>
    <w:rsid w:val="00323B3A"/>
    <w:rsid w:val="003242EC"/>
    <w:rsid w:val="003248FF"/>
    <w:rsid w:val="00325CB3"/>
    <w:rsid w:val="00326071"/>
    <w:rsid w:val="003268B7"/>
    <w:rsid w:val="00330020"/>
    <w:rsid w:val="00330217"/>
    <w:rsid w:val="00330968"/>
    <w:rsid w:val="00330DDC"/>
    <w:rsid w:val="003316C1"/>
    <w:rsid w:val="0033215B"/>
    <w:rsid w:val="00333CC7"/>
    <w:rsid w:val="003344CF"/>
    <w:rsid w:val="00334711"/>
    <w:rsid w:val="00334BA6"/>
    <w:rsid w:val="00335A51"/>
    <w:rsid w:val="0034036E"/>
    <w:rsid w:val="00340670"/>
    <w:rsid w:val="00340DC7"/>
    <w:rsid w:val="0034197D"/>
    <w:rsid w:val="00343872"/>
    <w:rsid w:val="00343997"/>
    <w:rsid w:val="00343D80"/>
    <w:rsid w:val="00344754"/>
    <w:rsid w:val="003448AE"/>
    <w:rsid w:val="00344B51"/>
    <w:rsid w:val="00344FE1"/>
    <w:rsid w:val="003453EF"/>
    <w:rsid w:val="00345516"/>
    <w:rsid w:val="00345DD0"/>
    <w:rsid w:val="0034609E"/>
    <w:rsid w:val="003462FD"/>
    <w:rsid w:val="0034681F"/>
    <w:rsid w:val="00346FBC"/>
    <w:rsid w:val="00350568"/>
    <w:rsid w:val="003512CF"/>
    <w:rsid w:val="00351D14"/>
    <w:rsid w:val="003526AF"/>
    <w:rsid w:val="003529D6"/>
    <w:rsid w:val="00352C64"/>
    <w:rsid w:val="0035324D"/>
    <w:rsid w:val="0035522D"/>
    <w:rsid w:val="00355971"/>
    <w:rsid w:val="00356200"/>
    <w:rsid w:val="00357172"/>
    <w:rsid w:val="00357BE0"/>
    <w:rsid w:val="00357E85"/>
    <w:rsid w:val="00360450"/>
    <w:rsid w:val="00360796"/>
    <w:rsid w:val="003613DC"/>
    <w:rsid w:val="0036188E"/>
    <w:rsid w:val="00362B7F"/>
    <w:rsid w:val="00362F1D"/>
    <w:rsid w:val="00362F6D"/>
    <w:rsid w:val="00363A52"/>
    <w:rsid w:val="003645FF"/>
    <w:rsid w:val="003658B4"/>
    <w:rsid w:val="00366439"/>
    <w:rsid w:val="00367591"/>
    <w:rsid w:val="00370580"/>
    <w:rsid w:val="0037167C"/>
    <w:rsid w:val="00371B45"/>
    <w:rsid w:val="00371FA8"/>
    <w:rsid w:val="003724DF"/>
    <w:rsid w:val="003727F1"/>
    <w:rsid w:val="003728DC"/>
    <w:rsid w:val="00373B3A"/>
    <w:rsid w:val="0037488E"/>
    <w:rsid w:val="00375A7B"/>
    <w:rsid w:val="00375C8A"/>
    <w:rsid w:val="003771E0"/>
    <w:rsid w:val="00377771"/>
    <w:rsid w:val="003800A2"/>
    <w:rsid w:val="00380363"/>
    <w:rsid w:val="0038042D"/>
    <w:rsid w:val="00380DFC"/>
    <w:rsid w:val="00381066"/>
    <w:rsid w:val="00381605"/>
    <w:rsid w:val="003818BF"/>
    <w:rsid w:val="00381EF7"/>
    <w:rsid w:val="00383984"/>
    <w:rsid w:val="00384192"/>
    <w:rsid w:val="003849B6"/>
    <w:rsid w:val="00385A8E"/>
    <w:rsid w:val="00385EFC"/>
    <w:rsid w:val="003864AB"/>
    <w:rsid w:val="00386B71"/>
    <w:rsid w:val="00390300"/>
    <w:rsid w:val="00390D9B"/>
    <w:rsid w:val="00393671"/>
    <w:rsid w:val="00394072"/>
    <w:rsid w:val="0039575D"/>
    <w:rsid w:val="003966DE"/>
    <w:rsid w:val="00396EA5"/>
    <w:rsid w:val="003976AB"/>
    <w:rsid w:val="003A17DD"/>
    <w:rsid w:val="003A2774"/>
    <w:rsid w:val="003A27A9"/>
    <w:rsid w:val="003A3457"/>
    <w:rsid w:val="003A4B80"/>
    <w:rsid w:val="003A596C"/>
    <w:rsid w:val="003A7C68"/>
    <w:rsid w:val="003B0427"/>
    <w:rsid w:val="003B0C63"/>
    <w:rsid w:val="003B2E1F"/>
    <w:rsid w:val="003B314D"/>
    <w:rsid w:val="003B63F2"/>
    <w:rsid w:val="003B6810"/>
    <w:rsid w:val="003B701A"/>
    <w:rsid w:val="003B7BB5"/>
    <w:rsid w:val="003C0DCD"/>
    <w:rsid w:val="003C18C7"/>
    <w:rsid w:val="003C2E0F"/>
    <w:rsid w:val="003C355E"/>
    <w:rsid w:val="003C3C20"/>
    <w:rsid w:val="003C5358"/>
    <w:rsid w:val="003C57EE"/>
    <w:rsid w:val="003C58C9"/>
    <w:rsid w:val="003C5D6B"/>
    <w:rsid w:val="003D13E9"/>
    <w:rsid w:val="003D1ADC"/>
    <w:rsid w:val="003D26CD"/>
    <w:rsid w:val="003D3020"/>
    <w:rsid w:val="003D3462"/>
    <w:rsid w:val="003D3D60"/>
    <w:rsid w:val="003D5ECE"/>
    <w:rsid w:val="003D6012"/>
    <w:rsid w:val="003E0C9B"/>
    <w:rsid w:val="003E0E8A"/>
    <w:rsid w:val="003E0F3A"/>
    <w:rsid w:val="003E163D"/>
    <w:rsid w:val="003E3728"/>
    <w:rsid w:val="003E3AF8"/>
    <w:rsid w:val="003E3B6D"/>
    <w:rsid w:val="003E3C15"/>
    <w:rsid w:val="003E3D5A"/>
    <w:rsid w:val="003E4787"/>
    <w:rsid w:val="003E496C"/>
    <w:rsid w:val="003E71DB"/>
    <w:rsid w:val="003E7312"/>
    <w:rsid w:val="003F0174"/>
    <w:rsid w:val="003F0D50"/>
    <w:rsid w:val="003F1179"/>
    <w:rsid w:val="003F197E"/>
    <w:rsid w:val="003F2ABD"/>
    <w:rsid w:val="003F4484"/>
    <w:rsid w:val="003F462C"/>
    <w:rsid w:val="003F5620"/>
    <w:rsid w:val="003F5EC4"/>
    <w:rsid w:val="003F6A82"/>
    <w:rsid w:val="003F6DCC"/>
    <w:rsid w:val="003F79B7"/>
    <w:rsid w:val="004012AB"/>
    <w:rsid w:val="00402385"/>
    <w:rsid w:val="00402482"/>
    <w:rsid w:val="00402499"/>
    <w:rsid w:val="00402C12"/>
    <w:rsid w:val="004033E0"/>
    <w:rsid w:val="00403D09"/>
    <w:rsid w:val="004049FE"/>
    <w:rsid w:val="00404D2A"/>
    <w:rsid w:val="00405C81"/>
    <w:rsid w:val="004068A5"/>
    <w:rsid w:val="00407966"/>
    <w:rsid w:val="00410148"/>
    <w:rsid w:val="0041155F"/>
    <w:rsid w:val="00411686"/>
    <w:rsid w:val="0041401E"/>
    <w:rsid w:val="004151EF"/>
    <w:rsid w:val="00415772"/>
    <w:rsid w:val="004162A0"/>
    <w:rsid w:val="004175DD"/>
    <w:rsid w:val="00417CF3"/>
    <w:rsid w:val="00421CFE"/>
    <w:rsid w:val="00422344"/>
    <w:rsid w:val="00422831"/>
    <w:rsid w:val="0042360B"/>
    <w:rsid w:val="004238AF"/>
    <w:rsid w:val="00423914"/>
    <w:rsid w:val="0042408B"/>
    <w:rsid w:val="004242C0"/>
    <w:rsid w:val="00424ED6"/>
    <w:rsid w:val="004250A3"/>
    <w:rsid w:val="00425260"/>
    <w:rsid w:val="00425271"/>
    <w:rsid w:val="00425C7D"/>
    <w:rsid w:val="004260BA"/>
    <w:rsid w:val="004269F0"/>
    <w:rsid w:val="00426B98"/>
    <w:rsid w:val="00430A45"/>
    <w:rsid w:val="00431B9F"/>
    <w:rsid w:val="004321C5"/>
    <w:rsid w:val="00432C03"/>
    <w:rsid w:val="00433EB0"/>
    <w:rsid w:val="00433FB7"/>
    <w:rsid w:val="00436508"/>
    <w:rsid w:val="00442AD5"/>
    <w:rsid w:val="004439A8"/>
    <w:rsid w:val="004442A6"/>
    <w:rsid w:val="004442CF"/>
    <w:rsid w:val="00444522"/>
    <w:rsid w:val="00444BF8"/>
    <w:rsid w:val="00446014"/>
    <w:rsid w:val="004461A1"/>
    <w:rsid w:val="0044629F"/>
    <w:rsid w:val="00447182"/>
    <w:rsid w:val="00447643"/>
    <w:rsid w:val="0044790E"/>
    <w:rsid w:val="004515D8"/>
    <w:rsid w:val="00452633"/>
    <w:rsid w:val="004545F8"/>
    <w:rsid w:val="00454BE9"/>
    <w:rsid w:val="0045525D"/>
    <w:rsid w:val="0045594C"/>
    <w:rsid w:val="00455ABF"/>
    <w:rsid w:val="00455CB4"/>
    <w:rsid w:val="00456871"/>
    <w:rsid w:val="00456CA6"/>
    <w:rsid w:val="00457144"/>
    <w:rsid w:val="0045759F"/>
    <w:rsid w:val="00457EF6"/>
    <w:rsid w:val="00460284"/>
    <w:rsid w:val="00460D90"/>
    <w:rsid w:val="00460EC8"/>
    <w:rsid w:val="0046163C"/>
    <w:rsid w:val="0046297E"/>
    <w:rsid w:val="00463235"/>
    <w:rsid w:val="004636F4"/>
    <w:rsid w:val="00463EBC"/>
    <w:rsid w:val="004646CE"/>
    <w:rsid w:val="00464C7E"/>
    <w:rsid w:val="00464E7D"/>
    <w:rsid w:val="0046675F"/>
    <w:rsid w:val="00470973"/>
    <w:rsid w:val="00470BA0"/>
    <w:rsid w:val="00471B28"/>
    <w:rsid w:val="00472531"/>
    <w:rsid w:val="00472699"/>
    <w:rsid w:val="00472832"/>
    <w:rsid w:val="004736D2"/>
    <w:rsid w:val="00473C32"/>
    <w:rsid w:val="00473EC0"/>
    <w:rsid w:val="00475184"/>
    <w:rsid w:val="0047523C"/>
    <w:rsid w:val="004765C6"/>
    <w:rsid w:val="00477CA2"/>
    <w:rsid w:val="00480990"/>
    <w:rsid w:val="0048156E"/>
    <w:rsid w:val="00481EB5"/>
    <w:rsid w:val="00481ECC"/>
    <w:rsid w:val="00482B31"/>
    <w:rsid w:val="00482DA2"/>
    <w:rsid w:val="00485A18"/>
    <w:rsid w:val="00485CC2"/>
    <w:rsid w:val="00485EDF"/>
    <w:rsid w:val="0048658A"/>
    <w:rsid w:val="00486676"/>
    <w:rsid w:val="004869AA"/>
    <w:rsid w:val="0048728F"/>
    <w:rsid w:val="00490220"/>
    <w:rsid w:val="00490792"/>
    <w:rsid w:val="004907EF"/>
    <w:rsid w:val="00491265"/>
    <w:rsid w:val="00491AF0"/>
    <w:rsid w:val="004927E7"/>
    <w:rsid w:val="004931C3"/>
    <w:rsid w:val="00494168"/>
    <w:rsid w:val="00494875"/>
    <w:rsid w:val="0049597A"/>
    <w:rsid w:val="00495E88"/>
    <w:rsid w:val="004961E3"/>
    <w:rsid w:val="0049673E"/>
    <w:rsid w:val="00496F50"/>
    <w:rsid w:val="004977ED"/>
    <w:rsid w:val="004A1E61"/>
    <w:rsid w:val="004A35D7"/>
    <w:rsid w:val="004A36D4"/>
    <w:rsid w:val="004A3FF9"/>
    <w:rsid w:val="004A45E4"/>
    <w:rsid w:val="004A4BC5"/>
    <w:rsid w:val="004A54F3"/>
    <w:rsid w:val="004A57FA"/>
    <w:rsid w:val="004A5BFB"/>
    <w:rsid w:val="004A68CE"/>
    <w:rsid w:val="004A6FCB"/>
    <w:rsid w:val="004A77F8"/>
    <w:rsid w:val="004B0A6E"/>
    <w:rsid w:val="004B1134"/>
    <w:rsid w:val="004B18EA"/>
    <w:rsid w:val="004B1B68"/>
    <w:rsid w:val="004B1DE6"/>
    <w:rsid w:val="004B1F1E"/>
    <w:rsid w:val="004B1F7C"/>
    <w:rsid w:val="004B2521"/>
    <w:rsid w:val="004B3E90"/>
    <w:rsid w:val="004B3F22"/>
    <w:rsid w:val="004B50A6"/>
    <w:rsid w:val="004B51E3"/>
    <w:rsid w:val="004B5A0B"/>
    <w:rsid w:val="004B5F28"/>
    <w:rsid w:val="004C00C3"/>
    <w:rsid w:val="004C0BAC"/>
    <w:rsid w:val="004C0BD9"/>
    <w:rsid w:val="004C171D"/>
    <w:rsid w:val="004C27D1"/>
    <w:rsid w:val="004C305F"/>
    <w:rsid w:val="004C3290"/>
    <w:rsid w:val="004C391E"/>
    <w:rsid w:val="004C546F"/>
    <w:rsid w:val="004C6034"/>
    <w:rsid w:val="004D015F"/>
    <w:rsid w:val="004D0FA1"/>
    <w:rsid w:val="004D0FBF"/>
    <w:rsid w:val="004D104B"/>
    <w:rsid w:val="004D12E5"/>
    <w:rsid w:val="004D22A5"/>
    <w:rsid w:val="004D2764"/>
    <w:rsid w:val="004D2871"/>
    <w:rsid w:val="004D392C"/>
    <w:rsid w:val="004D4429"/>
    <w:rsid w:val="004D4BE2"/>
    <w:rsid w:val="004D4F7A"/>
    <w:rsid w:val="004D5C50"/>
    <w:rsid w:val="004D5F57"/>
    <w:rsid w:val="004D6171"/>
    <w:rsid w:val="004D6A50"/>
    <w:rsid w:val="004D6BAA"/>
    <w:rsid w:val="004D6C42"/>
    <w:rsid w:val="004D7427"/>
    <w:rsid w:val="004E0736"/>
    <w:rsid w:val="004E09FB"/>
    <w:rsid w:val="004E0DA8"/>
    <w:rsid w:val="004E0F8F"/>
    <w:rsid w:val="004E1C1E"/>
    <w:rsid w:val="004E22EF"/>
    <w:rsid w:val="004E2404"/>
    <w:rsid w:val="004E298B"/>
    <w:rsid w:val="004E2BF5"/>
    <w:rsid w:val="004E2E27"/>
    <w:rsid w:val="004E3570"/>
    <w:rsid w:val="004E399D"/>
    <w:rsid w:val="004E3CA9"/>
    <w:rsid w:val="004E4161"/>
    <w:rsid w:val="004E4A0D"/>
    <w:rsid w:val="004E590D"/>
    <w:rsid w:val="004E66AE"/>
    <w:rsid w:val="004E68B1"/>
    <w:rsid w:val="004E721D"/>
    <w:rsid w:val="004E780B"/>
    <w:rsid w:val="004E7E18"/>
    <w:rsid w:val="004F04DE"/>
    <w:rsid w:val="004F06A4"/>
    <w:rsid w:val="004F0BA5"/>
    <w:rsid w:val="004F12D5"/>
    <w:rsid w:val="004F14AD"/>
    <w:rsid w:val="004F18AC"/>
    <w:rsid w:val="004F2310"/>
    <w:rsid w:val="004F3545"/>
    <w:rsid w:val="004F4415"/>
    <w:rsid w:val="004F46C3"/>
    <w:rsid w:val="004F515D"/>
    <w:rsid w:val="004F6E4D"/>
    <w:rsid w:val="004F7ADB"/>
    <w:rsid w:val="005004D0"/>
    <w:rsid w:val="0050073A"/>
    <w:rsid w:val="0050085B"/>
    <w:rsid w:val="00500E5F"/>
    <w:rsid w:val="00500FCF"/>
    <w:rsid w:val="0050121B"/>
    <w:rsid w:val="0050249E"/>
    <w:rsid w:val="00503614"/>
    <w:rsid w:val="005037A2"/>
    <w:rsid w:val="00504112"/>
    <w:rsid w:val="00504F08"/>
    <w:rsid w:val="00505B3B"/>
    <w:rsid w:val="00505D65"/>
    <w:rsid w:val="005076B6"/>
    <w:rsid w:val="00507DFD"/>
    <w:rsid w:val="00510F32"/>
    <w:rsid w:val="005113F6"/>
    <w:rsid w:val="00511A09"/>
    <w:rsid w:val="00512726"/>
    <w:rsid w:val="00513227"/>
    <w:rsid w:val="005133DC"/>
    <w:rsid w:val="00513F89"/>
    <w:rsid w:val="005142F1"/>
    <w:rsid w:val="00515810"/>
    <w:rsid w:val="005226F4"/>
    <w:rsid w:val="00522942"/>
    <w:rsid w:val="00522D0F"/>
    <w:rsid w:val="00523326"/>
    <w:rsid w:val="005240EC"/>
    <w:rsid w:val="00524AE0"/>
    <w:rsid w:val="00526A55"/>
    <w:rsid w:val="00526A65"/>
    <w:rsid w:val="00526C57"/>
    <w:rsid w:val="00530E28"/>
    <w:rsid w:val="00530FE5"/>
    <w:rsid w:val="00531AFD"/>
    <w:rsid w:val="0053266A"/>
    <w:rsid w:val="00533AC0"/>
    <w:rsid w:val="00533B40"/>
    <w:rsid w:val="00533C9D"/>
    <w:rsid w:val="00534079"/>
    <w:rsid w:val="005342CC"/>
    <w:rsid w:val="005353BB"/>
    <w:rsid w:val="005370DE"/>
    <w:rsid w:val="00537B88"/>
    <w:rsid w:val="005406EF"/>
    <w:rsid w:val="00541B64"/>
    <w:rsid w:val="005424B0"/>
    <w:rsid w:val="00542B0B"/>
    <w:rsid w:val="0054311C"/>
    <w:rsid w:val="0054387F"/>
    <w:rsid w:val="00543C5D"/>
    <w:rsid w:val="00546670"/>
    <w:rsid w:val="00546BFF"/>
    <w:rsid w:val="00546C13"/>
    <w:rsid w:val="00546C7D"/>
    <w:rsid w:val="00546E2C"/>
    <w:rsid w:val="005509C1"/>
    <w:rsid w:val="00550DCC"/>
    <w:rsid w:val="00551D7F"/>
    <w:rsid w:val="00551E3F"/>
    <w:rsid w:val="00551F00"/>
    <w:rsid w:val="0055339A"/>
    <w:rsid w:val="005534D5"/>
    <w:rsid w:val="0055392E"/>
    <w:rsid w:val="00553CC0"/>
    <w:rsid w:val="00553E0A"/>
    <w:rsid w:val="00554163"/>
    <w:rsid w:val="005543EB"/>
    <w:rsid w:val="00554666"/>
    <w:rsid w:val="00555154"/>
    <w:rsid w:val="0055606D"/>
    <w:rsid w:val="0055608E"/>
    <w:rsid w:val="00556792"/>
    <w:rsid w:val="00557407"/>
    <w:rsid w:val="00557846"/>
    <w:rsid w:val="00557D1C"/>
    <w:rsid w:val="00560004"/>
    <w:rsid w:val="00560488"/>
    <w:rsid w:val="00561CBB"/>
    <w:rsid w:val="00562233"/>
    <w:rsid w:val="005626E2"/>
    <w:rsid w:val="00562976"/>
    <w:rsid w:val="00563104"/>
    <w:rsid w:val="00563350"/>
    <w:rsid w:val="0056380E"/>
    <w:rsid w:val="005638B2"/>
    <w:rsid w:val="0056574A"/>
    <w:rsid w:val="00565D17"/>
    <w:rsid w:val="00566277"/>
    <w:rsid w:val="0056660B"/>
    <w:rsid w:val="0056675D"/>
    <w:rsid w:val="00567B28"/>
    <w:rsid w:val="005719BF"/>
    <w:rsid w:val="00571B9F"/>
    <w:rsid w:val="00571EC1"/>
    <w:rsid w:val="00572959"/>
    <w:rsid w:val="00574A05"/>
    <w:rsid w:val="00575EC9"/>
    <w:rsid w:val="00575F6B"/>
    <w:rsid w:val="005762FA"/>
    <w:rsid w:val="0057778B"/>
    <w:rsid w:val="00580676"/>
    <w:rsid w:val="00581005"/>
    <w:rsid w:val="00581568"/>
    <w:rsid w:val="00581B21"/>
    <w:rsid w:val="0058216F"/>
    <w:rsid w:val="00582189"/>
    <w:rsid w:val="0058248F"/>
    <w:rsid w:val="00582672"/>
    <w:rsid w:val="0058291D"/>
    <w:rsid w:val="00582E50"/>
    <w:rsid w:val="00583015"/>
    <w:rsid w:val="00583EF2"/>
    <w:rsid w:val="00585EC5"/>
    <w:rsid w:val="0058620B"/>
    <w:rsid w:val="0058695A"/>
    <w:rsid w:val="00586B08"/>
    <w:rsid w:val="00586C2C"/>
    <w:rsid w:val="00587D82"/>
    <w:rsid w:val="0059091F"/>
    <w:rsid w:val="00591003"/>
    <w:rsid w:val="00591EB5"/>
    <w:rsid w:val="005923FF"/>
    <w:rsid w:val="00592EB3"/>
    <w:rsid w:val="00593005"/>
    <w:rsid w:val="0059349A"/>
    <w:rsid w:val="005943E1"/>
    <w:rsid w:val="00594802"/>
    <w:rsid w:val="00594AFC"/>
    <w:rsid w:val="00594F81"/>
    <w:rsid w:val="00595C79"/>
    <w:rsid w:val="00595F1F"/>
    <w:rsid w:val="00596441"/>
    <w:rsid w:val="00597764"/>
    <w:rsid w:val="00597F5D"/>
    <w:rsid w:val="005A20F9"/>
    <w:rsid w:val="005A2102"/>
    <w:rsid w:val="005A2590"/>
    <w:rsid w:val="005A3185"/>
    <w:rsid w:val="005A3BB4"/>
    <w:rsid w:val="005A3BF8"/>
    <w:rsid w:val="005A5112"/>
    <w:rsid w:val="005A55F6"/>
    <w:rsid w:val="005A5644"/>
    <w:rsid w:val="005A758D"/>
    <w:rsid w:val="005B0293"/>
    <w:rsid w:val="005B05CC"/>
    <w:rsid w:val="005B12AE"/>
    <w:rsid w:val="005B232F"/>
    <w:rsid w:val="005B2982"/>
    <w:rsid w:val="005B360C"/>
    <w:rsid w:val="005B3679"/>
    <w:rsid w:val="005B3BE8"/>
    <w:rsid w:val="005B3EB1"/>
    <w:rsid w:val="005B41BB"/>
    <w:rsid w:val="005B43A4"/>
    <w:rsid w:val="005B6377"/>
    <w:rsid w:val="005B7121"/>
    <w:rsid w:val="005C0FD8"/>
    <w:rsid w:val="005C18CE"/>
    <w:rsid w:val="005C44F2"/>
    <w:rsid w:val="005C5943"/>
    <w:rsid w:val="005C5C1A"/>
    <w:rsid w:val="005C60C0"/>
    <w:rsid w:val="005C6DA2"/>
    <w:rsid w:val="005C7AA4"/>
    <w:rsid w:val="005D1065"/>
    <w:rsid w:val="005D1C1B"/>
    <w:rsid w:val="005D230F"/>
    <w:rsid w:val="005D2387"/>
    <w:rsid w:val="005D293E"/>
    <w:rsid w:val="005D2FDD"/>
    <w:rsid w:val="005D404E"/>
    <w:rsid w:val="005D53D3"/>
    <w:rsid w:val="005D5F3E"/>
    <w:rsid w:val="005D61BB"/>
    <w:rsid w:val="005D6637"/>
    <w:rsid w:val="005D71AB"/>
    <w:rsid w:val="005D7E59"/>
    <w:rsid w:val="005E12F3"/>
    <w:rsid w:val="005E2785"/>
    <w:rsid w:val="005E2934"/>
    <w:rsid w:val="005E37EB"/>
    <w:rsid w:val="005E3EB8"/>
    <w:rsid w:val="005E4D4E"/>
    <w:rsid w:val="005E59B9"/>
    <w:rsid w:val="005E6659"/>
    <w:rsid w:val="005E6C28"/>
    <w:rsid w:val="005E6EF6"/>
    <w:rsid w:val="005E7E5A"/>
    <w:rsid w:val="005F0756"/>
    <w:rsid w:val="005F0B48"/>
    <w:rsid w:val="005F10EB"/>
    <w:rsid w:val="005F22B2"/>
    <w:rsid w:val="005F22F1"/>
    <w:rsid w:val="005F3424"/>
    <w:rsid w:val="005F365C"/>
    <w:rsid w:val="005F54AC"/>
    <w:rsid w:val="005F60E6"/>
    <w:rsid w:val="005F630E"/>
    <w:rsid w:val="005F73E0"/>
    <w:rsid w:val="005F77ED"/>
    <w:rsid w:val="005F7BCC"/>
    <w:rsid w:val="006009FD"/>
    <w:rsid w:val="00600EF0"/>
    <w:rsid w:val="0060146E"/>
    <w:rsid w:val="006036A3"/>
    <w:rsid w:val="00605BD7"/>
    <w:rsid w:val="00606C44"/>
    <w:rsid w:val="00607309"/>
    <w:rsid w:val="006074F6"/>
    <w:rsid w:val="0061115A"/>
    <w:rsid w:val="006112EF"/>
    <w:rsid w:val="00611B77"/>
    <w:rsid w:val="006121EB"/>
    <w:rsid w:val="00613C0B"/>
    <w:rsid w:val="00613FA1"/>
    <w:rsid w:val="006140B5"/>
    <w:rsid w:val="006145C8"/>
    <w:rsid w:val="00615DE0"/>
    <w:rsid w:val="00617998"/>
    <w:rsid w:val="006201C6"/>
    <w:rsid w:val="0062171A"/>
    <w:rsid w:val="00622450"/>
    <w:rsid w:val="00623342"/>
    <w:rsid w:val="00623BD7"/>
    <w:rsid w:val="0062504A"/>
    <w:rsid w:val="00625623"/>
    <w:rsid w:val="00625E2F"/>
    <w:rsid w:val="00625ECD"/>
    <w:rsid w:val="006270ED"/>
    <w:rsid w:val="006272A5"/>
    <w:rsid w:val="006302B2"/>
    <w:rsid w:val="006304ED"/>
    <w:rsid w:val="00630572"/>
    <w:rsid w:val="00632C6A"/>
    <w:rsid w:val="006331A1"/>
    <w:rsid w:val="006331CC"/>
    <w:rsid w:val="006338EE"/>
    <w:rsid w:val="00634018"/>
    <w:rsid w:val="006347B2"/>
    <w:rsid w:val="0063541C"/>
    <w:rsid w:val="00635D45"/>
    <w:rsid w:val="00637EA8"/>
    <w:rsid w:val="00640294"/>
    <w:rsid w:val="00640430"/>
    <w:rsid w:val="006404D6"/>
    <w:rsid w:val="00640BCA"/>
    <w:rsid w:val="006428CC"/>
    <w:rsid w:val="00642A4D"/>
    <w:rsid w:val="00642BE5"/>
    <w:rsid w:val="0064487A"/>
    <w:rsid w:val="0064502D"/>
    <w:rsid w:val="006462DA"/>
    <w:rsid w:val="00647AB8"/>
    <w:rsid w:val="00651EDC"/>
    <w:rsid w:val="0065304D"/>
    <w:rsid w:val="00653379"/>
    <w:rsid w:val="0065379E"/>
    <w:rsid w:val="0065395E"/>
    <w:rsid w:val="00654496"/>
    <w:rsid w:val="00654713"/>
    <w:rsid w:val="00655148"/>
    <w:rsid w:val="006552A0"/>
    <w:rsid w:val="00655683"/>
    <w:rsid w:val="00655B56"/>
    <w:rsid w:val="00655BA4"/>
    <w:rsid w:val="006571DB"/>
    <w:rsid w:val="00657F89"/>
    <w:rsid w:val="0065AD7D"/>
    <w:rsid w:val="0066016B"/>
    <w:rsid w:val="00660572"/>
    <w:rsid w:val="006605BA"/>
    <w:rsid w:val="00661324"/>
    <w:rsid w:val="00661B8F"/>
    <w:rsid w:val="00661DAC"/>
    <w:rsid w:val="006629F4"/>
    <w:rsid w:val="00663D10"/>
    <w:rsid w:val="00663FE4"/>
    <w:rsid w:val="0066402F"/>
    <w:rsid w:val="0066426C"/>
    <w:rsid w:val="00664A04"/>
    <w:rsid w:val="00664BB1"/>
    <w:rsid w:val="006656FF"/>
    <w:rsid w:val="0066582E"/>
    <w:rsid w:val="00666B31"/>
    <w:rsid w:val="00666FEF"/>
    <w:rsid w:val="0066740E"/>
    <w:rsid w:val="006708EE"/>
    <w:rsid w:val="006726BE"/>
    <w:rsid w:val="0067270B"/>
    <w:rsid w:val="006732AD"/>
    <w:rsid w:val="006743FB"/>
    <w:rsid w:val="00677C7B"/>
    <w:rsid w:val="00681589"/>
    <w:rsid w:val="00682B38"/>
    <w:rsid w:val="00682D99"/>
    <w:rsid w:val="006838BC"/>
    <w:rsid w:val="00685320"/>
    <w:rsid w:val="00686782"/>
    <w:rsid w:val="00686A73"/>
    <w:rsid w:val="00686BBC"/>
    <w:rsid w:val="006870E8"/>
    <w:rsid w:val="006903E4"/>
    <w:rsid w:val="00691429"/>
    <w:rsid w:val="006914B5"/>
    <w:rsid w:val="0069166C"/>
    <w:rsid w:val="006919F8"/>
    <w:rsid w:val="006931FB"/>
    <w:rsid w:val="00695929"/>
    <w:rsid w:val="00695E41"/>
    <w:rsid w:val="006A07B3"/>
    <w:rsid w:val="006A0BBC"/>
    <w:rsid w:val="006A2012"/>
    <w:rsid w:val="006A2763"/>
    <w:rsid w:val="006A2867"/>
    <w:rsid w:val="006A31F7"/>
    <w:rsid w:val="006A3F7D"/>
    <w:rsid w:val="006A504C"/>
    <w:rsid w:val="006A597C"/>
    <w:rsid w:val="006A63BD"/>
    <w:rsid w:val="006A652A"/>
    <w:rsid w:val="006A7CA4"/>
    <w:rsid w:val="006A7F0E"/>
    <w:rsid w:val="006B02D6"/>
    <w:rsid w:val="006B04F0"/>
    <w:rsid w:val="006B1630"/>
    <w:rsid w:val="006B1715"/>
    <w:rsid w:val="006B1722"/>
    <w:rsid w:val="006B18A9"/>
    <w:rsid w:val="006B22FB"/>
    <w:rsid w:val="006B2604"/>
    <w:rsid w:val="006B31FC"/>
    <w:rsid w:val="006B370B"/>
    <w:rsid w:val="006B3AB1"/>
    <w:rsid w:val="006B4993"/>
    <w:rsid w:val="006B5544"/>
    <w:rsid w:val="006B5C63"/>
    <w:rsid w:val="006B5F76"/>
    <w:rsid w:val="006B6E0E"/>
    <w:rsid w:val="006B76B2"/>
    <w:rsid w:val="006B7B08"/>
    <w:rsid w:val="006C0291"/>
    <w:rsid w:val="006C0CBD"/>
    <w:rsid w:val="006C24D1"/>
    <w:rsid w:val="006C3D7C"/>
    <w:rsid w:val="006C4601"/>
    <w:rsid w:val="006C5275"/>
    <w:rsid w:val="006C6673"/>
    <w:rsid w:val="006C7E7E"/>
    <w:rsid w:val="006D0649"/>
    <w:rsid w:val="006D0761"/>
    <w:rsid w:val="006D093E"/>
    <w:rsid w:val="006D1AE9"/>
    <w:rsid w:val="006D2D5D"/>
    <w:rsid w:val="006D34A4"/>
    <w:rsid w:val="006D399A"/>
    <w:rsid w:val="006D497D"/>
    <w:rsid w:val="006D4A98"/>
    <w:rsid w:val="006D504A"/>
    <w:rsid w:val="006D5431"/>
    <w:rsid w:val="006D5D09"/>
    <w:rsid w:val="006D62A0"/>
    <w:rsid w:val="006D62E0"/>
    <w:rsid w:val="006D6B98"/>
    <w:rsid w:val="006D736F"/>
    <w:rsid w:val="006D782C"/>
    <w:rsid w:val="006E0047"/>
    <w:rsid w:val="006E0B17"/>
    <w:rsid w:val="006E17E4"/>
    <w:rsid w:val="006E2C49"/>
    <w:rsid w:val="006E3667"/>
    <w:rsid w:val="006E3AC9"/>
    <w:rsid w:val="006E525A"/>
    <w:rsid w:val="006E5FF1"/>
    <w:rsid w:val="006E620B"/>
    <w:rsid w:val="006E6B8F"/>
    <w:rsid w:val="006E6BA4"/>
    <w:rsid w:val="006E75C5"/>
    <w:rsid w:val="006F2502"/>
    <w:rsid w:val="006F2C10"/>
    <w:rsid w:val="006F37CE"/>
    <w:rsid w:val="006F3FF9"/>
    <w:rsid w:val="006F4215"/>
    <w:rsid w:val="006F4573"/>
    <w:rsid w:val="006F4652"/>
    <w:rsid w:val="006F4CCC"/>
    <w:rsid w:val="006F6482"/>
    <w:rsid w:val="006F6929"/>
    <w:rsid w:val="006F790F"/>
    <w:rsid w:val="006F7BEC"/>
    <w:rsid w:val="007007C0"/>
    <w:rsid w:val="00701AEC"/>
    <w:rsid w:val="00702425"/>
    <w:rsid w:val="007026D0"/>
    <w:rsid w:val="007030F4"/>
    <w:rsid w:val="0070399D"/>
    <w:rsid w:val="007039E5"/>
    <w:rsid w:val="00703A99"/>
    <w:rsid w:val="0070475A"/>
    <w:rsid w:val="007061F0"/>
    <w:rsid w:val="00706D2D"/>
    <w:rsid w:val="00706E06"/>
    <w:rsid w:val="00706EAA"/>
    <w:rsid w:val="007075B1"/>
    <w:rsid w:val="00707B80"/>
    <w:rsid w:val="007104F5"/>
    <w:rsid w:val="00710E27"/>
    <w:rsid w:val="007116C8"/>
    <w:rsid w:val="00713401"/>
    <w:rsid w:val="00713AA1"/>
    <w:rsid w:val="00713D0A"/>
    <w:rsid w:val="00714846"/>
    <w:rsid w:val="007148A4"/>
    <w:rsid w:val="00715152"/>
    <w:rsid w:val="00715886"/>
    <w:rsid w:val="007158C1"/>
    <w:rsid w:val="007161A4"/>
    <w:rsid w:val="00716C1A"/>
    <w:rsid w:val="0071748E"/>
    <w:rsid w:val="00717CBE"/>
    <w:rsid w:val="00720F51"/>
    <w:rsid w:val="00720F90"/>
    <w:rsid w:val="007219C1"/>
    <w:rsid w:val="00721E07"/>
    <w:rsid w:val="0072336C"/>
    <w:rsid w:val="007233E1"/>
    <w:rsid w:val="0072388D"/>
    <w:rsid w:val="007238F9"/>
    <w:rsid w:val="00724E3F"/>
    <w:rsid w:val="0072532D"/>
    <w:rsid w:val="00725401"/>
    <w:rsid w:val="007257D4"/>
    <w:rsid w:val="00726404"/>
    <w:rsid w:val="00726849"/>
    <w:rsid w:val="00726ADA"/>
    <w:rsid w:val="0073017B"/>
    <w:rsid w:val="00730E22"/>
    <w:rsid w:val="0073120B"/>
    <w:rsid w:val="00731918"/>
    <w:rsid w:val="007319A1"/>
    <w:rsid w:val="00731B3B"/>
    <w:rsid w:val="0073283D"/>
    <w:rsid w:val="00734CDC"/>
    <w:rsid w:val="00737D1B"/>
    <w:rsid w:val="00740A75"/>
    <w:rsid w:val="00742A84"/>
    <w:rsid w:val="00742D2A"/>
    <w:rsid w:val="007435AD"/>
    <w:rsid w:val="007440CA"/>
    <w:rsid w:val="007447EC"/>
    <w:rsid w:val="0074533E"/>
    <w:rsid w:val="00745560"/>
    <w:rsid w:val="00745A4C"/>
    <w:rsid w:val="00745DA5"/>
    <w:rsid w:val="00746B89"/>
    <w:rsid w:val="00746EFD"/>
    <w:rsid w:val="00747955"/>
    <w:rsid w:val="00747994"/>
    <w:rsid w:val="00747ABE"/>
    <w:rsid w:val="00747B9B"/>
    <w:rsid w:val="00750F79"/>
    <w:rsid w:val="00750F7E"/>
    <w:rsid w:val="007514BC"/>
    <w:rsid w:val="007516DE"/>
    <w:rsid w:val="00752A83"/>
    <w:rsid w:val="00754D6A"/>
    <w:rsid w:val="00754EAD"/>
    <w:rsid w:val="007551DC"/>
    <w:rsid w:val="00755501"/>
    <w:rsid w:val="00755FD0"/>
    <w:rsid w:val="00756382"/>
    <w:rsid w:val="007566A7"/>
    <w:rsid w:val="0075732D"/>
    <w:rsid w:val="0075735D"/>
    <w:rsid w:val="00760BD1"/>
    <w:rsid w:val="007612E1"/>
    <w:rsid w:val="00761755"/>
    <w:rsid w:val="0076388F"/>
    <w:rsid w:val="00764079"/>
    <w:rsid w:val="00764B61"/>
    <w:rsid w:val="0076563B"/>
    <w:rsid w:val="007657F2"/>
    <w:rsid w:val="0076598C"/>
    <w:rsid w:val="007666B2"/>
    <w:rsid w:val="00767409"/>
    <w:rsid w:val="007676A0"/>
    <w:rsid w:val="0076771B"/>
    <w:rsid w:val="00767A59"/>
    <w:rsid w:val="00771950"/>
    <w:rsid w:val="00771D73"/>
    <w:rsid w:val="00772E35"/>
    <w:rsid w:val="00774422"/>
    <w:rsid w:val="0077471E"/>
    <w:rsid w:val="00774F1A"/>
    <w:rsid w:val="00775A7E"/>
    <w:rsid w:val="00776C91"/>
    <w:rsid w:val="00776D65"/>
    <w:rsid w:val="00777189"/>
    <w:rsid w:val="0077788A"/>
    <w:rsid w:val="00780523"/>
    <w:rsid w:val="00780C4D"/>
    <w:rsid w:val="00780F18"/>
    <w:rsid w:val="00781343"/>
    <w:rsid w:val="00782037"/>
    <w:rsid w:val="00782500"/>
    <w:rsid w:val="00782D5B"/>
    <w:rsid w:val="00782D84"/>
    <w:rsid w:val="00784727"/>
    <w:rsid w:val="00784D80"/>
    <w:rsid w:val="007850AF"/>
    <w:rsid w:val="00785621"/>
    <w:rsid w:val="0078574B"/>
    <w:rsid w:val="0078675B"/>
    <w:rsid w:val="00786A6E"/>
    <w:rsid w:val="00786CF1"/>
    <w:rsid w:val="007871DB"/>
    <w:rsid w:val="007905FA"/>
    <w:rsid w:val="007907C3"/>
    <w:rsid w:val="00791408"/>
    <w:rsid w:val="00791957"/>
    <w:rsid w:val="00792E25"/>
    <w:rsid w:val="007933B3"/>
    <w:rsid w:val="007949C8"/>
    <w:rsid w:val="007953B0"/>
    <w:rsid w:val="00795E82"/>
    <w:rsid w:val="00795F84"/>
    <w:rsid w:val="007964A6"/>
    <w:rsid w:val="00796DAF"/>
    <w:rsid w:val="007A1A99"/>
    <w:rsid w:val="007A1DAA"/>
    <w:rsid w:val="007A34A2"/>
    <w:rsid w:val="007A3FF9"/>
    <w:rsid w:val="007A5282"/>
    <w:rsid w:val="007A5A68"/>
    <w:rsid w:val="007A60F3"/>
    <w:rsid w:val="007A6252"/>
    <w:rsid w:val="007A6BD7"/>
    <w:rsid w:val="007A72DD"/>
    <w:rsid w:val="007B1495"/>
    <w:rsid w:val="007B185A"/>
    <w:rsid w:val="007B1D43"/>
    <w:rsid w:val="007B29DA"/>
    <w:rsid w:val="007B2F42"/>
    <w:rsid w:val="007B3D59"/>
    <w:rsid w:val="007B4C11"/>
    <w:rsid w:val="007B50B5"/>
    <w:rsid w:val="007B61AE"/>
    <w:rsid w:val="007B798A"/>
    <w:rsid w:val="007B7DB0"/>
    <w:rsid w:val="007C144F"/>
    <w:rsid w:val="007C1B22"/>
    <w:rsid w:val="007C3216"/>
    <w:rsid w:val="007C33EC"/>
    <w:rsid w:val="007C37C0"/>
    <w:rsid w:val="007C3BE6"/>
    <w:rsid w:val="007C50C2"/>
    <w:rsid w:val="007C5F1F"/>
    <w:rsid w:val="007C682C"/>
    <w:rsid w:val="007C74FE"/>
    <w:rsid w:val="007C79F1"/>
    <w:rsid w:val="007D05CA"/>
    <w:rsid w:val="007D1C6D"/>
    <w:rsid w:val="007D34B0"/>
    <w:rsid w:val="007D3793"/>
    <w:rsid w:val="007D3BCE"/>
    <w:rsid w:val="007D428B"/>
    <w:rsid w:val="007D685E"/>
    <w:rsid w:val="007E0258"/>
    <w:rsid w:val="007E0BEB"/>
    <w:rsid w:val="007E1164"/>
    <w:rsid w:val="007E1FD1"/>
    <w:rsid w:val="007E29CF"/>
    <w:rsid w:val="007E3482"/>
    <w:rsid w:val="007E39B2"/>
    <w:rsid w:val="007E3AD3"/>
    <w:rsid w:val="007E3D51"/>
    <w:rsid w:val="007E47DB"/>
    <w:rsid w:val="007E5357"/>
    <w:rsid w:val="007E67E1"/>
    <w:rsid w:val="007E796E"/>
    <w:rsid w:val="007F0AC7"/>
    <w:rsid w:val="007F0C6F"/>
    <w:rsid w:val="007F104A"/>
    <w:rsid w:val="007F1124"/>
    <w:rsid w:val="007F12A3"/>
    <w:rsid w:val="007F14CA"/>
    <w:rsid w:val="007F29C4"/>
    <w:rsid w:val="007F3B3B"/>
    <w:rsid w:val="007F3B61"/>
    <w:rsid w:val="007F435C"/>
    <w:rsid w:val="007F4B41"/>
    <w:rsid w:val="007F5189"/>
    <w:rsid w:val="007F584C"/>
    <w:rsid w:val="007F5AD5"/>
    <w:rsid w:val="007F5D07"/>
    <w:rsid w:val="007F65EA"/>
    <w:rsid w:val="007F731D"/>
    <w:rsid w:val="007F7996"/>
    <w:rsid w:val="00800818"/>
    <w:rsid w:val="00801933"/>
    <w:rsid w:val="00801F14"/>
    <w:rsid w:val="008022BF"/>
    <w:rsid w:val="008026C8"/>
    <w:rsid w:val="00802C28"/>
    <w:rsid w:val="00802EA1"/>
    <w:rsid w:val="00803111"/>
    <w:rsid w:val="00803937"/>
    <w:rsid w:val="0080393D"/>
    <w:rsid w:val="00803CD1"/>
    <w:rsid w:val="00805B0C"/>
    <w:rsid w:val="0080738D"/>
    <w:rsid w:val="008101F7"/>
    <w:rsid w:val="00810B27"/>
    <w:rsid w:val="0081121E"/>
    <w:rsid w:val="00811435"/>
    <w:rsid w:val="00811D6F"/>
    <w:rsid w:val="0081292D"/>
    <w:rsid w:val="0081381F"/>
    <w:rsid w:val="00813BFC"/>
    <w:rsid w:val="00814AC9"/>
    <w:rsid w:val="008152C8"/>
    <w:rsid w:val="008161B9"/>
    <w:rsid w:val="00816A0E"/>
    <w:rsid w:val="00816D7A"/>
    <w:rsid w:val="00817259"/>
    <w:rsid w:val="00817891"/>
    <w:rsid w:val="00817F3B"/>
    <w:rsid w:val="0082031F"/>
    <w:rsid w:val="008208E8"/>
    <w:rsid w:val="0082177F"/>
    <w:rsid w:val="00821870"/>
    <w:rsid w:val="0082231B"/>
    <w:rsid w:val="00822FCA"/>
    <w:rsid w:val="00823646"/>
    <w:rsid w:val="00824B00"/>
    <w:rsid w:val="00824B75"/>
    <w:rsid w:val="0082588F"/>
    <w:rsid w:val="00826373"/>
    <w:rsid w:val="00826490"/>
    <w:rsid w:val="008264C2"/>
    <w:rsid w:val="008302B1"/>
    <w:rsid w:val="00830E0B"/>
    <w:rsid w:val="008319F9"/>
    <w:rsid w:val="00832728"/>
    <w:rsid w:val="008343F8"/>
    <w:rsid w:val="008348AC"/>
    <w:rsid w:val="0083531D"/>
    <w:rsid w:val="0083597F"/>
    <w:rsid w:val="0083662E"/>
    <w:rsid w:val="0083672A"/>
    <w:rsid w:val="008367B3"/>
    <w:rsid w:val="008369B7"/>
    <w:rsid w:val="00837BC7"/>
    <w:rsid w:val="00842B5B"/>
    <w:rsid w:val="008431C0"/>
    <w:rsid w:val="00843EB7"/>
    <w:rsid w:val="00844322"/>
    <w:rsid w:val="00845118"/>
    <w:rsid w:val="0084527C"/>
    <w:rsid w:val="0085034E"/>
    <w:rsid w:val="008507E8"/>
    <w:rsid w:val="00850D7A"/>
    <w:rsid w:val="00852842"/>
    <w:rsid w:val="00852AC4"/>
    <w:rsid w:val="00853043"/>
    <w:rsid w:val="008530D7"/>
    <w:rsid w:val="00854005"/>
    <w:rsid w:val="008542C6"/>
    <w:rsid w:val="00855D5A"/>
    <w:rsid w:val="00855F1E"/>
    <w:rsid w:val="00856054"/>
    <w:rsid w:val="008563E6"/>
    <w:rsid w:val="00856DA6"/>
    <w:rsid w:val="00857BAA"/>
    <w:rsid w:val="008604E1"/>
    <w:rsid w:val="00860697"/>
    <w:rsid w:val="008612FF"/>
    <w:rsid w:val="0086142C"/>
    <w:rsid w:val="0086232C"/>
    <w:rsid w:val="00862452"/>
    <w:rsid w:val="008627CD"/>
    <w:rsid w:val="0086283F"/>
    <w:rsid w:val="008639A8"/>
    <w:rsid w:val="0086414E"/>
    <w:rsid w:val="0086480A"/>
    <w:rsid w:val="00866D54"/>
    <w:rsid w:val="00867F3A"/>
    <w:rsid w:val="0087126D"/>
    <w:rsid w:val="00871C28"/>
    <w:rsid w:val="00871D6C"/>
    <w:rsid w:val="00872164"/>
    <w:rsid w:val="00872AC1"/>
    <w:rsid w:val="00872C55"/>
    <w:rsid w:val="008736CE"/>
    <w:rsid w:val="00873F35"/>
    <w:rsid w:val="00875075"/>
    <w:rsid w:val="00875645"/>
    <w:rsid w:val="00875EA7"/>
    <w:rsid w:val="0087695D"/>
    <w:rsid w:val="00877CAE"/>
    <w:rsid w:val="008822C8"/>
    <w:rsid w:val="00882F5B"/>
    <w:rsid w:val="00883185"/>
    <w:rsid w:val="00883B1B"/>
    <w:rsid w:val="0088501B"/>
    <w:rsid w:val="0088503C"/>
    <w:rsid w:val="00886105"/>
    <w:rsid w:val="008863B3"/>
    <w:rsid w:val="00886A36"/>
    <w:rsid w:val="008900A9"/>
    <w:rsid w:val="0089037F"/>
    <w:rsid w:val="00890D91"/>
    <w:rsid w:val="008910A0"/>
    <w:rsid w:val="00891B55"/>
    <w:rsid w:val="00891B6E"/>
    <w:rsid w:val="00892671"/>
    <w:rsid w:val="00892A47"/>
    <w:rsid w:val="00892DC0"/>
    <w:rsid w:val="0089330A"/>
    <w:rsid w:val="00893999"/>
    <w:rsid w:val="00893BB4"/>
    <w:rsid w:val="00894EDC"/>
    <w:rsid w:val="00895339"/>
    <w:rsid w:val="008956A6"/>
    <w:rsid w:val="00895839"/>
    <w:rsid w:val="0089720B"/>
    <w:rsid w:val="00897264"/>
    <w:rsid w:val="008977C6"/>
    <w:rsid w:val="0089789B"/>
    <w:rsid w:val="008978C5"/>
    <w:rsid w:val="00897E24"/>
    <w:rsid w:val="008A1296"/>
    <w:rsid w:val="008A1900"/>
    <w:rsid w:val="008A1D28"/>
    <w:rsid w:val="008A2E6B"/>
    <w:rsid w:val="008A3DA8"/>
    <w:rsid w:val="008A3E76"/>
    <w:rsid w:val="008A40F3"/>
    <w:rsid w:val="008A4242"/>
    <w:rsid w:val="008A44C7"/>
    <w:rsid w:val="008A4E79"/>
    <w:rsid w:val="008A540B"/>
    <w:rsid w:val="008A547F"/>
    <w:rsid w:val="008A5B94"/>
    <w:rsid w:val="008A69DC"/>
    <w:rsid w:val="008A742C"/>
    <w:rsid w:val="008A7E09"/>
    <w:rsid w:val="008A7FE1"/>
    <w:rsid w:val="008B02BF"/>
    <w:rsid w:val="008B046C"/>
    <w:rsid w:val="008B13A1"/>
    <w:rsid w:val="008B22AA"/>
    <w:rsid w:val="008B2770"/>
    <w:rsid w:val="008B2AF6"/>
    <w:rsid w:val="008B2EE9"/>
    <w:rsid w:val="008B3566"/>
    <w:rsid w:val="008B3DD7"/>
    <w:rsid w:val="008B4055"/>
    <w:rsid w:val="008B43DD"/>
    <w:rsid w:val="008B4741"/>
    <w:rsid w:val="008B4AEE"/>
    <w:rsid w:val="008B4C52"/>
    <w:rsid w:val="008B64F5"/>
    <w:rsid w:val="008C0F2E"/>
    <w:rsid w:val="008C156D"/>
    <w:rsid w:val="008C1E8A"/>
    <w:rsid w:val="008C218F"/>
    <w:rsid w:val="008C227D"/>
    <w:rsid w:val="008C4017"/>
    <w:rsid w:val="008C4EA2"/>
    <w:rsid w:val="008C5997"/>
    <w:rsid w:val="008C5A31"/>
    <w:rsid w:val="008C5F63"/>
    <w:rsid w:val="008C6801"/>
    <w:rsid w:val="008C69B4"/>
    <w:rsid w:val="008C74E3"/>
    <w:rsid w:val="008C7611"/>
    <w:rsid w:val="008D03BD"/>
    <w:rsid w:val="008D27C7"/>
    <w:rsid w:val="008D30A8"/>
    <w:rsid w:val="008D31B6"/>
    <w:rsid w:val="008D3C45"/>
    <w:rsid w:val="008D4097"/>
    <w:rsid w:val="008D6842"/>
    <w:rsid w:val="008D6E8F"/>
    <w:rsid w:val="008E1AEE"/>
    <w:rsid w:val="008E33CD"/>
    <w:rsid w:val="008E3A89"/>
    <w:rsid w:val="008E484E"/>
    <w:rsid w:val="008E543D"/>
    <w:rsid w:val="008E56DF"/>
    <w:rsid w:val="008E6370"/>
    <w:rsid w:val="008E643D"/>
    <w:rsid w:val="008E663C"/>
    <w:rsid w:val="008E7102"/>
    <w:rsid w:val="008F172F"/>
    <w:rsid w:val="008F1C8F"/>
    <w:rsid w:val="008F1E66"/>
    <w:rsid w:val="008F22F7"/>
    <w:rsid w:val="008F28F7"/>
    <w:rsid w:val="008F3628"/>
    <w:rsid w:val="008F3664"/>
    <w:rsid w:val="008F3ECC"/>
    <w:rsid w:val="008F40E4"/>
    <w:rsid w:val="008F4D3F"/>
    <w:rsid w:val="008F5211"/>
    <w:rsid w:val="008F5476"/>
    <w:rsid w:val="008F7199"/>
    <w:rsid w:val="008F7CD9"/>
    <w:rsid w:val="008F7FF9"/>
    <w:rsid w:val="00900DEF"/>
    <w:rsid w:val="00900F6F"/>
    <w:rsid w:val="00901A07"/>
    <w:rsid w:val="00901BB5"/>
    <w:rsid w:val="009021EA"/>
    <w:rsid w:val="00902ABC"/>
    <w:rsid w:val="0090424A"/>
    <w:rsid w:val="00904659"/>
    <w:rsid w:val="00904AAA"/>
    <w:rsid w:val="00904FDC"/>
    <w:rsid w:val="00905053"/>
    <w:rsid w:val="00905846"/>
    <w:rsid w:val="00905F9E"/>
    <w:rsid w:val="009064B7"/>
    <w:rsid w:val="00906897"/>
    <w:rsid w:val="00906B1D"/>
    <w:rsid w:val="00906D33"/>
    <w:rsid w:val="009070AD"/>
    <w:rsid w:val="00907994"/>
    <w:rsid w:val="0091056C"/>
    <w:rsid w:val="00910C5D"/>
    <w:rsid w:val="00911113"/>
    <w:rsid w:val="0091122A"/>
    <w:rsid w:val="00911CA9"/>
    <w:rsid w:val="009129CC"/>
    <w:rsid w:val="00913840"/>
    <w:rsid w:val="009146C0"/>
    <w:rsid w:val="009151A1"/>
    <w:rsid w:val="009156A9"/>
    <w:rsid w:val="009165A1"/>
    <w:rsid w:val="00917651"/>
    <w:rsid w:val="0092051B"/>
    <w:rsid w:val="009207E2"/>
    <w:rsid w:val="009215BF"/>
    <w:rsid w:val="00921CC9"/>
    <w:rsid w:val="00923287"/>
    <w:rsid w:val="00923B8D"/>
    <w:rsid w:val="00924241"/>
    <w:rsid w:val="00926703"/>
    <w:rsid w:val="009270FB"/>
    <w:rsid w:val="00927378"/>
    <w:rsid w:val="00927BD2"/>
    <w:rsid w:val="00930A8F"/>
    <w:rsid w:val="009316BB"/>
    <w:rsid w:val="009326E1"/>
    <w:rsid w:val="00933917"/>
    <w:rsid w:val="00933A97"/>
    <w:rsid w:val="00933C0C"/>
    <w:rsid w:val="00934672"/>
    <w:rsid w:val="00934D66"/>
    <w:rsid w:val="0093540E"/>
    <w:rsid w:val="009365F3"/>
    <w:rsid w:val="009368D4"/>
    <w:rsid w:val="00936A47"/>
    <w:rsid w:val="00937EB2"/>
    <w:rsid w:val="00940D3F"/>
    <w:rsid w:val="009420A8"/>
    <w:rsid w:val="00942465"/>
    <w:rsid w:val="00942CEC"/>
    <w:rsid w:val="009432EA"/>
    <w:rsid w:val="009436AD"/>
    <w:rsid w:val="00943B99"/>
    <w:rsid w:val="00944DD7"/>
    <w:rsid w:val="00944E7F"/>
    <w:rsid w:val="00946050"/>
    <w:rsid w:val="00946287"/>
    <w:rsid w:val="00947462"/>
    <w:rsid w:val="0095024C"/>
    <w:rsid w:val="00950334"/>
    <w:rsid w:val="00950FD9"/>
    <w:rsid w:val="00951BAC"/>
    <w:rsid w:val="00951D06"/>
    <w:rsid w:val="00952767"/>
    <w:rsid w:val="009529D2"/>
    <w:rsid w:val="009535E2"/>
    <w:rsid w:val="009542F8"/>
    <w:rsid w:val="009545A9"/>
    <w:rsid w:val="00954C8F"/>
    <w:rsid w:val="009551E2"/>
    <w:rsid w:val="00957358"/>
    <w:rsid w:val="0095790A"/>
    <w:rsid w:val="00957B20"/>
    <w:rsid w:val="0096065C"/>
    <w:rsid w:val="00961570"/>
    <w:rsid w:val="00962065"/>
    <w:rsid w:val="009621C5"/>
    <w:rsid w:val="00963879"/>
    <w:rsid w:val="00963EC2"/>
    <w:rsid w:val="00965610"/>
    <w:rsid w:val="00966DB2"/>
    <w:rsid w:val="00967C37"/>
    <w:rsid w:val="00970FCB"/>
    <w:rsid w:val="0097273E"/>
    <w:rsid w:val="009728D9"/>
    <w:rsid w:val="00972981"/>
    <w:rsid w:val="00972E84"/>
    <w:rsid w:val="00974FDB"/>
    <w:rsid w:val="00975867"/>
    <w:rsid w:val="009763B6"/>
    <w:rsid w:val="00980018"/>
    <w:rsid w:val="009801A5"/>
    <w:rsid w:val="00980B0F"/>
    <w:rsid w:val="009811BA"/>
    <w:rsid w:val="009813C7"/>
    <w:rsid w:val="009830F5"/>
    <w:rsid w:val="0098380F"/>
    <w:rsid w:val="009849D7"/>
    <w:rsid w:val="0098504A"/>
    <w:rsid w:val="00985DD3"/>
    <w:rsid w:val="00986B27"/>
    <w:rsid w:val="00986DD2"/>
    <w:rsid w:val="00987AB0"/>
    <w:rsid w:val="009904CB"/>
    <w:rsid w:val="00991BFE"/>
    <w:rsid w:val="00991BFF"/>
    <w:rsid w:val="00991DE7"/>
    <w:rsid w:val="00993EC7"/>
    <w:rsid w:val="00995253"/>
    <w:rsid w:val="00996162"/>
    <w:rsid w:val="00996CDF"/>
    <w:rsid w:val="00996E42"/>
    <w:rsid w:val="009972B2"/>
    <w:rsid w:val="009974FE"/>
    <w:rsid w:val="00997670"/>
    <w:rsid w:val="009A0348"/>
    <w:rsid w:val="009A0747"/>
    <w:rsid w:val="009A2050"/>
    <w:rsid w:val="009A213B"/>
    <w:rsid w:val="009A3A5A"/>
    <w:rsid w:val="009A4006"/>
    <w:rsid w:val="009A429D"/>
    <w:rsid w:val="009A4D2A"/>
    <w:rsid w:val="009A4E19"/>
    <w:rsid w:val="009A53B2"/>
    <w:rsid w:val="009A5836"/>
    <w:rsid w:val="009A6130"/>
    <w:rsid w:val="009A744F"/>
    <w:rsid w:val="009A74C9"/>
    <w:rsid w:val="009B1401"/>
    <w:rsid w:val="009B3373"/>
    <w:rsid w:val="009B3937"/>
    <w:rsid w:val="009B431E"/>
    <w:rsid w:val="009B5627"/>
    <w:rsid w:val="009B57D1"/>
    <w:rsid w:val="009B6365"/>
    <w:rsid w:val="009B6ED9"/>
    <w:rsid w:val="009C1165"/>
    <w:rsid w:val="009C17BF"/>
    <w:rsid w:val="009C1F58"/>
    <w:rsid w:val="009C2758"/>
    <w:rsid w:val="009C2870"/>
    <w:rsid w:val="009C3063"/>
    <w:rsid w:val="009C38BC"/>
    <w:rsid w:val="009C623B"/>
    <w:rsid w:val="009C6953"/>
    <w:rsid w:val="009C7EC3"/>
    <w:rsid w:val="009D0676"/>
    <w:rsid w:val="009D0DA0"/>
    <w:rsid w:val="009D2E2B"/>
    <w:rsid w:val="009D2F41"/>
    <w:rsid w:val="009D37A0"/>
    <w:rsid w:val="009D4FBA"/>
    <w:rsid w:val="009D513E"/>
    <w:rsid w:val="009D5517"/>
    <w:rsid w:val="009D5681"/>
    <w:rsid w:val="009D74E4"/>
    <w:rsid w:val="009E0ACC"/>
    <w:rsid w:val="009E1FE7"/>
    <w:rsid w:val="009E2454"/>
    <w:rsid w:val="009E2543"/>
    <w:rsid w:val="009E26F0"/>
    <w:rsid w:val="009E2A13"/>
    <w:rsid w:val="009E2B1B"/>
    <w:rsid w:val="009E375F"/>
    <w:rsid w:val="009E3CD6"/>
    <w:rsid w:val="009E4776"/>
    <w:rsid w:val="009E4976"/>
    <w:rsid w:val="009E4B47"/>
    <w:rsid w:val="009E4DED"/>
    <w:rsid w:val="009E557A"/>
    <w:rsid w:val="009E68B1"/>
    <w:rsid w:val="009E6BC9"/>
    <w:rsid w:val="009F03E8"/>
    <w:rsid w:val="009F0BB7"/>
    <w:rsid w:val="009F0C3D"/>
    <w:rsid w:val="009F1E15"/>
    <w:rsid w:val="009F2D6F"/>
    <w:rsid w:val="009F3148"/>
    <w:rsid w:val="009F31FD"/>
    <w:rsid w:val="009F3222"/>
    <w:rsid w:val="009F3360"/>
    <w:rsid w:val="009F3ED1"/>
    <w:rsid w:val="009F5066"/>
    <w:rsid w:val="009F51C0"/>
    <w:rsid w:val="009F573B"/>
    <w:rsid w:val="009F606B"/>
    <w:rsid w:val="009F7782"/>
    <w:rsid w:val="009F7F45"/>
    <w:rsid w:val="00A00537"/>
    <w:rsid w:val="00A00F15"/>
    <w:rsid w:val="00A01B20"/>
    <w:rsid w:val="00A02191"/>
    <w:rsid w:val="00A025EB"/>
    <w:rsid w:val="00A02C88"/>
    <w:rsid w:val="00A02EF8"/>
    <w:rsid w:val="00A03667"/>
    <w:rsid w:val="00A03E39"/>
    <w:rsid w:val="00A04695"/>
    <w:rsid w:val="00A05E6E"/>
    <w:rsid w:val="00A065FE"/>
    <w:rsid w:val="00A06712"/>
    <w:rsid w:val="00A0678E"/>
    <w:rsid w:val="00A06C8E"/>
    <w:rsid w:val="00A06E8E"/>
    <w:rsid w:val="00A071DC"/>
    <w:rsid w:val="00A07917"/>
    <w:rsid w:val="00A07B34"/>
    <w:rsid w:val="00A07C32"/>
    <w:rsid w:val="00A1061A"/>
    <w:rsid w:val="00A10B52"/>
    <w:rsid w:val="00A114B2"/>
    <w:rsid w:val="00A114DA"/>
    <w:rsid w:val="00A11899"/>
    <w:rsid w:val="00A12315"/>
    <w:rsid w:val="00A12A93"/>
    <w:rsid w:val="00A14B6D"/>
    <w:rsid w:val="00A14ECD"/>
    <w:rsid w:val="00A15965"/>
    <w:rsid w:val="00A16656"/>
    <w:rsid w:val="00A16C04"/>
    <w:rsid w:val="00A16E4B"/>
    <w:rsid w:val="00A20064"/>
    <w:rsid w:val="00A2021C"/>
    <w:rsid w:val="00A2088B"/>
    <w:rsid w:val="00A212C2"/>
    <w:rsid w:val="00A213CA"/>
    <w:rsid w:val="00A213E1"/>
    <w:rsid w:val="00A22328"/>
    <w:rsid w:val="00A239B8"/>
    <w:rsid w:val="00A240D1"/>
    <w:rsid w:val="00A2512A"/>
    <w:rsid w:val="00A251F6"/>
    <w:rsid w:val="00A25748"/>
    <w:rsid w:val="00A2626B"/>
    <w:rsid w:val="00A274A9"/>
    <w:rsid w:val="00A2754F"/>
    <w:rsid w:val="00A3000B"/>
    <w:rsid w:val="00A31962"/>
    <w:rsid w:val="00A32693"/>
    <w:rsid w:val="00A32A9C"/>
    <w:rsid w:val="00A33C9B"/>
    <w:rsid w:val="00A3405D"/>
    <w:rsid w:val="00A34256"/>
    <w:rsid w:val="00A3466C"/>
    <w:rsid w:val="00A34B8E"/>
    <w:rsid w:val="00A3549F"/>
    <w:rsid w:val="00A35AB1"/>
    <w:rsid w:val="00A35C7F"/>
    <w:rsid w:val="00A35D32"/>
    <w:rsid w:val="00A4031A"/>
    <w:rsid w:val="00A409A8"/>
    <w:rsid w:val="00A40EFE"/>
    <w:rsid w:val="00A414A9"/>
    <w:rsid w:val="00A41DAA"/>
    <w:rsid w:val="00A4253F"/>
    <w:rsid w:val="00A428E9"/>
    <w:rsid w:val="00A42B67"/>
    <w:rsid w:val="00A42D00"/>
    <w:rsid w:val="00A4383A"/>
    <w:rsid w:val="00A43CD1"/>
    <w:rsid w:val="00A43E23"/>
    <w:rsid w:val="00A43E42"/>
    <w:rsid w:val="00A43EC4"/>
    <w:rsid w:val="00A44581"/>
    <w:rsid w:val="00A44B25"/>
    <w:rsid w:val="00A4618D"/>
    <w:rsid w:val="00A46D35"/>
    <w:rsid w:val="00A46E23"/>
    <w:rsid w:val="00A476C6"/>
    <w:rsid w:val="00A50040"/>
    <w:rsid w:val="00A50C83"/>
    <w:rsid w:val="00A51006"/>
    <w:rsid w:val="00A520C1"/>
    <w:rsid w:val="00A52805"/>
    <w:rsid w:val="00A52F33"/>
    <w:rsid w:val="00A545F5"/>
    <w:rsid w:val="00A5469B"/>
    <w:rsid w:val="00A55A36"/>
    <w:rsid w:val="00A55FD6"/>
    <w:rsid w:val="00A5602C"/>
    <w:rsid w:val="00A567C0"/>
    <w:rsid w:val="00A56EED"/>
    <w:rsid w:val="00A5701F"/>
    <w:rsid w:val="00A57D56"/>
    <w:rsid w:val="00A57ED3"/>
    <w:rsid w:val="00A60425"/>
    <w:rsid w:val="00A60683"/>
    <w:rsid w:val="00A614C0"/>
    <w:rsid w:val="00A61777"/>
    <w:rsid w:val="00A62447"/>
    <w:rsid w:val="00A6272C"/>
    <w:rsid w:val="00A62F6F"/>
    <w:rsid w:val="00A636C6"/>
    <w:rsid w:val="00A63883"/>
    <w:rsid w:val="00A6441F"/>
    <w:rsid w:val="00A64AC6"/>
    <w:rsid w:val="00A659C4"/>
    <w:rsid w:val="00A669BF"/>
    <w:rsid w:val="00A67103"/>
    <w:rsid w:val="00A67CB8"/>
    <w:rsid w:val="00A7010E"/>
    <w:rsid w:val="00A710F0"/>
    <w:rsid w:val="00A71114"/>
    <w:rsid w:val="00A71828"/>
    <w:rsid w:val="00A748DB"/>
    <w:rsid w:val="00A775A3"/>
    <w:rsid w:val="00A77E89"/>
    <w:rsid w:val="00A80313"/>
    <w:rsid w:val="00A80859"/>
    <w:rsid w:val="00A80FF4"/>
    <w:rsid w:val="00A8155E"/>
    <w:rsid w:val="00A816B3"/>
    <w:rsid w:val="00A83E30"/>
    <w:rsid w:val="00A84354"/>
    <w:rsid w:val="00A8467C"/>
    <w:rsid w:val="00A85E6D"/>
    <w:rsid w:val="00A86201"/>
    <w:rsid w:val="00A8691F"/>
    <w:rsid w:val="00A86C63"/>
    <w:rsid w:val="00A905BF"/>
    <w:rsid w:val="00A915C0"/>
    <w:rsid w:val="00A91E77"/>
    <w:rsid w:val="00A928F6"/>
    <w:rsid w:val="00A92D83"/>
    <w:rsid w:val="00A9310D"/>
    <w:rsid w:val="00A94144"/>
    <w:rsid w:val="00A943A9"/>
    <w:rsid w:val="00A94C29"/>
    <w:rsid w:val="00A95E18"/>
    <w:rsid w:val="00A961D4"/>
    <w:rsid w:val="00A962A0"/>
    <w:rsid w:val="00A978A1"/>
    <w:rsid w:val="00A97DAE"/>
    <w:rsid w:val="00AA0428"/>
    <w:rsid w:val="00AA0CFC"/>
    <w:rsid w:val="00AA16EC"/>
    <w:rsid w:val="00AA1F13"/>
    <w:rsid w:val="00AA22C7"/>
    <w:rsid w:val="00AA3483"/>
    <w:rsid w:val="00AA406A"/>
    <w:rsid w:val="00AA581E"/>
    <w:rsid w:val="00AA633C"/>
    <w:rsid w:val="00AA6A90"/>
    <w:rsid w:val="00AA6DBF"/>
    <w:rsid w:val="00AA703A"/>
    <w:rsid w:val="00AA7CD4"/>
    <w:rsid w:val="00AB0E2D"/>
    <w:rsid w:val="00AB1308"/>
    <w:rsid w:val="00AB141D"/>
    <w:rsid w:val="00AB19FB"/>
    <w:rsid w:val="00AB2089"/>
    <w:rsid w:val="00AB243C"/>
    <w:rsid w:val="00AB2706"/>
    <w:rsid w:val="00AB296B"/>
    <w:rsid w:val="00AB2EAD"/>
    <w:rsid w:val="00AB3508"/>
    <w:rsid w:val="00AB35AD"/>
    <w:rsid w:val="00AB4895"/>
    <w:rsid w:val="00AB4997"/>
    <w:rsid w:val="00AB568C"/>
    <w:rsid w:val="00AB5E01"/>
    <w:rsid w:val="00AB6AA7"/>
    <w:rsid w:val="00AB7637"/>
    <w:rsid w:val="00AB76BD"/>
    <w:rsid w:val="00AC0BEC"/>
    <w:rsid w:val="00AC1159"/>
    <w:rsid w:val="00AC153C"/>
    <w:rsid w:val="00AC1C70"/>
    <w:rsid w:val="00AC226A"/>
    <w:rsid w:val="00AC236A"/>
    <w:rsid w:val="00AC3045"/>
    <w:rsid w:val="00AC3AF3"/>
    <w:rsid w:val="00AC43FE"/>
    <w:rsid w:val="00AC51B1"/>
    <w:rsid w:val="00AC53E1"/>
    <w:rsid w:val="00AC5757"/>
    <w:rsid w:val="00AC5D82"/>
    <w:rsid w:val="00AC5E68"/>
    <w:rsid w:val="00AC5E85"/>
    <w:rsid w:val="00AC63E8"/>
    <w:rsid w:val="00AC703C"/>
    <w:rsid w:val="00AC7416"/>
    <w:rsid w:val="00AD06C6"/>
    <w:rsid w:val="00AD0F54"/>
    <w:rsid w:val="00AD1B59"/>
    <w:rsid w:val="00AD1EB4"/>
    <w:rsid w:val="00AD3216"/>
    <w:rsid w:val="00AD35D9"/>
    <w:rsid w:val="00AD3BA4"/>
    <w:rsid w:val="00AD4B62"/>
    <w:rsid w:val="00AD6A6C"/>
    <w:rsid w:val="00AD6BBD"/>
    <w:rsid w:val="00AD72D2"/>
    <w:rsid w:val="00AD739A"/>
    <w:rsid w:val="00AD76F1"/>
    <w:rsid w:val="00AD7C50"/>
    <w:rsid w:val="00AE1466"/>
    <w:rsid w:val="00AE1CBB"/>
    <w:rsid w:val="00AE2580"/>
    <w:rsid w:val="00AE3251"/>
    <w:rsid w:val="00AE3A9C"/>
    <w:rsid w:val="00AE3AB2"/>
    <w:rsid w:val="00AE3FB5"/>
    <w:rsid w:val="00AE6324"/>
    <w:rsid w:val="00AE7A3D"/>
    <w:rsid w:val="00AE7F44"/>
    <w:rsid w:val="00AF0489"/>
    <w:rsid w:val="00AF0E51"/>
    <w:rsid w:val="00AF1948"/>
    <w:rsid w:val="00AF2A0C"/>
    <w:rsid w:val="00AF2D0B"/>
    <w:rsid w:val="00AF3627"/>
    <w:rsid w:val="00AF42BA"/>
    <w:rsid w:val="00AF42CC"/>
    <w:rsid w:val="00AF5BF3"/>
    <w:rsid w:val="00AF625A"/>
    <w:rsid w:val="00AF79E4"/>
    <w:rsid w:val="00AF7CD5"/>
    <w:rsid w:val="00B00EA7"/>
    <w:rsid w:val="00B0141A"/>
    <w:rsid w:val="00B01A06"/>
    <w:rsid w:val="00B01E52"/>
    <w:rsid w:val="00B02775"/>
    <w:rsid w:val="00B02ABB"/>
    <w:rsid w:val="00B03565"/>
    <w:rsid w:val="00B0474F"/>
    <w:rsid w:val="00B04B1F"/>
    <w:rsid w:val="00B0749A"/>
    <w:rsid w:val="00B07783"/>
    <w:rsid w:val="00B1031F"/>
    <w:rsid w:val="00B10DA7"/>
    <w:rsid w:val="00B10EDB"/>
    <w:rsid w:val="00B111B5"/>
    <w:rsid w:val="00B11462"/>
    <w:rsid w:val="00B11D5F"/>
    <w:rsid w:val="00B12CB9"/>
    <w:rsid w:val="00B12D20"/>
    <w:rsid w:val="00B13854"/>
    <w:rsid w:val="00B13F4B"/>
    <w:rsid w:val="00B140F6"/>
    <w:rsid w:val="00B154A6"/>
    <w:rsid w:val="00B16681"/>
    <w:rsid w:val="00B1712E"/>
    <w:rsid w:val="00B173A1"/>
    <w:rsid w:val="00B17561"/>
    <w:rsid w:val="00B179E7"/>
    <w:rsid w:val="00B17A7C"/>
    <w:rsid w:val="00B20BE0"/>
    <w:rsid w:val="00B22033"/>
    <w:rsid w:val="00B23706"/>
    <w:rsid w:val="00B25945"/>
    <w:rsid w:val="00B25E41"/>
    <w:rsid w:val="00B26305"/>
    <w:rsid w:val="00B26DBE"/>
    <w:rsid w:val="00B308B3"/>
    <w:rsid w:val="00B308C9"/>
    <w:rsid w:val="00B31025"/>
    <w:rsid w:val="00B31154"/>
    <w:rsid w:val="00B3121A"/>
    <w:rsid w:val="00B31F09"/>
    <w:rsid w:val="00B320A6"/>
    <w:rsid w:val="00B339BA"/>
    <w:rsid w:val="00B34071"/>
    <w:rsid w:val="00B3468A"/>
    <w:rsid w:val="00B34ADC"/>
    <w:rsid w:val="00B354E1"/>
    <w:rsid w:val="00B35C15"/>
    <w:rsid w:val="00B35E4F"/>
    <w:rsid w:val="00B35ECB"/>
    <w:rsid w:val="00B36E96"/>
    <w:rsid w:val="00B37024"/>
    <w:rsid w:val="00B40298"/>
    <w:rsid w:val="00B405EA"/>
    <w:rsid w:val="00B43370"/>
    <w:rsid w:val="00B44B79"/>
    <w:rsid w:val="00B44FCF"/>
    <w:rsid w:val="00B45F47"/>
    <w:rsid w:val="00B4652E"/>
    <w:rsid w:val="00B46958"/>
    <w:rsid w:val="00B47360"/>
    <w:rsid w:val="00B50F7C"/>
    <w:rsid w:val="00B50F8D"/>
    <w:rsid w:val="00B51029"/>
    <w:rsid w:val="00B51BD6"/>
    <w:rsid w:val="00B52D1F"/>
    <w:rsid w:val="00B539AC"/>
    <w:rsid w:val="00B53FB0"/>
    <w:rsid w:val="00B54F4B"/>
    <w:rsid w:val="00B54FF7"/>
    <w:rsid w:val="00B557DC"/>
    <w:rsid w:val="00B55A96"/>
    <w:rsid w:val="00B55B2C"/>
    <w:rsid w:val="00B55C3A"/>
    <w:rsid w:val="00B55D5F"/>
    <w:rsid w:val="00B567C1"/>
    <w:rsid w:val="00B56865"/>
    <w:rsid w:val="00B56AD6"/>
    <w:rsid w:val="00B572DE"/>
    <w:rsid w:val="00B57EA0"/>
    <w:rsid w:val="00B601D1"/>
    <w:rsid w:val="00B605ED"/>
    <w:rsid w:val="00B6071E"/>
    <w:rsid w:val="00B60C25"/>
    <w:rsid w:val="00B60FD1"/>
    <w:rsid w:val="00B61707"/>
    <w:rsid w:val="00B61937"/>
    <w:rsid w:val="00B62207"/>
    <w:rsid w:val="00B63A58"/>
    <w:rsid w:val="00B64478"/>
    <w:rsid w:val="00B647F1"/>
    <w:rsid w:val="00B64C2E"/>
    <w:rsid w:val="00B64E5A"/>
    <w:rsid w:val="00B64E81"/>
    <w:rsid w:val="00B65433"/>
    <w:rsid w:val="00B66490"/>
    <w:rsid w:val="00B669F0"/>
    <w:rsid w:val="00B66E0A"/>
    <w:rsid w:val="00B67C8A"/>
    <w:rsid w:val="00B69266"/>
    <w:rsid w:val="00B71197"/>
    <w:rsid w:val="00B71654"/>
    <w:rsid w:val="00B71A6D"/>
    <w:rsid w:val="00B724D4"/>
    <w:rsid w:val="00B7278E"/>
    <w:rsid w:val="00B72CC4"/>
    <w:rsid w:val="00B72FEC"/>
    <w:rsid w:val="00B73A97"/>
    <w:rsid w:val="00B74916"/>
    <w:rsid w:val="00B7495F"/>
    <w:rsid w:val="00B75762"/>
    <w:rsid w:val="00B7740F"/>
    <w:rsid w:val="00B814D6"/>
    <w:rsid w:val="00B8337C"/>
    <w:rsid w:val="00B839F9"/>
    <w:rsid w:val="00B83DA5"/>
    <w:rsid w:val="00B8443C"/>
    <w:rsid w:val="00B849C1"/>
    <w:rsid w:val="00B84BC8"/>
    <w:rsid w:val="00B85797"/>
    <w:rsid w:val="00B86FDD"/>
    <w:rsid w:val="00B8765A"/>
    <w:rsid w:val="00B87E5E"/>
    <w:rsid w:val="00B90192"/>
    <w:rsid w:val="00B90742"/>
    <w:rsid w:val="00B90A08"/>
    <w:rsid w:val="00B90C0E"/>
    <w:rsid w:val="00B91458"/>
    <w:rsid w:val="00B914E0"/>
    <w:rsid w:val="00B92491"/>
    <w:rsid w:val="00B929FD"/>
    <w:rsid w:val="00B92F2D"/>
    <w:rsid w:val="00B9321E"/>
    <w:rsid w:val="00B93B99"/>
    <w:rsid w:val="00B93E2B"/>
    <w:rsid w:val="00B94A4D"/>
    <w:rsid w:val="00B960E4"/>
    <w:rsid w:val="00B96603"/>
    <w:rsid w:val="00B96E76"/>
    <w:rsid w:val="00B976A1"/>
    <w:rsid w:val="00BA00AC"/>
    <w:rsid w:val="00BA02DC"/>
    <w:rsid w:val="00BA1514"/>
    <w:rsid w:val="00BA1CE7"/>
    <w:rsid w:val="00BA28E5"/>
    <w:rsid w:val="00BA2CF9"/>
    <w:rsid w:val="00BA33F6"/>
    <w:rsid w:val="00BA369F"/>
    <w:rsid w:val="00BA3819"/>
    <w:rsid w:val="00BA47DF"/>
    <w:rsid w:val="00BA5CF9"/>
    <w:rsid w:val="00BA5E7F"/>
    <w:rsid w:val="00BA63E7"/>
    <w:rsid w:val="00BA6481"/>
    <w:rsid w:val="00BA6488"/>
    <w:rsid w:val="00BA696A"/>
    <w:rsid w:val="00BB0644"/>
    <w:rsid w:val="00BB1603"/>
    <w:rsid w:val="00BB3385"/>
    <w:rsid w:val="00BB5017"/>
    <w:rsid w:val="00BB5927"/>
    <w:rsid w:val="00BB65E9"/>
    <w:rsid w:val="00BB6CB1"/>
    <w:rsid w:val="00BC007B"/>
    <w:rsid w:val="00BC24EB"/>
    <w:rsid w:val="00BC3DD6"/>
    <w:rsid w:val="00BC4B7E"/>
    <w:rsid w:val="00BC52C9"/>
    <w:rsid w:val="00BC5788"/>
    <w:rsid w:val="00BC57D7"/>
    <w:rsid w:val="00BC647B"/>
    <w:rsid w:val="00BD184D"/>
    <w:rsid w:val="00BD1ADF"/>
    <w:rsid w:val="00BD1B83"/>
    <w:rsid w:val="00BD1C2E"/>
    <w:rsid w:val="00BD2A3B"/>
    <w:rsid w:val="00BD2E72"/>
    <w:rsid w:val="00BD2ECD"/>
    <w:rsid w:val="00BD4B96"/>
    <w:rsid w:val="00BD5AA6"/>
    <w:rsid w:val="00BD5CE9"/>
    <w:rsid w:val="00BD63CB"/>
    <w:rsid w:val="00BD67C2"/>
    <w:rsid w:val="00BD6883"/>
    <w:rsid w:val="00BD6BEC"/>
    <w:rsid w:val="00BD793D"/>
    <w:rsid w:val="00BE0FF1"/>
    <w:rsid w:val="00BE1478"/>
    <w:rsid w:val="00BE216F"/>
    <w:rsid w:val="00BE31D9"/>
    <w:rsid w:val="00BE3B3B"/>
    <w:rsid w:val="00BE402F"/>
    <w:rsid w:val="00BE6607"/>
    <w:rsid w:val="00BE72DF"/>
    <w:rsid w:val="00BE736F"/>
    <w:rsid w:val="00BE75BA"/>
    <w:rsid w:val="00BE7A4E"/>
    <w:rsid w:val="00BE7A7A"/>
    <w:rsid w:val="00BF0023"/>
    <w:rsid w:val="00BF18F0"/>
    <w:rsid w:val="00BF2230"/>
    <w:rsid w:val="00BF2F39"/>
    <w:rsid w:val="00BF46A3"/>
    <w:rsid w:val="00BF5939"/>
    <w:rsid w:val="00BF5C69"/>
    <w:rsid w:val="00BF7100"/>
    <w:rsid w:val="00BF724B"/>
    <w:rsid w:val="00BF7B7F"/>
    <w:rsid w:val="00C00683"/>
    <w:rsid w:val="00C026EB"/>
    <w:rsid w:val="00C02EBA"/>
    <w:rsid w:val="00C02F54"/>
    <w:rsid w:val="00C03092"/>
    <w:rsid w:val="00C03919"/>
    <w:rsid w:val="00C03D92"/>
    <w:rsid w:val="00C04F26"/>
    <w:rsid w:val="00C05D33"/>
    <w:rsid w:val="00C05DB8"/>
    <w:rsid w:val="00C06708"/>
    <w:rsid w:val="00C07AA9"/>
    <w:rsid w:val="00C107E3"/>
    <w:rsid w:val="00C11095"/>
    <w:rsid w:val="00C11528"/>
    <w:rsid w:val="00C11A23"/>
    <w:rsid w:val="00C12BF7"/>
    <w:rsid w:val="00C12DD1"/>
    <w:rsid w:val="00C13124"/>
    <w:rsid w:val="00C17348"/>
    <w:rsid w:val="00C21995"/>
    <w:rsid w:val="00C21BC2"/>
    <w:rsid w:val="00C22A10"/>
    <w:rsid w:val="00C22AEF"/>
    <w:rsid w:val="00C230AF"/>
    <w:rsid w:val="00C230D9"/>
    <w:rsid w:val="00C23463"/>
    <w:rsid w:val="00C24424"/>
    <w:rsid w:val="00C24BC1"/>
    <w:rsid w:val="00C2504D"/>
    <w:rsid w:val="00C25D4D"/>
    <w:rsid w:val="00C2716A"/>
    <w:rsid w:val="00C27C65"/>
    <w:rsid w:val="00C27DDA"/>
    <w:rsid w:val="00C309D5"/>
    <w:rsid w:val="00C30F0D"/>
    <w:rsid w:val="00C31143"/>
    <w:rsid w:val="00C33490"/>
    <w:rsid w:val="00C34320"/>
    <w:rsid w:val="00C34746"/>
    <w:rsid w:val="00C34DEE"/>
    <w:rsid w:val="00C35A05"/>
    <w:rsid w:val="00C409FE"/>
    <w:rsid w:val="00C420FC"/>
    <w:rsid w:val="00C436FE"/>
    <w:rsid w:val="00C4509A"/>
    <w:rsid w:val="00C45830"/>
    <w:rsid w:val="00C46F16"/>
    <w:rsid w:val="00C47912"/>
    <w:rsid w:val="00C504AA"/>
    <w:rsid w:val="00C5080E"/>
    <w:rsid w:val="00C50A54"/>
    <w:rsid w:val="00C50CAB"/>
    <w:rsid w:val="00C520CC"/>
    <w:rsid w:val="00C53140"/>
    <w:rsid w:val="00C5542D"/>
    <w:rsid w:val="00C567AD"/>
    <w:rsid w:val="00C56A2B"/>
    <w:rsid w:val="00C56DE8"/>
    <w:rsid w:val="00C573F6"/>
    <w:rsid w:val="00C57E6A"/>
    <w:rsid w:val="00C57F8B"/>
    <w:rsid w:val="00C606BE"/>
    <w:rsid w:val="00C60F45"/>
    <w:rsid w:val="00C612C2"/>
    <w:rsid w:val="00C61346"/>
    <w:rsid w:val="00C614D6"/>
    <w:rsid w:val="00C619E8"/>
    <w:rsid w:val="00C62C04"/>
    <w:rsid w:val="00C64622"/>
    <w:rsid w:val="00C6498F"/>
    <w:rsid w:val="00C64ADB"/>
    <w:rsid w:val="00C64F10"/>
    <w:rsid w:val="00C653BA"/>
    <w:rsid w:val="00C662B6"/>
    <w:rsid w:val="00C664C9"/>
    <w:rsid w:val="00C66C27"/>
    <w:rsid w:val="00C67048"/>
    <w:rsid w:val="00C67834"/>
    <w:rsid w:val="00C67FB2"/>
    <w:rsid w:val="00C70CA6"/>
    <w:rsid w:val="00C70DEE"/>
    <w:rsid w:val="00C71C94"/>
    <w:rsid w:val="00C734EF"/>
    <w:rsid w:val="00C73608"/>
    <w:rsid w:val="00C73FC6"/>
    <w:rsid w:val="00C75D1C"/>
    <w:rsid w:val="00C75D3D"/>
    <w:rsid w:val="00C7633D"/>
    <w:rsid w:val="00C765ED"/>
    <w:rsid w:val="00C779A2"/>
    <w:rsid w:val="00C808F8"/>
    <w:rsid w:val="00C814E5"/>
    <w:rsid w:val="00C83768"/>
    <w:rsid w:val="00C8394C"/>
    <w:rsid w:val="00C8412B"/>
    <w:rsid w:val="00C84380"/>
    <w:rsid w:val="00C84C80"/>
    <w:rsid w:val="00C85020"/>
    <w:rsid w:val="00C85B53"/>
    <w:rsid w:val="00C85BF5"/>
    <w:rsid w:val="00C85C8A"/>
    <w:rsid w:val="00C85E4D"/>
    <w:rsid w:val="00C861E9"/>
    <w:rsid w:val="00C86C20"/>
    <w:rsid w:val="00C904AE"/>
    <w:rsid w:val="00C915F8"/>
    <w:rsid w:val="00C923BD"/>
    <w:rsid w:val="00C92A63"/>
    <w:rsid w:val="00C92FFF"/>
    <w:rsid w:val="00C934E4"/>
    <w:rsid w:val="00C939A7"/>
    <w:rsid w:val="00C94176"/>
    <w:rsid w:val="00C94286"/>
    <w:rsid w:val="00C94AEA"/>
    <w:rsid w:val="00C94B11"/>
    <w:rsid w:val="00C95B10"/>
    <w:rsid w:val="00C95DD9"/>
    <w:rsid w:val="00C96916"/>
    <w:rsid w:val="00C96DD1"/>
    <w:rsid w:val="00C971CF"/>
    <w:rsid w:val="00C97238"/>
    <w:rsid w:val="00CA0539"/>
    <w:rsid w:val="00CA06E4"/>
    <w:rsid w:val="00CA1E04"/>
    <w:rsid w:val="00CA225D"/>
    <w:rsid w:val="00CA22CD"/>
    <w:rsid w:val="00CA29F6"/>
    <w:rsid w:val="00CA2DAC"/>
    <w:rsid w:val="00CA37CB"/>
    <w:rsid w:val="00CA4300"/>
    <w:rsid w:val="00CA4762"/>
    <w:rsid w:val="00CA4EC7"/>
    <w:rsid w:val="00CA59F6"/>
    <w:rsid w:val="00CA5C33"/>
    <w:rsid w:val="00CA5E91"/>
    <w:rsid w:val="00CA67B3"/>
    <w:rsid w:val="00CA6A1C"/>
    <w:rsid w:val="00CA6A8D"/>
    <w:rsid w:val="00CA7329"/>
    <w:rsid w:val="00CB1BC2"/>
    <w:rsid w:val="00CB342F"/>
    <w:rsid w:val="00CB4071"/>
    <w:rsid w:val="00CB52BA"/>
    <w:rsid w:val="00CB52ED"/>
    <w:rsid w:val="00CB55E7"/>
    <w:rsid w:val="00CB65F5"/>
    <w:rsid w:val="00CB672C"/>
    <w:rsid w:val="00CB6904"/>
    <w:rsid w:val="00CB7EEF"/>
    <w:rsid w:val="00CC0874"/>
    <w:rsid w:val="00CC0965"/>
    <w:rsid w:val="00CC0B93"/>
    <w:rsid w:val="00CC1357"/>
    <w:rsid w:val="00CC22D2"/>
    <w:rsid w:val="00CC24AF"/>
    <w:rsid w:val="00CC3722"/>
    <w:rsid w:val="00CC4154"/>
    <w:rsid w:val="00CC4213"/>
    <w:rsid w:val="00CC5043"/>
    <w:rsid w:val="00CC5554"/>
    <w:rsid w:val="00CC6537"/>
    <w:rsid w:val="00CC72C7"/>
    <w:rsid w:val="00CD0797"/>
    <w:rsid w:val="00CD0850"/>
    <w:rsid w:val="00CD0A8C"/>
    <w:rsid w:val="00CD0E45"/>
    <w:rsid w:val="00CD10C6"/>
    <w:rsid w:val="00CD2EF9"/>
    <w:rsid w:val="00CD2F18"/>
    <w:rsid w:val="00CD3047"/>
    <w:rsid w:val="00CD3622"/>
    <w:rsid w:val="00CD401D"/>
    <w:rsid w:val="00CD446F"/>
    <w:rsid w:val="00CD46E1"/>
    <w:rsid w:val="00CD47C4"/>
    <w:rsid w:val="00CD4DC8"/>
    <w:rsid w:val="00CD4F6F"/>
    <w:rsid w:val="00CD64E1"/>
    <w:rsid w:val="00CD68B4"/>
    <w:rsid w:val="00CD6B89"/>
    <w:rsid w:val="00CD7946"/>
    <w:rsid w:val="00CE15EB"/>
    <w:rsid w:val="00CE1770"/>
    <w:rsid w:val="00CE1B7B"/>
    <w:rsid w:val="00CE28FA"/>
    <w:rsid w:val="00CE4325"/>
    <w:rsid w:val="00CE445E"/>
    <w:rsid w:val="00CE56BA"/>
    <w:rsid w:val="00CE6833"/>
    <w:rsid w:val="00CE7060"/>
    <w:rsid w:val="00CE739B"/>
    <w:rsid w:val="00CE7BDE"/>
    <w:rsid w:val="00CF007B"/>
    <w:rsid w:val="00CF1268"/>
    <w:rsid w:val="00CF1C15"/>
    <w:rsid w:val="00CF1FCF"/>
    <w:rsid w:val="00CF2AB8"/>
    <w:rsid w:val="00CF3035"/>
    <w:rsid w:val="00CF32DA"/>
    <w:rsid w:val="00CF3779"/>
    <w:rsid w:val="00CF3F8F"/>
    <w:rsid w:val="00CF520E"/>
    <w:rsid w:val="00CF54CB"/>
    <w:rsid w:val="00CF5A81"/>
    <w:rsid w:val="00CF671E"/>
    <w:rsid w:val="00D00193"/>
    <w:rsid w:val="00D00BC8"/>
    <w:rsid w:val="00D01521"/>
    <w:rsid w:val="00D01719"/>
    <w:rsid w:val="00D01EF0"/>
    <w:rsid w:val="00D029A8"/>
    <w:rsid w:val="00D03688"/>
    <w:rsid w:val="00D04708"/>
    <w:rsid w:val="00D051C0"/>
    <w:rsid w:val="00D0547E"/>
    <w:rsid w:val="00D06A1A"/>
    <w:rsid w:val="00D079D4"/>
    <w:rsid w:val="00D07B22"/>
    <w:rsid w:val="00D07F3A"/>
    <w:rsid w:val="00D106F0"/>
    <w:rsid w:val="00D10862"/>
    <w:rsid w:val="00D10B7E"/>
    <w:rsid w:val="00D10C4C"/>
    <w:rsid w:val="00D10C76"/>
    <w:rsid w:val="00D1191C"/>
    <w:rsid w:val="00D12910"/>
    <w:rsid w:val="00D1339C"/>
    <w:rsid w:val="00D13D29"/>
    <w:rsid w:val="00D14460"/>
    <w:rsid w:val="00D146A9"/>
    <w:rsid w:val="00D157A7"/>
    <w:rsid w:val="00D16F32"/>
    <w:rsid w:val="00D20582"/>
    <w:rsid w:val="00D20E97"/>
    <w:rsid w:val="00D213F5"/>
    <w:rsid w:val="00D21848"/>
    <w:rsid w:val="00D2259B"/>
    <w:rsid w:val="00D22AB3"/>
    <w:rsid w:val="00D22D9B"/>
    <w:rsid w:val="00D235B5"/>
    <w:rsid w:val="00D27101"/>
    <w:rsid w:val="00D278A8"/>
    <w:rsid w:val="00D304E9"/>
    <w:rsid w:val="00D307B4"/>
    <w:rsid w:val="00D30888"/>
    <w:rsid w:val="00D30F34"/>
    <w:rsid w:val="00D31D68"/>
    <w:rsid w:val="00D31FBF"/>
    <w:rsid w:val="00D32CD5"/>
    <w:rsid w:val="00D33541"/>
    <w:rsid w:val="00D33FDC"/>
    <w:rsid w:val="00D344D8"/>
    <w:rsid w:val="00D35153"/>
    <w:rsid w:val="00D3577C"/>
    <w:rsid w:val="00D358B0"/>
    <w:rsid w:val="00D36176"/>
    <w:rsid w:val="00D36EF5"/>
    <w:rsid w:val="00D371F1"/>
    <w:rsid w:val="00D37390"/>
    <w:rsid w:val="00D377DF"/>
    <w:rsid w:val="00D41165"/>
    <w:rsid w:val="00D41C3F"/>
    <w:rsid w:val="00D41CCA"/>
    <w:rsid w:val="00D42689"/>
    <w:rsid w:val="00D42696"/>
    <w:rsid w:val="00D43503"/>
    <w:rsid w:val="00D4383C"/>
    <w:rsid w:val="00D43A52"/>
    <w:rsid w:val="00D44338"/>
    <w:rsid w:val="00D46E1A"/>
    <w:rsid w:val="00D46E89"/>
    <w:rsid w:val="00D479A3"/>
    <w:rsid w:val="00D47D79"/>
    <w:rsid w:val="00D50623"/>
    <w:rsid w:val="00D50AE3"/>
    <w:rsid w:val="00D52BD4"/>
    <w:rsid w:val="00D5316A"/>
    <w:rsid w:val="00D533A7"/>
    <w:rsid w:val="00D54DEC"/>
    <w:rsid w:val="00D5530E"/>
    <w:rsid w:val="00D554C6"/>
    <w:rsid w:val="00D556BB"/>
    <w:rsid w:val="00D55A3D"/>
    <w:rsid w:val="00D56833"/>
    <w:rsid w:val="00D612FC"/>
    <w:rsid w:val="00D616AD"/>
    <w:rsid w:val="00D624DE"/>
    <w:rsid w:val="00D631EE"/>
    <w:rsid w:val="00D6370C"/>
    <w:rsid w:val="00D6413A"/>
    <w:rsid w:val="00D64532"/>
    <w:rsid w:val="00D64A6E"/>
    <w:rsid w:val="00D665AC"/>
    <w:rsid w:val="00D67022"/>
    <w:rsid w:val="00D6738D"/>
    <w:rsid w:val="00D6746E"/>
    <w:rsid w:val="00D67E40"/>
    <w:rsid w:val="00D70720"/>
    <w:rsid w:val="00D70937"/>
    <w:rsid w:val="00D70CF3"/>
    <w:rsid w:val="00D70E52"/>
    <w:rsid w:val="00D70F84"/>
    <w:rsid w:val="00D71B8B"/>
    <w:rsid w:val="00D72133"/>
    <w:rsid w:val="00D73C09"/>
    <w:rsid w:val="00D73D1D"/>
    <w:rsid w:val="00D74964"/>
    <w:rsid w:val="00D74D6D"/>
    <w:rsid w:val="00D75468"/>
    <w:rsid w:val="00D75DD8"/>
    <w:rsid w:val="00D76230"/>
    <w:rsid w:val="00D76826"/>
    <w:rsid w:val="00D7727D"/>
    <w:rsid w:val="00D77338"/>
    <w:rsid w:val="00D774A5"/>
    <w:rsid w:val="00D81355"/>
    <w:rsid w:val="00D81439"/>
    <w:rsid w:val="00D81668"/>
    <w:rsid w:val="00D82D49"/>
    <w:rsid w:val="00D834C2"/>
    <w:rsid w:val="00D83673"/>
    <w:rsid w:val="00D839FA"/>
    <w:rsid w:val="00D9303B"/>
    <w:rsid w:val="00D94537"/>
    <w:rsid w:val="00D94C32"/>
    <w:rsid w:val="00D94D52"/>
    <w:rsid w:val="00D967D6"/>
    <w:rsid w:val="00D96AF7"/>
    <w:rsid w:val="00D97218"/>
    <w:rsid w:val="00DA0BF4"/>
    <w:rsid w:val="00DA1AA6"/>
    <w:rsid w:val="00DA262E"/>
    <w:rsid w:val="00DA26B3"/>
    <w:rsid w:val="00DA2A00"/>
    <w:rsid w:val="00DA3ADA"/>
    <w:rsid w:val="00DA4610"/>
    <w:rsid w:val="00DA47F3"/>
    <w:rsid w:val="00DA49B9"/>
    <w:rsid w:val="00DA4FD0"/>
    <w:rsid w:val="00DA540D"/>
    <w:rsid w:val="00DA5896"/>
    <w:rsid w:val="00DA5A6B"/>
    <w:rsid w:val="00DA7010"/>
    <w:rsid w:val="00DA725E"/>
    <w:rsid w:val="00DA79B5"/>
    <w:rsid w:val="00DB0476"/>
    <w:rsid w:val="00DB0B1F"/>
    <w:rsid w:val="00DB535F"/>
    <w:rsid w:val="00DB5741"/>
    <w:rsid w:val="00DB64E8"/>
    <w:rsid w:val="00DB6BAC"/>
    <w:rsid w:val="00DB7D6D"/>
    <w:rsid w:val="00DC0149"/>
    <w:rsid w:val="00DC0750"/>
    <w:rsid w:val="00DC0ADD"/>
    <w:rsid w:val="00DC1039"/>
    <w:rsid w:val="00DC1D83"/>
    <w:rsid w:val="00DC1D90"/>
    <w:rsid w:val="00DC2846"/>
    <w:rsid w:val="00DC291E"/>
    <w:rsid w:val="00DC2C45"/>
    <w:rsid w:val="00DC2E8B"/>
    <w:rsid w:val="00DC2F06"/>
    <w:rsid w:val="00DC46CD"/>
    <w:rsid w:val="00DC6BEE"/>
    <w:rsid w:val="00DC6C42"/>
    <w:rsid w:val="00DC6D0B"/>
    <w:rsid w:val="00DC702D"/>
    <w:rsid w:val="00DC7C32"/>
    <w:rsid w:val="00DD264C"/>
    <w:rsid w:val="00DD358F"/>
    <w:rsid w:val="00DD53A1"/>
    <w:rsid w:val="00DD5516"/>
    <w:rsid w:val="00DD5F34"/>
    <w:rsid w:val="00DD6087"/>
    <w:rsid w:val="00DD610B"/>
    <w:rsid w:val="00DD6379"/>
    <w:rsid w:val="00DD6B23"/>
    <w:rsid w:val="00DD6FDD"/>
    <w:rsid w:val="00DD71FC"/>
    <w:rsid w:val="00DD7204"/>
    <w:rsid w:val="00DD76F0"/>
    <w:rsid w:val="00DD7E5A"/>
    <w:rsid w:val="00DE05ED"/>
    <w:rsid w:val="00DE16A0"/>
    <w:rsid w:val="00DE3E34"/>
    <w:rsid w:val="00DE401E"/>
    <w:rsid w:val="00DE4811"/>
    <w:rsid w:val="00DE50CC"/>
    <w:rsid w:val="00DE61B6"/>
    <w:rsid w:val="00DE67F0"/>
    <w:rsid w:val="00DE69C4"/>
    <w:rsid w:val="00DE6C5D"/>
    <w:rsid w:val="00DE718C"/>
    <w:rsid w:val="00DF0692"/>
    <w:rsid w:val="00DF077B"/>
    <w:rsid w:val="00DF0981"/>
    <w:rsid w:val="00DF19FA"/>
    <w:rsid w:val="00DF1F7C"/>
    <w:rsid w:val="00DF2000"/>
    <w:rsid w:val="00DF2EEC"/>
    <w:rsid w:val="00DF3788"/>
    <w:rsid w:val="00DF38FD"/>
    <w:rsid w:val="00DF42A7"/>
    <w:rsid w:val="00DF5924"/>
    <w:rsid w:val="00DF6559"/>
    <w:rsid w:val="00E000F9"/>
    <w:rsid w:val="00E00114"/>
    <w:rsid w:val="00E00C59"/>
    <w:rsid w:val="00E00EB5"/>
    <w:rsid w:val="00E04910"/>
    <w:rsid w:val="00E054A7"/>
    <w:rsid w:val="00E075A0"/>
    <w:rsid w:val="00E10030"/>
    <w:rsid w:val="00E10360"/>
    <w:rsid w:val="00E10570"/>
    <w:rsid w:val="00E11D94"/>
    <w:rsid w:val="00E129CE"/>
    <w:rsid w:val="00E129EA"/>
    <w:rsid w:val="00E12D84"/>
    <w:rsid w:val="00E1302C"/>
    <w:rsid w:val="00E1304B"/>
    <w:rsid w:val="00E13901"/>
    <w:rsid w:val="00E1392A"/>
    <w:rsid w:val="00E13A1D"/>
    <w:rsid w:val="00E147AE"/>
    <w:rsid w:val="00E14AEA"/>
    <w:rsid w:val="00E14D41"/>
    <w:rsid w:val="00E15428"/>
    <w:rsid w:val="00E1545E"/>
    <w:rsid w:val="00E15CF7"/>
    <w:rsid w:val="00E16D6B"/>
    <w:rsid w:val="00E176DC"/>
    <w:rsid w:val="00E20E94"/>
    <w:rsid w:val="00E2146F"/>
    <w:rsid w:val="00E21C1C"/>
    <w:rsid w:val="00E227C9"/>
    <w:rsid w:val="00E22FE2"/>
    <w:rsid w:val="00E2643E"/>
    <w:rsid w:val="00E26665"/>
    <w:rsid w:val="00E275D0"/>
    <w:rsid w:val="00E2771B"/>
    <w:rsid w:val="00E3006D"/>
    <w:rsid w:val="00E30169"/>
    <w:rsid w:val="00E3021C"/>
    <w:rsid w:val="00E30334"/>
    <w:rsid w:val="00E30EE3"/>
    <w:rsid w:val="00E31218"/>
    <w:rsid w:val="00E32699"/>
    <w:rsid w:val="00E32F10"/>
    <w:rsid w:val="00E34325"/>
    <w:rsid w:val="00E34897"/>
    <w:rsid w:val="00E35700"/>
    <w:rsid w:val="00E360BE"/>
    <w:rsid w:val="00E37002"/>
    <w:rsid w:val="00E37F1A"/>
    <w:rsid w:val="00E37F7A"/>
    <w:rsid w:val="00E4011A"/>
    <w:rsid w:val="00E40DFB"/>
    <w:rsid w:val="00E4424C"/>
    <w:rsid w:val="00E44500"/>
    <w:rsid w:val="00E45CE2"/>
    <w:rsid w:val="00E47433"/>
    <w:rsid w:val="00E5104D"/>
    <w:rsid w:val="00E51750"/>
    <w:rsid w:val="00E519EF"/>
    <w:rsid w:val="00E53A9F"/>
    <w:rsid w:val="00E5408A"/>
    <w:rsid w:val="00E5435F"/>
    <w:rsid w:val="00E54836"/>
    <w:rsid w:val="00E54A13"/>
    <w:rsid w:val="00E5501E"/>
    <w:rsid w:val="00E55B42"/>
    <w:rsid w:val="00E55C49"/>
    <w:rsid w:val="00E5629A"/>
    <w:rsid w:val="00E56B6E"/>
    <w:rsid w:val="00E576AE"/>
    <w:rsid w:val="00E60244"/>
    <w:rsid w:val="00E602EA"/>
    <w:rsid w:val="00E6042E"/>
    <w:rsid w:val="00E6136F"/>
    <w:rsid w:val="00E61BFD"/>
    <w:rsid w:val="00E62DC7"/>
    <w:rsid w:val="00E64A35"/>
    <w:rsid w:val="00E653AB"/>
    <w:rsid w:val="00E655BA"/>
    <w:rsid w:val="00E65AF5"/>
    <w:rsid w:val="00E65F85"/>
    <w:rsid w:val="00E6684B"/>
    <w:rsid w:val="00E669F2"/>
    <w:rsid w:val="00E66CA4"/>
    <w:rsid w:val="00E70865"/>
    <w:rsid w:val="00E70C1D"/>
    <w:rsid w:val="00E70C39"/>
    <w:rsid w:val="00E70E6D"/>
    <w:rsid w:val="00E70FF1"/>
    <w:rsid w:val="00E7141B"/>
    <w:rsid w:val="00E71E03"/>
    <w:rsid w:val="00E72156"/>
    <w:rsid w:val="00E72786"/>
    <w:rsid w:val="00E73618"/>
    <w:rsid w:val="00E7398C"/>
    <w:rsid w:val="00E73F04"/>
    <w:rsid w:val="00E751DE"/>
    <w:rsid w:val="00E75C44"/>
    <w:rsid w:val="00E75C53"/>
    <w:rsid w:val="00E767CE"/>
    <w:rsid w:val="00E772F2"/>
    <w:rsid w:val="00E80518"/>
    <w:rsid w:val="00E80873"/>
    <w:rsid w:val="00E8213B"/>
    <w:rsid w:val="00E83878"/>
    <w:rsid w:val="00E83C3C"/>
    <w:rsid w:val="00E84E39"/>
    <w:rsid w:val="00E85B6E"/>
    <w:rsid w:val="00E85BAD"/>
    <w:rsid w:val="00E85BB1"/>
    <w:rsid w:val="00E867F4"/>
    <w:rsid w:val="00E86C68"/>
    <w:rsid w:val="00E871FC"/>
    <w:rsid w:val="00E87B75"/>
    <w:rsid w:val="00E909CB"/>
    <w:rsid w:val="00E90BCA"/>
    <w:rsid w:val="00E90D7A"/>
    <w:rsid w:val="00E91246"/>
    <w:rsid w:val="00E91E04"/>
    <w:rsid w:val="00E923F3"/>
    <w:rsid w:val="00E93345"/>
    <w:rsid w:val="00E93540"/>
    <w:rsid w:val="00E94446"/>
    <w:rsid w:val="00E95027"/>
    <w:rsid w:val="00E95416"/>
    <w:rsid w:val="00E95A50"/>
    <w:rsid w:val="00E96225"/>
    <w:rsid w:val="00E9706B"/>
    <w:rsid w:val="00E972DE"/>
    <w:rsid w:val="00E976AF"/>
    <w:rsid w:val="00E978FD"/>
    <w:rsid w:val="00EA19AB"/>
    <w:rsid w:val="00EA2C9A"/>
    <w:rsid w:val="00EA2D6B"/>
    <w:rsid w:val="00EA40BE"/>
    <w:rsid w:val="00EA42BA"/>
    <w:rsid w:val="00EA4A7D"/>
    <w:rsid w:val="00EA52FD"/>
    <w:rsid w:val="00EA6A12"/>
    <w:rsid w:val="00EB0644"/>
    <w:rsid w:val="00EB1B55"/>
    <w:rsid w:val="00EB1C94"/>
    <w:rsid w:val="00EB1D7A"/>
    <w:rsid w:val="00EB2184"/>
    <w:rsid w:val="00EB2236"/>
    <w:rsid w:val="00EB326A"/>
    <w:rsid w:val="00EB46FC"/>
    <w:rsid w:val="00EB5364"/>
    <w:rsid w:val="00EB62EA"/>
    <w:rsid w:val="00EB656F"/>
    <w:rsid w:val="00EB67F2"/>
    <w:rsid w:val="00EB6920"/>
    <w:rsid w:val="00EB69B6"/>
    <w:rsid w:val="00EB6BC7"/>
    <w:rsid w:val="00EB78E0"/>
    <w:rsid w:val="00EB7EE2"/>
    <w:rsid w:val="00EC1DDE"/>
    <w:rsid w:val="00EC33AA"/>
    <w:rsid w:val="00EC4381"/>
    <w:rsid w:val="00EC4B39"/>
    <w:rsid w:val="00EC520F"/>
    <w:rsid w:val="00EC522D"/>
    <w:rsid w:val="00EC6792"/>
    <w:rsid w:val="00EC684A"/>
    <w:rsid w:val="00EC6D5E"/>
    <w:rsid w:val="00EC7BBF"/>
    <w:rsid w:val="00EC7C94"/>
    <w:rsid w:val="00ED0B95"/>
    <w:rsid w:val="00ED0E67"/>
    <w:rsid w:val="00ED139E"/>
    <w:rsid w:val="00ED3B9D"/>
    <w:rsid w:val="00ED4206"/>
    <w:rsid w:val="00ED4E9B"/>
    <w:rsid w:val="00ED517C"/>
    <w:rsid w:val="00ED5CC4"/>
    <w:rsid w:val="00ED600E"/>
    <w:rsid w:val="00ED6263"/>
    <w:rsid w:val="00ED6271"/>
    <w:rsid w:val="00ED73B1"/>
    <w:rsid w:val="00ED7D1C"/>
    <w:rsid w:val="00EE11FC"/>
    <w:rsid w:val="00EE17FA"/>
    <w:rsid w:val="00EE1D54"/>
    <w:rsid w:val="00EE1D7A"/>
    <w:rsid w:val="00EE1D93"/>
    <w:rsid w:val="00EE1FEC"/>
    <w:rsid w:val="00EE2B31"/>
    <w:rsid w:val="00EE2DB2"/>
    <w:rsid w:val="00EE414A"/>
    <w:rsid w:val="00EE421A"/>
    <w:rsid w:val="00EE43B0"/>
    <w:rsid w:val="00EE47DA"/>
    <w:rsid w:val="00EE66A6"/>
    <w:rsid w:val="00EE6DFD"/>
    <w:rsid w:val="00EE7CAB"/>
    <w:rsid w:val="00EE7CF6"/>
    <w:rsid w:val="00EF0B78"/>
    <w:rsid w:val="00EF111C"/>
    <w:rsid w:val="00EF1452"/>
    <w:rsid w:val="00EF1AED"/>
    <w:rsid w:val="00EF1F9C"/>
    <w:rsid w:val="00EF218A"/>
    <w:rsid w:val="00EF227E"/>
    <w:rsid w:val="00EF22E0"/>
    <w:rsid w:val="00EF2438"/>
    <w:rsid w:val="00EF2BCD"/>
    <w:rsid w:val="00EF2E51"/>
    <w:rsid w:val="00EF2F59"/>
    <w:rsid w:val="00EF36DE"/>
    <w:rsid w:val="00EF3C16"/>
    <w:rsid w:val="00EF4651"/>
    <w:rsid w:val="00EF696C"/>
    <w:rsid w:val="00EF70B3"/>
    <w:rsid w:val="00F00FDE"/>
    <w:rsid w:val="00F01423"/>
    <w:rsid w:val="00F01923"/>
    <w:rsid w:val="00F01C23"/>
    <w:rsid w:val="00F0242A"/>
    <w:rsid w:val="00F03BBB"/>
    <w:rsid w:val="00F04229"/>
    <w:rsid w:val="00F05436"/>
    <w:rsid w:val="00F05AEC"/>
    <w:rsid w:val="00F0673A"/>
    <w:rsid w:val="00F06C59"/>
    <w:rsid w:val="00F0705C"/>
    <w:rsid w:val="00F07421"/>
    <w:rsid w:val="00F0797E"/>
    <w:rsid w:val="00F07AF0"/>
    <w:rsid w:val="00F106F8"/>
    <w:rsid w:val="00F10CA5"/>
    <w:rsid w:val="00F111FD"/>
    <w:rsid w:val="00F119FB"/>
    <w:rsid w:val="00F12C6B"/>
    <w:rsid w:val="00F139FD"/>
    <w:rsid w:val="00F1436A"/>
    <w:rsid w:val="00F14933"/>
    <w:rsid w:val="00F14B7B"/>
    <w:rsid w:val="00F157A4"/>
    <w:rsid w:val="00F15B0D"/>
    <w:rsid w:val="00F1640E"/>
    <w:rsid w:val="00F170C9"/>
    <w:rsid w:val="00F179CF"/>
    <w:rsid w:val="00F20980"/>
    <w:rsid w:val="00F20FD5"/>
    <w:rsid w:val="00F21C21"/>
    <w:rsid w:val="00F21D45"/>
    <w:rsid w:val="00F237B6"/>
    <w:rsid w:val="00F2434D"/>
    <w:rsid w:val="00F2468F"/>
    <w:rsid w:val="00F2485B"/>
    <w:rsid w:val="00F273B8"/>
    <w:rsid w:val="00F27AB1"/>
    <w:rsid w:val="00F27C4A"/>
    <w:rsid w:val="00F30A75"/>
    <w:rsid w:val="00F30C08"/>
    <w:rsid w:val="00F31185"/>
    <w:rsid w:val="00F31FA2"/>
    <w:rsid w:val="00F31FEF"/>
    <w:rsid w:val="00F32051"/>
    <w:rsid w:val="00F32E08"/>
    <w:rsid w:val="00F3539B"/>
    <w:rsid w:val="00F3597A"/>
    <w:rsid w:val="00F35DE6"/>
    <w:rsid w:val="00F36FF5"/>
    <w:rsid w:val="00F372E4"/>
    <w:rsid w:val="00F3762F"/>
    <w:rsid w:val="00F37A14"/>
    <w:rsid w:val="00F40E52"/>
    <w:rsid w:val="00F41198"/>
    <w:rsid w:val="00F41EE6"/>
    <w:rsid w:val="00F425ED"/>
    <w:rsid w:val="00F42EA8"/>
    <w:rsid w:val="00F45784"/>
    <w:rsid w:val="00F47919"/>
    <w:rsid w:val="00F47AED"/>
    <w:rsid w:val="00F50A9B"/>
    <w:rsid w:val="00F50F2A"/>
    <w:rsid w:val="00F51C22"/>
    <w:rsid w:val="00F5216F"/>
    <w:rsid w:val="00F52E25"/>
    <w:rsid w:val="00F53205"/>
    <w:rsid w:val="00F538E4"/>
    <w:rsid w:val="00F546A0"/>
    <w:rsid w:val="00F559BB"/>
    <w:rsid w:val="00F56B5B"/>
    <w:rsid w:val="00F5763B"/>
    <w:rsid w:val="00F602F3"/>
    <w:rsid w:val="00F6082E"/>
    <w:rsid w:val="00F609FF"/>
    <w:rsid w:val="00F60CF3"/>
    <w:rsid w:val="00F60F58"/>
    <w:rsid w:val="00F61C27"/>
    <w:rsid w:val="00F61DE6"/>
    <w:rsid w:val="00F625B4"/>
    <w:rsid w:val="00F627B8"/>
    <w:rsid w:val="00F629BC"/>
    <w:rsid w:val="00F62EB9"/>
    <w:rsid w:val="00F63753"/>
    <w:rsid w:val="00F6385F"/>
    <w:rsid w:val="00F64BAB"/>
    <w:rsid w:val="00F66DFA"/>
    <w:rsid w:val="00F700B3"/>
    <w:rsid w:val="00F706DC"/>
    <w:rsid w:val="00F70E35"/>
    <w:rsid w:val="00F71BD2"/>
    <w:rsid w:val="00F734A2"/>
    <w:rsid w:val="00F73A24"/>
    <w:rsid w:val="00F74031"/>
    <w:rsid w:val="00F751B5"/>
    <w:rsid w:val="00F759F5"/>
    <w:rsid w:val="00F770DE"/>
    <w:rsid w:val="00F80158"/>
    <w:rsid w:val="00F81F12"/>
    <w:rsid w:val="00F83FF2"/>
    <w:rsid w:val="00F84116"/>
    <w:rsid w:val="00F84E88"/>
    <w:rsid w:val="00F854FF"/>
    <w:rsid w:val="00F857B1"/>
    <w:rsid w:val="00F86908"/>
    <w:rsid w:val="00F86BC6"/>
    <w:rsid w:val="00F86FC9"/>
    <w:rsid w:val="00F87B56"/>
    <w:rsid w:val="00F902D5"/>
    <w:rsid w:val="00F905DF"/>
    <w:rsid w:val="00F92219"/>
    <w:rsid w:val="00F92C69"/>
    <w:rsid w:val="00F92CC5"/>
    <w:rsid w:val="00F9334A"/>
    <w:rsid w:val="00F94827"/>
    <w:rsid w:val="00F9526F"/>
    <w:rsid w:val="00F9649A"/>
    <w:rsid w:val="00F96738"/>
    <w:rsid w:val="00F96889"/>
    <w:rsid w:val="00F96A2C"/>
    <w:rsid w:val="00F96B5F"/>
    <w:rsid w:val="00F97A99"/>
    <w:rsid w:val="00F97B6B"/>
    <w:rsid w:val="00FA0A9B"/>
    <w:rsid w:val="00FA1FE0"/>
    <w:rsid w:val="00FA2392"/>
    <w:rsid w:val="00FA28BC"/>
    <w:rsid w:val="00FA347A"/>
    <w:rsid w:val="00FA42D6"/>
    <w:rsid w:val="00FA468D"/>
    <w:rsid w:val="00FA4C25"/>
    <w:rsid w:val="00FA4E04"/>
    <w:rsid w:val="00FA59B6"/>
    <w:rsid w:val="00FA60D6"/>
    <w:rsid w:val="00FA6977"/>
    <w:rsid w:val="00FA6BDF"/>
    <w:rsid w:val="00FA751C"/>
    <w:rsid w:val="00FA75C0"/>
    <w:rsid w:val="00FA7C7A"/>
    <w:rsid w:val="00FA7F54"/>
    <w:rsid w:val="00FB05A4"/>
    <w:rsid w:val="00FB0726"/>
    <w:rsid w:val="00FB166B"/>
    <w:rsid w:val="00FB219B"/>
    <w:rsid w:val="00FB2408"/>
    <w:rsid w:val="00FB2743"/>
    <w:rsid w:val="00FB2A36"/>
    <w:rsid w:val="00FB2B4B"/>
    <w:rsid w:val="00FB4C52"/>
    <w:rsid w:val="00FB4DA6"/>
    <w:rsid w:val="00FB4F09"/>
    <w:rsid w:val="00FB536F"/>
    <w:rsid w:val="00FB5BD4"/>
    <w:rsid w:val="00FC082F"/>
    <w:rsid w:val="00FC176A"/>
    <w:rsid w:val="00FC28C7"/>
    <w:rsid w:val="00FC2A83"/>
    <w:rsid w:val="00FC34A3"/>
    <w:rsid w:val="00FC402E"/>
    <w:rsid w:val="00FC53C4"/>
    <w:rsid w:val="00FC53C5"/>
    <w:rsid w:val="00FC6267"/>
    <w:rsid w:val="00FC7660"/>
    <w:rsid w:val="00FC78B0"/>
    <w:rsid w:val="00FC7FA4"/>
    <w:rsid w:val="00FD04E9"/>
    <w:rsid w:val="00FD071C"/>
    <w:rsid w:val="00FD0C26"/>
    <w:rsid w:val="00FD1426"/>
    <w:rsid w:val="00FD1CA9"/>
    <w:rsid w:val="00FD29B0"/>
    <w:rsid w:val="00FD32BA"/>
    <w:rsid w:val="00FD36B3"/>
    <w:rsid w:val="00FD3DDD"/>
    <w:rsid w:val="00FD3E1A"/>
    <w:rsid w:val="00FD4E21"/>
    <w:rsid w:val="00FD52F3"/>
    <w:rsid w:val="00FD595D"/>
    <w:rsid w:val="00FD59BA"/>
    <w:rsid w:val="00FD5E5C"/>
    <w:rsid w:val="00FD696F"/>
    <w:rsid w:val="00FD7491"/>
    <w:rsid w:val="00FD77B9"/>
    <w:rsid w:val="00FE090B"/>
    <w:rsid w:val="00FE15F3"/>
    <w:rsid w:val="00FE1FDA"/>
    <w:rsid w:val="00FE238B"/>
    <w:rsid w:val="00FE2A96"/>
    <w:rsid w:val="00FE37A8"/>
    <w:rsid w:val="00FE4393"/>
    <w:rsid w:val="00FE46DA"/>
    <w:rsid w:val="00FE47CD"/>
    <w:rsid w:val="00FE4C1F"/>
    <w:rsid w:val="00FE4E98"/>
    <w:rsid w:val="00FE5153"/>
    <w:rsid w:val="00FE5292"/>
    <w:rsid w:val="00FE6C64"/>
    <w:rsid w:val="00FE7B18"/>
    <w:rsid w:val="00FE7FA4"/>
    <w:rsid w:val="00FF003D"/>
    <w:rsid w:val="00FF16C6"/>
    <w:rsid w:val="00FF2413"/>
    <w:rsid w:val="00FF248A"/>
    <w:rsid w:val="00FF334E"/>
    <w:rsid w:val="00FF3554"/>
    <w:rsid w:val="00FF4520"/>
    <w:rsid w:val="00FF513F"/>
    <w:rsid w:val="00FF556C"/>
    <w:rsid w:val="00FF5764"/>
    <w:rsid w:val="00FF582A"/>
    <w:rsid w:val="00FF62B2"/>
    <w:rsid w:val="00FF77C8"/>
    <w:rsid w:val="012B29E5"/>
    <w:rsid w:val="014638C3"/>
    <w:rsid w:val="01582431"/>
    <w:rsid w:val="017FBA19"/>
    <w:rsid w:val="0195A2C3"/>
    <w:rsid w:val="01B2C5BB"/>
    <w:rsid w:val="020B9A00"/>
    <w:rsid w:val="026DC418"/>
    <w:rsid w:val="02B811E4"/>
    <w:rsid w:val="030B3D18"/>
    <w:rsid w:val="032BFF61"/>
    <w:rsid w:val="03C317CD"/>
    <w:rsid w:val="03C49CD1"/>
    <w:rsid w:val="03E2AC6C"/>
    <w:rsid w:val="03F28238"/>
    <w:rsid w:val="04AD095E"/>
    <w:rsid w:val="04CDDD4B"/>
    <w:rsid w:val="05015CFE"/>
    <w:rsid w:val="052444EA"/>
    <w:rsid w:val="053B2E53"/>
    <w:rsid w:val="058267B2"/>
    <w:rsid w:val="058B597E"/>
    <w:rsid w:val="05C27145"/>
    <w:rsid w:val="05DA09E3"/>
    <w:rsid w:val="05F39F42"/>
    <w:rsid w:val="06E0AB7C"/>
    <w:rsid w:val="06FE897C"/>
    <w:rsid w:val="070FD1DB"/>
    <w:rsid w:val="073D8FF6"/>
    <w:rsid w:val="073F4330"/>
    <w:rsid w:val="07568E0B"/>
    <w:rsid w:val="079C2F93"/>
    <w:rsid w:val="07D4623A"/>
    <w:rsid w:val="07F53485"/>
    <w:rsid w:val="080CD06A"/>
    <w:rsid w:val="0817B42A"/>
    <w:rsid w:val="0844F782"/>
    <w:rsid w:val="084D03D4"/>
    <w:rsid w:val="0854C0C1"/>
    <w:rsid w:val="08C36065"/>
    <w:rsid w:val="08E572E4"/>
    <w:rsid w:val="0909AEEA"/>
    <w:rsid w:val="091A18B2"/>
    <w:rsid w:val="0922B059"/>
    <w:rsid w:val="0929F944"/>
    <w:rsid w:val="09372DD8"/>
    <w:rsid w:val="094E0FCD"/>
    <w:rsid w:val="0961D3C0"/>
    <w:rsid w:val="09E5200D"/>
    <w:rsid w:val="0A199EF2"/>
    <w:rsid w:val="0A42C86F"/>
    <w:rsid w:val="0AE50BD1"/>
    <w:rsid w:val="0B459426"/>
    <w:rsid w:val="0B5B0773"/>
    <w:rsid w:val="0BEBA3B6"/>
    <w:rsid w:val="0C2E59F8"/>
    <w:rsid w:val="0C56E27B"/>
    <w:rsid w:val="0C95B60B"/>
    <w:rsid w:val="0CC8620B"/>
    <w:rsid w:val="0CCEDA62"/>
    <w:rsid w:val="0CED8CC7"/>
    <w:rsid w:val="0D209CCD"/>
    <w:rsid w:val="0D2D3C47"/>
    <w:rsid w:val="0D3F31E4"/>
    <w:rsid w:val="0DBCE5A5"/>
    <w:rsid w:val="0DC24E8D"/>
    <w:rsid w:val="0DCCA99A"/>
    <w:rsid w:val="0E0DA012"/>
    <w:rsid w:val="0E889617"/>
    <w:rsid w:val="0F10384D"/>
    <w:rsid w:val="0F2226A3"/>
    <w:rsid w:val="0F28C465"/>
    <w:rsid w:val="0F445FA1"/>
    <w:rsid w:val="0F6313AE"/>
    <w:rsid w:val="0F6B7547"/>
    <w:rsid w:val="0F6EAAED"/>
    <w:rsid w:val="0F95B085"/>
    <w:rsid w:val="0FA3933D"/>
    <w:rsid w:val="0FE782BC"/>
    <w:rsid w:val="100A42F2"/>
    <w:rsid w:val="10755524"/>
    <w:rsid w:val="107FCE9B"/>
    <w:rsid w:val="10E4380A"/>
    <w:rsid w:val="10F5853D"/>
    <w:rsid w:val="1123EB95"/>
    <w:rsid w:val="118E05A6"/>
    <w:rsid w:val="119127CC"/>
    <w:rsid w:val="1198A2FB"/>
    <w:rsid w:val="11A3CD84"/>
    <w:rsid w:val="11AFEA38"/>
    <w:rsid w:val="11D4CA11"/>
    <w:rsid w:val="1224188B"/>
    <w:rsid w:val="12259A37"/>
    <w:rsid w:val="124A3C5E"/>
    <w:rsid w:val="124F860E"/>
    <w:rsid w:val="128165C0"/>
    <w:rsid w:val="12B201B9"/>
    <w:rsid w:val="12C899D6"/>
    <w:rsid w:val="12F3A51E"/>
    <w:rsid w:val="13083019"/>
    <w:rsid w:val="1346F78D"/>
    <w:rsid w:val="13684CD8"/>
    <w:rsid w:val="138F8AF7"/>
    <w:rsid w:val="138FA6B7"/>
    <w:rsid w:val="13F78691"/>
    <w:rsid w:val="140933A6"/>
    <w:rsid w:val="140984CA"/>
    <w:rsid w:val="140AA738"/>
    <w:rsid w:val="140B287A"/>
    <w:rsid w:val="14386289"/>
    <w:rsid w:val="14F287FD"/>
    <w:rsid w:val="14F8EECD"/>
    <w:rsid w:val="150C28CE"/>
    <w:rsid w:val="15294781"/>
    <w:rsid w:val="1573661D"/>
    <w:rsid w:val="15B0964A"/>
    <w:rsid w:val="15BDE9E2"/>
    <w:rsid w:val="162CF41C"/>
    <w:rsid w:val="1635A019"/>
    <w:rsid w:val="1671B85F"/>
    <w:rsid w:val="171D26AE"/>
    <w:rsid w:val="1754F3A6"/>
    <w:rsid w:val="1795CE8B"/>
    <w:rsid w:val="17B4587D"/>
    <w:rsid w:val="17BD6AB5"/>
    <w:rsid w:val="17C28B40"/>
    <w:rsid w:val="17DDD416"/>
    <w:rsid w:val="180EF365"/>
    <w:rsid w:val="185A1DAD"/>
    <w:rsid w:val="186471CA"/>
    <w:rsid w:val="1868FEA2"/>
    <w:rsid w:val="18715D9B"/>
    <w:rsid w:val="18D273F6"/>
    <w:rsid w:val="191C78F0"/>
    <w:rsid w:val="192B6EB6"/>
    <w:rsid w:val="192F9B48"/>
    <w:rsid w:val="196939B6"/>
    <w:rsid w:val="199BD761"/>
    <w:rsid w:val="19DAB306"/>
    <w:rsid w:val="19E2F38F"/>
    <w:rsid w:val="1A55C5EF"/>
    <w:rsid w:val="1AAB5337"/>
    <w:rsid w:val="1AAF4082"/>
    <w:rsid w:val="1ACBB55C"/>
    <w:rsid w:val="1ADCB48E"/>
    <w:rsid w:val="1AE577BC"/>
    <w:rsid w:val="1AE86E98"/>
    <w:rsid w:val="1B1293DC"/>
    <w:rsid w:val="1B2E011E"/>
    <w:rsid w:val="1B9D3C19"/>
    <w:rsid w:val="1BA10E48"/>
    <w:rsid w:val="1BAE86C5"/>
    <w:rsid w:val="1BDC73BD"/>
    <w:rsid w:val="1C541985"/>
    <w:rsid w:val="1C7311E4"/>
    <w:rsid w:val="1C82B6E3"/>
    <w:rsid w:val="1C9EC344"/>
    <w:rsid w:val="1CC0BDEB"/>
    <w:rsid w:val="1CE12FC8"/>
    <w:rsid w:val="1D19C356"/>
    <w:rsid w:val="1D32F431"/>
    <w:rsid w:val="1D53B54C"/>
    <w:rsid w:val="1DAD337C"/>
    <w:rsid w:val="1DFB89E2"/>
    <w:rsid w:val="1E01C5AD"/>
    <w:rsid w:val="1E7926F9"/>
    <w:rsid w:val="1E8326E1"/>
    <w:rsid w:val="1EF26E29"/>
    <w:rsid w:val="1EFA67D9"/>
    <w:rsid w:val="1F9EDBC0"/>
    <w:rsid w:val="1FB0981D"/>
    <w:rsid w:val="1FC0FE8D"/>
    <w:rsid w:val="1FC24147"/>
    <w:rsid w:val="2012618A"/>
    <w:rsid w:val="202CA5E9"/>
    <w:rsid w:val="2032B7EF"/>
    <w:rsid w:val="2064EAB8"/>
    <w:rsid w:val="2066EA8B"/>
    <w:rsid w:val="20BB753C"/>
    <w:rsid w:val="20E949FD"/>
    <w:rsid w:val="20ED66EF"/>
    <w:rsid w:val="20EDD109"/>
    <w:rsid w:val="211DFCBE"/>
    <w:rsid w:val="212B7CE4"/>
    <w:rsid w:val="218ED4B1"/>
    <w:rsid w:val="224C3458"/>
    <w:rsid w:val="2269D51B"/>
    <w:rsid w:val="229A5A5F"/>
    <w:rsid w:val="22B60DF0"/>
    <w:rsid w:val="22E34417"/>
    <w:rsid w:val="230D8FA8"/>
    <w:rsid w:val="232E68C8"/>
    <w:rsid w:val="23487934"/>
    <w:rsid w:val="2362284A"/>
    <w:rsid w:val="23666B26"/>
    <w:rsid w:val="238AC8D9"/>
    <w:rsid w:val="23AE3ADC"/>
    <w:rsid w:val="23B9676E"/>
    <w:rsid w:val="23C03CF3"/>
    <w:rsid w:val="240482FB"/>
    <w:rsid w:val="243BA76D"/>
    <w:rsid w:val="245A26DD"/>
    <w:rsid w:val="24664458"/>
    <w:rsid w:val="24A197C3"/>
    <w:rsid w:val="25132AE4"/>
    <w:rsid w:val="25740446"/>
    <w:rsid w:val="260E2CB2"/>
    <w:rsid w:val="261BE254"/>
    <w:rsid w:val="264B2985"/>
    <w:rsid w:val="2673FE9B"/>
    <w:rsid w:val="269FC0BE"/>
    <w:rsid w:val="26F7B4AB"/>
    <w:rsid w:val="278463D9"/>
    <w:rsid w:val="2836FDDB"/>
    <w:rsid w:val="28597FD3"/>
    <w:rsid w:val="28E75102"/>
    <w:rsid w:val="28F132D2"/>
    <w:rsid w:val="28F4BB23"/>
    <w:rsid w:val="29035F9E"/>
    <w:rsid w:val="290768F1"/>
    <w:rsid w:val="290BB325"/>
    <w:rsid w:val="2945A1BE"/>
    <w:rsid w:val="297ADABF"/>
    <w:rsid w:val="297EFAF5"/>
    <w:rsid w:val="2980336D"/>
    <w:rsid w:val="299BB70C"/>
    <w:rsid w:val="2A0130BC"/>
    <w:rsid w:val="2A07F851"/>
    <w:rsid w:val="2AA5069F"/>
    <w:rsid w:val="2ABDF5E2"/>
    <w:rsid w:val="2AD6B929"/>
    <w:rsid w:val="2AE4F185"/>
    <w:rsid w:val="2AF2F483"/>
    <w:rsid w:val="2AF91D4D"/>
    <w:rsid w:val="2B17DC95"/>
    <w:rsid w:val="2B5EBC6C"/>
    <w:rsid w:val="2B7CF038"/>
    <w:rsid w:val="2B8E40A0"/>
    <w:rsid w:val="2BC9394C"/>
    <w:rsid w:val="2C33708D"/>
    <w:rsid w:val="2C5D92D9"/>
    <w:rsid w:val="2C7745C0"/>
    <w:rsid w:val="2C8D7D4B"/>
    <w:rsid w:val="2D65763A"/>
    <w:rsid w:val="2DA245E0"/>
    <w:rsid w:val="2DD0C398"/>
    <w:rsid w:val="2E1AA4A1"/>
    <w:rsid w:val="2E23A076"/>
    <w:rsid w:val="2E63B8A0"/>
    <w:rsid w:val="2E7CB776"/>
    <w:rsid w:val="2E850FEA"/>
    <w:rsid w:val="2F0C200B"/>
    <w:rsid w:val="2F2C5100"/>
    <w:rsid w:val="2F2E27B5"/>
    <w:rsid w:val="2F7CF2CD"/>
    <w:rsid w:val="2FEE6824"/>
    <w:rsid w:val="2FF8705C"/>
    <w:rsid w:val="30003629"/>
    <w:rsid w:val="3015C62D"/>
    <w:rsid w:val="309825C9"/>
    <w:rsid w:val="309CA3E6"/>
    <w:rsid w:val="30A21492"/>
    <w:rsid w:val="30C29566"/>
    <w:rsid w:val="30C2F437"/>
    <w:rsid w:val="30FDF43E"/>
    <w:rsid w:val="31283A63"/>
    <w:rsid w:val="315E7205"/>
    <w:rsid w:val="31613037"/>
    <w:rsid w:val="31BC308B"/>
    <w:rsid w:val="31ECB6E3"/>
    <w:rsid w:val="32152FF8"/>
    <w:rsid w:val="3222F55A"/>
    <w:rsid w:val="327569FF"/>
    <w:rsid w:val="32A0B2D8"/>
    <w:rsid w:val="32C3BA12"/>
    <w:rsid w:val="32F03B31"/>
    <w:rsid w:val="3301D2E2"/>
    <w:rsid w:val="3356B479"/>
    <w:rsid w:val="33B79305"/>
    <w:rsid w:val="33C1E389"/>
    <w:rsid w:val="33D129E8"/>
    <w:rsid w:val="34159884"/>
    <w:rsid w:val="341E282F"/>
    <w:rsid w:val="348DF0BE"/>
    <w:rsid w:val="34953626"/>
    <w:rsid w:val="351EDF5D"/>
    <w:rsid w:val="358BE037"/>
    <w:rsid w:val="35EB1269"/>
    <w:rsid w:val="3635D60C"/>
    <w:rsid w:val="3651D7F5"/>
    <w:rsid w:val="36665365"/>
    <w:rsid w:val="36F53268"/>
    <w:rsid w:val="3707C5E6"/>
    <w:rsid w:val="3746C9F1"/>
    <w:rsid w:val="3776015F"/>
    <w:rsid w:val="37CAB19D"/>
    <w:rsid w:val="3806AA99"/>
    <w:rsid w:val="3814757E"/>
    <w:rsid w:val="38838EF1"/>
    <w:rsid w:val="388F771A"/>
    <w:rsid w:val="389DBD5B"/>
    <w:rsid w:val="38A61FA1"/>
    <w:rsid w:val="39265CEF"/>
    <w:rsid w:val="393A6EAB"/>
    <w:rsid w:val="39825009"/>
    <w:rsid w:val="39F89276"/>
    <w:rsid w:val="3A028745"/>
    <w:rsid w:val="3A159A26"/>
    <w:rsid w:val="3A19C3B9"/>
    <w:rsid w:val="3A28CCB3"/>
    <w:rsid w:val="3A79C34F"/>
    <w:rsid w:val="3AE4B655"/>
    <w:rsid w:val="3AF3BFC2"/>
    <w:rsid w:val="3B8BE77B"/>
    <w:rsid w:val="3B8C9BFA"/>
    <w:rsid w:val="3BD1C411"/>
    <w:rsid w:val="3BE6135C"/>
    <w:rsid w:val="3C157FE5"/>
    <w:rsid w:val="3CCC39B6"/>
    <w:rsid w:val="3CDDB68F"/>
    <w:rsid w:val="3CFD5177"/>
    <w:rsid w:val="3D4AD48D"/>
    <w:rsid w:val="3D4E6242"/>
    <w:rsid w:val="3D8870FB"/>
    <w:rsid w:val="3DA4DA30"/>
    <w:rsid w:val="3DAE37CF"/>
    <w:rsid w:val="3DD64C37"/>
    <w:rsid w:val="3DE3C31A"/>
    <w:rsid w:val="3E1AD4DF"/>
    <w:rsid w:val="3E61BD7A"/>
    <w:rsid w:val="3EFFCCF1"/>
    <w:rsid w:val="3F4E0624"/>
    <w:rsid w:val="3F7F1973"/>
    <w:rsid w:val="3F91F889"/>
    <w:rsid w:val="3F9A931B"/>
    <w:rsid w:val="3FB6D432"/>
    <w:rsid w:val="3FD283C9"/>
    <w:rsid w:val="3FF33529"/>
    <w:rsid w:val="3FFAF241"/>
    <w:rsid w:val="40029265"/>
    <w:rsid w:val="4011AD4C"/>
    <w:rsid w:val="401B3434"/>
    <w:rsid w:val="403C5E27"/>
    <w:rsid w:val="4084FFCA"/>
    <w:rsid w:val="40ACEB92"/>
    <w:rsid w:val="40CBC02D"/>
    <w:rsid w:val="40FB0CCD"/>
    <w:rsid w:val="41132C80"/>
    <w:rsid w:val="4130E557"/>
    <w:rsid w:val="415A1B1C"/>
    <w:rsid w:val="416ACC28"/>
    <w:rsid w:val="41AE6E57"/>
    <w:rsid w:val="41BA70F0"/>
    <w:rsid w:val="42090CF4"/>
    <w:rsid w:val="423781A0"/>
    <w:rsid w:val="4242ADDF"/>
    <w:rsid w:val="42498201"/>
    <w:rsid w:val="4265B53B"/>
    <w:rsid w:val="427A6A53"/>
    <w:rsid w:val="42C75CAA"/>
    <w:rsid w:val="42F18935"/>
    <w:rsid w:val="42F1F31E"/>
    <w:rsid w:val="43108E39"/>
    <w:rsid w:val="4314BA97"/>
    <w:rsid w:val="434D1C14"/>
    <w:rsid w:val="43EC2C56"/>
    <w:rsid w:val="441F0A0F"/>
    <w:rsid w:val="442B51BA"/>
    <w:rsid w:val="443F690B"/>
    <w:rsid w:val="444586FF"/>
    <w:rsid w:val="44498FF3"/>
    <w:rsid w:val="444C50D4"/>
    <w:rsid w:val="44C04FBA"/>
    <w:rsid w:val="44E79A1F"/>
    <w:rsid w:val="454278B5"/>
    <w:rsid w:val="45533BDA"/>
    <w:rsid w:val="455E81E7"/>
    <w:rsid w:val="45A73036"/>
    <w:rsid w:val="45C47E11"/>
    <w:rsid w:val="461B42B1"/>
    <w:rsid w:val="46288533"/>
    <w:rsid w:val="4630C5D0"/>
    <w:rsid w:val="469E262F"/>
    <w:rsid w:val="46A61C83"/>
    <w:rsid w:val="46B2C4EB"/>
    <w:rsid w:val="46C3F189"/>
    <w:rsid w:val="470F3897"/>
    <w:rsid w:val="47529F72"/>
    <w:rsid w:val="478718D4"/>
    <w:rsid w:val="479992A7"/>
    <w:rsid w:val="47BD73AC"/>
    <w:rsid w:val="481F058A"/>
    <w:rsid w:val="4821FAFD"/>
    <w:rsid w:val="4837B8A0"/>
    <w:rsid w:val="485EF644"/>
    <w:rsid w:val="487FB0C4"/>
    <w:rsid w:val="48A17321"/>
    <w:rsid w:val="48AF1ACB"/>
    <w:rsid w:val="48B88272"/>
    <w:rsid w:val="48BB9C7F"/>
    <w:rsid w:val="4913B304"/>
    <w:rsid w:val="499567DB"/>
    <w:rsid w:val="49BA5B1E"/>
    <w:rsid w:val="49D1189B"/>
    <w:rsid w:val="49DCFADE"/>
    <w:rsid w:val="49FBF5D7"/>
    <w:rsid w:val="4A4D3D04"/>
    <w:rsid w:val="4A6E2A15"/>
    <w:rsid w:val="4A895B97"/>
    <w:rsid w:val="4A91D359"/>
    <w:rsid w:val="4B0B38C7"/>
    <w:rsid w:val="4B67E156"/>
    <w:rsid w:val="4BAF6FB8"/>
    <w:rsid w:val="4BB5DE6F"/>
    <w:rsid w:val="4C4F1EC2"/>
    <w:rsid w:val="4C538F55"/>
    <w:rsid w:val="4C6B90A0"/>
    <w:rsid w:val="4C98EE6E"/>
    <w:rsid w:val="4CB86613"/>
    <w:rsid w:val="4CCAE53B"/>
    <w:rsid w:val="4CF49059"/>
    <w:rsid w:val="4D054BB9"/>
    <w:rsid w:val="4D15E661"/>
    <w:rsid w:val="4D2F457A"/>
    <w:rsid w:val="4D940674"/>
    <w:rsid w:val="4DDB799D"/>
    <w:rsid w:val="4DF737B2"/>
    <w:rsid w:val="4E208022"/>
    <w:rsid w:val="4E8AFCB0"/>
    <w:rsid w:val="4EEB5D28"/>
    <w:rsid w:val="4F0124B2"/>
    <w:rsid w:val="4F052EC9"/>
    <w:rsid w:val="4FE9A3E3"/>
    <w:rsid w:val="4FEAA460"/>
    <w:rsid w:val="500A39BE"/>
    <w:rsid w:val="501C9750"/>
    <w:rsid w:val="5056CDD7"/>
    <w:rsid w:val="50635080"/>
    <w:rsid w:val="50685F89"/>
    <w:rsid w:val="509A909B"/>
    <w:rsid w:val="51471743"/>
    <w:rsid w:val="5156A9B4"/>
    <w:rsid w:val="5186210E"/>
    <w:rsid w:val="522A1C85"/>
    <w:rsid w:val="52473429"/>
    <w:rsid w:val="524FC8F5"/>
    <w:rsid w:val="526CC562"/>
    <w:rsid w:val="52940B9D"/>
    <w:rsid w:val="52F10B95"/>
    <w:rsid w:val="530807DD"/>
    <w:rsid w:val="53177ACE"/>
    <w:rsid w:val="5340641B"/>
    <w:rsid w:val="536FDD1E"/>
    <w:rsid w:val="5410D399"/>
    <w:rsid w:val="54246E8E"/>
    <w:rsid w:val="54BA2496"/>
    <w:rsid w:val="54EF02A2"/>
    <w:rsid w:val="5500E416"/>
    <w:rsid w:val="5509F265"/>
    <w:rsid w:val="55293B8A"/>
    <w:rsid w:val="555EDD96"/>
    <w:rsid w:val="5589C2A9"/>
    <w:rsid w:val="559B72F1"/>
    <w:rsid w:val="55A8798A"/>
    <w:rsid w:val="55AD5CEE"/>
    <w:rsid w:val="562631DD"/>
    <w:rsid w:val="56359B2B"/>
    <w:rsid w:val="5635B430"/>
    <w:rsid w:val="566EDDC5"/>
    <w:rsid w:val="5670399E"/>
    <w:rsid w:val="568E876B"/>
    <w:rsid w:val="568F6097"/>
    <w:rsid w:val="56C221EF"/>
    <w:rsid w:val="56C44E8A"/>
    <w:rsid w:val="56DA7952"/>
    <w:rsid w:val="56E30A6E"/>
    <w:rsid w:val="571D6587"/>
    <w:rsid w:val="5777FB54"/>
    <w:rsid w:val="57847B1D"/>
    <w:rsid w:val="5797BF16"/>
    <w:rsid w:val="5798F1F5"/>
    <w:rsid w:val="57B30448"/>
    <w:rsid w:val="57E1EF3B"/>
    <w:rsid w:val="57FEED90"/>
    <w:rsid w:val="580815E2"/>
    <w:rsid w:val="582BC6BB"/>
    <w:rsid w:val="589257E9"/>
    <w:rsid w:val="58E9A5C7"/>
    <w:rsid w:val="591ACE93"/>
    <w:rsid w:val="596C1E15"/>
    <w:rsid w:val="597A2D67"/>
    <w:rsid w:val="59909BFB"/>
    <w:rsid w:val="59B488D1"/>
    <w:rsid w:val="59D2790D"/>
    <w:rsid w:val="59E802D7"/>
    <w:rsid w:val="5A0E0E33"/>
    <w:rsid w:val="5A4B87B0"/>
    <w:rsid w:val="5A51B9B6"/>
    <w:rsid w:val="5A53C8F3"/>
    <w:rsid w:val="5A7F4796"/>
    <w:rsid w:val="5ABA8B2B"/>
    <w:rsid w:val="5AD667F6"/>
    <w:rsid w:val="5ADFC8FF"/>
    <w:rsid w:val="5AEE1D56"/>
    <w:rsid w:val="5B3EE8F6"/>
    <w:rsid w:val="5B5BA380"/>
    <w:rsid w:val="5B78EE9D"/>
    <w:rsid w:val="5B8C20F1"/>
    <w:rsid w:val="5B8DAC51"/>
    <w:rsid w:val="5BCD93A8"/>
    <w:rsid w:val="5BFFBC39"/>
    <w:rsid w:val="5C05E914"/>
    <w:rsid w:val="5C189829"/>
    <w:rsid w:val="5C27EDD9"/>
    <w:rsid w:val="5C3DB52D"/>
    <w:rsid w:val="5C42F454"/>
    <w:rsid w:val="5C7FA503"/>
    <w:rsid w:val="5C9A5D5B"/>
    <w:rsid w:val="5CAD08B4"/>
    <w:rsid w:val="5CB92EF9"/>
    <w:rsid w:val="5CC61B79"/>
    <w:rsid w:val="5CE9A2D8"/>
    <w:rsid w:val="5CF0DBE6"/>
    <w:rsid w:val="5D0565D6"/>
    <w:rsid w:val="5D235F0F"/>
    <w:rsid w:val="5D2E853A"/>
    <w:rsid w:val="5D412302"/>
    <w:rsid w:val="5D4368C9"/>
    <w:rsid w:val="5D47C8A7"/>
    <w:rsid w:val="5D486413"/>
    <w:rsid w:val="5D8CCEEB"/>
    <w:rsid w:val="5DF569C9"/>
    <w:rsid w:val="5E9B30D8"/>
    <w:rsid w:val="5EAB9373"/>
    <w:rsid w:val="5EB3C809"/>
    <w:rsid w:val="5EC2358D"/>
    <w:rsid w:val="5F00D0EE"/>
    <w:rsid w:val="5F00E07C"/>
    <w:rsid w:val="5F7392EE"/>
    <w:rsid w:val="5F775343"/>
    <w:rsid w:val="5F7A04A0"/>
    <w:rsid w:val="5F978DC8"/>
    <w:rsid w:val="5F97D489"/>
    <w:rsid w:val="5FA420F5"/>
    <w:rsid w:val="600470D8"/>
    <w:rsid w:val="60152AA8"/>
    <w:rsid w:val="60462ED6"/>
    <w:rsid w:val="606A5447"/>
    <w:rsid w:val="60B58365"/>
    <w:rsid w:val="60BF69BF"/>
    <w:rsid w:val="60C5506F"/>
    <w:rsid w:val="60ECE8E9"/>
    <w:rsid w:val="610D77B2"/>
    <w:rsid w:val="61193943"/>
    <w:rsid w:val="611C8526"/>
    <w:rsid w:val="612ECB76"/>
    <w:rsid w:val="612FD8A9"/>
    <w:rsid w:val="6151DC87"/>
    <w:rsid w:val="61605138"/>
    <w:rsid w:val="61622BD5"/>
    <w:rsid w:val="61C72F26"/>
    <w:rsid w:val="61E31022"/>
    <w:rsid w:val="621F4ED5"/>
    <w:rsid w:val="62349CA0"/>
    <w:rsid w:val="623EE2FE"/>
    <w:rsid w:val="6254E011"/>
    <w:rsid w:val="628190B8"/>
    <w:rsid w:val="6290B9BB"/>
    <w:rsid w:val="62B5C5FF"/>
    <w:rsid w:val="63BAAE01"/>
    <w:rsid w:val="63D523E4"/>
    <w:rsid w:val="63D9CEFF"/>
    <w:rsid w:val="6408A897"/>
    <w:rsid w:val="645A1FE0"/>
    <w:rsid w:val="645EDBBB"/>
    <w:rsid w:val="64A5ED59"/>
    <w:rsid w:val="64FC31FB"/>
    <w:rsid w:val="650BF946"/>
    <w:rsid w:val="650DE900"/>
    <w:rsid w:val="652D5541"/>
    <w:rsid w:val="654D7451"/>
    <w:rsid w:val="658C7C38"/>
    <w:rsid w:val="6596BF85"/>
    <w:rsid w:val="65A2606E"/>
    <w:rsid w:val="66075D60"/>
    <w:rsid w:val="66214854"/>
    <w:rsid w:val="662B86B9"/>
    <w:rsid w:val="666C5D24"/>
    <w:rsid w:val="66B0EF92"/>
    <w:rsid w:val="66B18CCC"/>
    <w:rsid w:val="66BB9B3F"/>
    <w:rsid w:val="670268A8"/>
    <w:rsid w:val="6724885F"/>
    <w:rsid w:val="673EA434"/>
    <w:rsid w:val="6778B1A1"/>
    <w:rsid w:val="67BD0A57"/>
    <w:rsid w:val="67F4F49D"/>
    <w:rsid w:val="685EB838"/>
    <w:rsid w:val="689487ED"/>
    <w:rsid w:val="68CB1A62"/>
    <w:rsid w:val="6910DC15"/>
    <w:rsid w:val="691AB6A0"/>
    <w:rsid w:val="691E4C38"/>
    <w:rsid w:val="694CCC4E"/>
    <w:rsid w:val="6978676F"/>
    <w:rsid w:val="6A825F82"/>
    <w:rsid w:val="6A8E805F"/>
    <w:rsid w:val="6A9781B0"/>
    <w:rsid w:val="6AA212D9"/>
    <w:rsid w:val="6AA43B6A"/>
    <w:rsid w:val="6ABE0B55"/>
    <w:rsid w:val="6AD4C7C3"/>
    <w:rsid w:val="6AE5864C"/>
    <w:rsid w:val="6B13F1B3"/>
    <w:rsid w:val="6B3D5B38"/>
    <w:rsid w:val="6B699BC2"/>
    <w:rsid w:val="6C3FB13D"/>
    <w:rsid w:val="6C44748A"/>
    <w:rsid w:val="6C9EBF65"/>
    <w:rsid w:val="6C9F7449"/>
    <w:rsid w:val="6CC8E64B"/>
    <w:rsid w:val="6CEE64E8"/>
    <w:rsid w:val="6D11C26E"/>
    <w:rsid w:val="6D38FE60"/>
    <w:rsid w:val="6D8674F5"/>
    <w:rsid w:val="6DB9AABD"/>
    <w:rsid w:val="6DBB336B"/>
    <w:rsid w:val="6DE981AF"/>
    <w:rsid w:val="6E836EAF"/>
    <w:rsid w:val="6E841C75"/>
    <w:rsid w:val="6EA2040A"/>
    <w:rsid w:val="6ECCBC40"/>
    <w:rsid w:val="6EE03CA7"/>
    <w:rsid w:val="6F3CD04F"/>
    <w:rsid w:val="6F47B51F"/>
    <w:rsid w:val="6F646ADB"/>
    <w:rsid w:val="6F91C3FC"/>
    <w:rsid w:val="6FAB5638"/>
    <w:rsid w:val="6FB891D8"/>
    <w:rsid w:val="6FD600FA"/>
    <w:rsid w:val="6FED2AF6"/>
    <w:rsid w:val="701B2DF8"/>
    <w:rsid w:val="704436C8"/>
    <w:rsid w:val="7079B77F"/>
    <w:rsid w:val="70966A34"/>
    <w:rsid w:val="70A79C99"/>
    <w:rsid w:val="70C6F5E6"/>
    <w:rsid w:val="70FAA4BD"/>
    <w:rsid w:val="71385437"/>
    <w:rsid w:val="7172E966"/>
    <w:rsid w:val="71C297A6"/>
    <w:rsid w:val="71E80EE8"/>
    <w:rsid w:val="71FEADAF"/>
    <w:rsid w:val="72A88D91"/>
    <w:rsid w:val="72AA6EE8"/>
    <w:rsid w:val="72CBDB1C"/>
    <w:rsid w:val="72CC17E8"/>
    <w:rsid w:val="72D64961"/>
    <w:rsid w:val="72F1C9BE"/>
    <w:rsid w:val="734EF4E2"/>
    <w:rsid w:val="738E0133"/>
    <w:rsid w:val="73E36EF6"/>
    <w:rsid w:val="74115C99"/>
    <w:rsid w:val="74C3DEA8"/>
    <w:rsid w:val="74D12EBF"/>
    <w:rsid w:val="74DBDA9A"/>
    <w:rsid w:val="7558EFE8"/>
    <w:rsid w:val="75A1758C"/>
    <w:rsid w:val="7603D9C5"/>
    <w:rsid w:val="760D7CC4"/>
    <w:rsid w:val="763F287E"/>
    <w:rsid w:val="76477EED"/>
    <w:rsid w:val="76C82A1B"/>
    <w:rsid w:val="770888C9"/>
    <w:rsid w:val="770BA6DB"/>
    <w:rsid w:val="777E09ED"/>
    <w:rsid w:val="77818F8C"/>
    <w:rsid w:val="77C124B6"/>
    <w:rsid w:val="7805CDEB"/>
    <w:rsid w:val="780B547B"/>
    <w:rsid w:val="781A5DEF"/>
    <w:rsid w:val="78311B0E"/>
    <w:rsid w:val="784551B6"/>
    <w:rsid w:val="784D014F"/>
    <w:rsid w:val="7871F356"/>
    <w:rsid w:val="78C6F437"/>
    <w:rsid w:val="78D3196D"/>
    <w:rsid w:val="79004621"/>
    <w:rsid w:val="79031024"/>
    <w:rsid w:val="7925CD9A"/>
    <w:rsid w:val="794C2B7F"/>
    <w:rsid w:val="796BBABC"/>
    <w:rsid w:val="797DED74"/>
    <w:rsid w:val="79B226FB"/>
    <w:rsid w:val="7A32F50D"/>
    <w:rsid w:val="7ABC5C06"/>
    <w:rsid w:val="7AD7EFF1"/>
    <w:rsid w:val="7ADDD05F"/>
    <w:rsid w:val="7B1B12EF"/>
    <w:rsid w:val="7B73F208"/>
    <w:rsid w:val="7BB05F68"/>
    <w:rsid w:val="7BEC79B9"/>
    <w:rsid w:val="7C1A69C7"/>
    <w:rsid w:val="7CC93A2B"/>
    <w:rsid w:val="7CCA4BA6"/>
    <w:rsid w:val="7D3C0115"/>
    <w:rsid w:val="7D45EE52"/>
    <w:rsid w:val="7D9E1A90"/>
    <w:rsid w:val="7DAFF55D"/>
    <w:rsid w:val="7DE379EC"/>
    <w:rsid w:val="7DEAB7B4"/>
    <w:rsid w:val="7E824017"/>
    <w:rsid w:val="7E8EF0C3"/>
    <w:rsid w:val="7EB02BA4"/>
    <w:rsid w:val="7EE03462"/>
    <w:rsid w:val="7EE8FA1A"/>
    <w:rsid w:val="7F16292C"/>
    <w:rsid w:val="7F1D134C"/>
    <w:rsid w:val="7F3D998A"/>
    <w:rsid w:val="7FB6CD5C"/>
    <w:rsid w:val="7FD22C11"/>
    <w:rsid w:val="7FF5A50F"/>
    <w:rsid w:val="7FF8D9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24C90"/>
  <w15:chartTrackingRefBased/>
  <w15:docId w15:val="{CF12B147-9896-4B10-9A04-E7D9FD465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8A1"/>
    <w:pPr>
      <w:keepNext/>
      <w:keepLines/>
      <w:spacing w:before="360"/>
      <w:outlineLvl w:val="0"/>
    </w:pPr>
    <w:rPr>
      <w:rFonts w:ascii="Ingram Mono" w:eastAsiaTheme="majorEastAsia" w:hAnsi="Ingram Mono" w:cstheme="majorBidi"/>
      <w:color w:val="000000" w:themeColor="text1"/>
      <w:szCs w:val="40"/>
    </w:rPr>
  </w:style>
  <w:style w:type="paragraph" w:styleId="Heading2">
    <w:name w:val="heading 2"/>
    <w:basedOn w:val="Title"/>
    <w:next w:val="Normal"/>
    <w:link w:val="Heading2Char"/>
    <w:uiPriority w:val="9"/>
    <w:unhideWhenUsed/>
    <w:qFormat/>
    <w:rsid w:val="0022184F"/>
    <w:pPr>
      <w:ind w:left="0"/>
      <w:outlineLvl w:val="1"/>
    </w:pPr>
  </w:style>
  <w:style w:type="paragraph" w:styleId="Heading3">
    <w:name w:val="heading 3"/>
    <w:basedOn w:val="Normal"/>
    <w:next w:val="Normal"/>
    <w:link w:val="Heading3Char"/>
    <w:uiPriority w:val="9"/>
    <w:semiHidden/>
    <w:unhideWhenUsed/>
    <w:qFormat/>
    <w:rsid w:val="000D550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500"/>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500"/>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5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5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5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5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8A1"/>
    <w:rPr>
      <w:rFonts w:ascii="Ingram Mono" w:eastAsiaTheme="majorEastAsia" w:hAnsi="Ingram Mono" w:cstheme="majorBidi"/>
      <w:color w:val="000000" w:themeColor="text1"/>
      <w:szCs w:val="40"/>
    </w:rPr>
  </w:style>
  <w:style w:type="character" w:customStyle="1" w:styleId="Heading2Char">
    <w:name w:val="Heading 2 Char"/>
    <w:basedOn w:val="DefaultParagraphFont"/>
    <w:link w:val="Heading2"/>
    <w:uiPriority w:val="9"/>
    <w:rsid w:val="0022184F"/>
    <w:rPr>
      <w:rFonts w:ascii="PP Neue Montreal Medium" w:hAnsi="PP Neue Montreal Medium"/>
    </w:rPr>
  </w:style>
  <w:style w:type="character" w:customStyle="1" w:styleId="Heading3Char">
    <w:name w:val="Heading 3 Char"/>
    <w:basedOn w:val="DefaultParagraphFont"/>
    <w:link w:val="Heading3"/>
    <w:uiPriority w:val="9"/>
    <w:semiHidden/>
    <w:rsid w:val="000D5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500"/>
    <w:rPr>
      <w:rFonts w:eastAsiaTheme="majorEastAsia" w:cstheme="majorBidi"/>
      <w:color w:val="272727" w:themeColor="text1" w:themeTint="D8"/>
    </w:rPr>
  </w:style>
  <w:style w:type="paragraph" w:styleId="Title">
    <w:name w:val="Title"/>
    <w:basedOn w:val="Normal"/>
    <w:next w:val="Normal"/>
    <w:link w:val="TitleChar"/>
    <w:uiPriority w:val="10"/>
    <w:qFormat/>
    <w:rsid w:val="0022184F"/>
    <w:pPr>
      <w:ind w:left="-720" w:right="-810"/>
    </w:pPr>
    <w:rPr>
      <w:rFonts w:ascii="PP Neue Montreal Medium" w:hAnsi="PP Neue Montreal Medium"/>
    </w:rPr>
  </w:style>
  <w:style w:type="character" w:customStyle="1" w:styleId="TitleChar">
    <w:name w:val="Title Char"/>
    <w:basedOn w:val="DefaultParagraphFont"/>
    <w:link w:val="Title"/>
    <w:uiPriority w:val="10"/>
    <w:rsid w:val="0022184F"/>
    <w:rPr>
      <w:rFonts w:ascii="PP Neue Montreal Medium" w:hAnsi="PP Neue Montreal Medium"/>
    </w:rPr>
  </w:style>
  <w:style w:type="paragraph" w:styleId="Quote">
    <w:name w:val="Quote"/>
    <w:basedOn w:val="Normal"/>
    <w:next w:val="Normal"/>
    <w:link w:val="QuoteChar"/>
    <w:uiPriority w:val="29"/>
    <w:qFormat/>
    <w:rsid w:val="00944E7F"/>
    <w:pPr>
      <w:spacing w:before="360" w:after="360"/>
      <w:ind w:left="720" w:right="900"/>
    </w:pPr>
    <w:rPr>
      <w:rFonts w:ascii="IvyPresto Display Thin" w:hAnsi="IvyPresto Display Thin" w:cs="IvyPresto Display Thin"/>
      <w:i/>
      <w:iCs/>
      <w:color w:val="000000" w:themeColor="text1"/>
      <w:sz w:val="21"/>
      <w:szCs w:val="21"/>
    </w:rPr>
  </w:style>
  <w:style w:type="character" w:customStyle="1" w:styleId="QuoteChar">
    <w:name w:val="Quote Char"/>
    <w:basedOn w:val="DefaultParagraphFont"/>
    <w:link w:val="Quote"/>
    <w:uiPriority w:val="29"/>
    <w:rsid w:val="00944E7F"/>
    <w:rPr>
      <w:rFonts w:ascii="IvyPresto Display Thin" w:hAnsi="IvyPresto Display Thin" w:cs="IvyPresto Display Thin"/>
      <w:i/>
      <w:iCs/>
      <w:color w:val="000000" w:themeColor="text1"/>
      <w:sz w:val="21"/>
      <w:szCs w:val="21"/>
    </w:rPr>
  </w:style>
  <w:style w:type="paragraph" w:styleId="Header">
    <w:name w:val="header"/>
    <w:basedOn w:val="Normal"/>
    <w:link w:val="HeaderChar"/>
    <w:uiPriority w:val="99"/>
    <w:unhideWhenUsed/>
    <w:rsid w:val="000D5500"/>
    <w:pPr>
      <w:tabs>
        <w:tab w:val="center" w:pos="4680"/>
        <w:tab w:val="right" w:pos="9360"/>
      </w:tabs>
    </w:pPr>
  </w:style>
  <w:style w:type="character" w:customStyle="1" w:styleId="HeaderChar">
    <w:name w:val="Header Char"/>
    <w:basedOn w:val="DefaultParagraphFont"/>
    <w:link w:val="Header"/>
    <w:uiPriority w:val="99"/>
    <w:rsid w:val="000D5500"/>
  </w:style>
  <w:style w:type="paragraph" w:styleId="Footer">
    <w:name w:val="footer"/>
    <w:basedOn w:val="Normal"/>
    <w:link w:val="FooterChar"/>
    <w:uiPriority w:val="99"/>
    <w:unhideWhenUsed/>
    <w:rsid w:val="000D5500"/>
    <w:pPr>
      <w:tabs>
        <w:tab w:val="center" w:pos="4680"/>
        <w:tab w:val="right" w:pos="9360"/>
      </w:tabs>
    </w:pPr>
  </w:style>
  <w:style w:type="character" w:customStyle="1" w:styleId="FooterChar">
    <w:name w:val="Footer Char"/>
    <w:basedOn w:val="DefaultParagraphFont"/>
    <w:link w:val="Footer"/>
    <w:uiPriority w:val="99"/>
    <w:rsid w:val="000D5500"/>
  </w:style>
  <w:style w:type="character" w:styleId="PageNumber">
    <w:name w:val="page number"/>
    <w:basedOn w:val="DefaultParagraphFont"/>
    <w:uiPriority w:val="99"/>
    <w:semiHidden/>
    <w:unhideWhenUsed/>
    <w:rsid w:val="00A978A1"/>
  </w:style>
  <w:style w:type="paragraph" w:customStyle="1" w:styleId="PageNumbers">
    <w:name w:val="Page Numbers"/>
    <w:basedOn w:val="Footer"/>
    <w:qFormat/>
    <w:rsid w:val="0022184F"/>
    <w:pPr>
      <w:framePr w:wrap="none" w:vAnchor="text" w:hAnchor="margin" w:xAlign="center" w:y="1"/>
    </w:pPr>
  </w:style>
  <w:style w:type="paragraph" w:styleId="ListParagraph">
    <w:name w:val="List Paragraph"/>
    <w:basedOn w:val="Normal"/>
    <w:uiPriority w:val="34"/>
    <w:qFormat/>
    <w:rsid w:val="00CB6904"/>
    <w:pPr>
      <w:ind w:left="720"/>
      <w:contextualSpacing/>
    </w:pPr>
  </w:style>
  <w:style w:type="paragraph" w:styleId="NormalWeb">
    <w:name w:val="Normal (Web)"/>
    <w:basedOn w:val="Normal"/>
    <w:uiPriority w:val="99"/>
    <w:semiHidden/>
    <w:unhideWhenUsed/>
    <w:rsid w:val="00362F1D"/>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62F1D"/>
  </w:style>
  <w:style w:type="character" w:styleId="Strong">
    <w:name w:val="Strong"/>
    <w:basedOn w:val="DefaultParagraphFont"/>
    <w:uiPriority w:val="22"/>
    <w:qFormat/>
    <w:rsid w:val="00362F1D"/>
    <w:rPr>
      <w:b/>
      <w:bCs/>
    </w:rPr>
  </w:style>
  <w:style w:type="character" w:styleId="CommentReference">
    <w:name w:val="annotation reference"/>
    <w:basedOn w:val="DefaultParagraphFont"/>
    <w:uiPriority w:val="99"/>
    <w:semiHidden/>
    <w:unhideWhenUsed/>
    <w:rsid w:val="00A213E1"/>
    <w:rPr>
      <w:sz w:val="16"/>
      <w:szCs w:val="16"/>
    </w:rPr>
  </w:style>
  <w:style w:type="paragraph" w:styleId="CommentText">
    <w:name w:val="annotation text"/>
    <w:basedOn w:val="Normal"/>
    <w:link w:val="CommentTextChar"/>
    <w:uiPriority w:val="99"/>
    <w:unhideWhenUsed/>
    <w:rsid w:val="00A213E1"/>
    <w:rPr>
      <w:sz w:val="20"/>
      <w:szCs w:val="20"/>
    </w:rPr>
  </w:style>
  <w:style w:type="character" w:customStyle="1" w:styleId="CommentTextChar">
    <w:name w:val="Comment Text Char"/>
    <w:basedOn w:val="DefaultParagraphFont"/>
    <w:link w:val="CommentText"/>
    <w:uiPriority w:val="99"/>
    <w:rsid w:val="00A213E1"/>
    <w:rPr>
      <w:sz w:val="20"/>
      <w:szCs w:val="20"/>
    </w:rPr>
  </w:style>
  <w:style w:type="paragraph" w:styleId="CommentSubject">
    <w:name w:val="annotation subject"/>
    <w:basedOn w:val="CommentText"/>
    <w:next w:val="CommentText"/>
    <w:link w:val="CommentSubjectChar"/>
    <w:uiPriority w:val="99"/>
    <w:semiHidden/>
    <w:unhideWhenUsed/>
    <w:rsid w:val="00A213E1"/>
    <w:rPr>
      <w:b/>
      <w:bCs/>
    </w:rPr>
  </w:style>
  <w:style w:type="character" w:customStyle="1" w:styleId="CommentSubjectChar">
    <w:name w:val="Comment Subject Char"/>
    <w:basedOn w:val="CommentTextChar"/>
    <w:link w:val="CommentSubject"/>
    <w:uiPriority w:val="99"/>
    <w:semiHidden/>
    <w:rsid w:val="00A213E1"/>
    <w:rPr>
      <w:b/>
      <w:bCs/>
      <w:sz w:val="20"/>
      <w:szCs w:val="20"/>
    </w:rPr>
  </w:style>
  <w:style w:type="table" w:styleId="TableGrid">
    <w:name w:val="Table Grid"/>
    <w:basedOn w:val="TableNormal"/>
    <w:uiPriority w:val="39"/>
    <w:rsid w:val="00FE6C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1B3D"/>
    <w:pPr>
      <w:spacing w:before="480" w:after="0" w:line="276" w:lineRule="auto"/>
      <w:outlineLvl w:val="9"/>
    </w:pPr>
    <w:rPr>
      <w:rFonts w:asciiTheme="majorHAnsi" w:hAnsiTheme="majorHAnsi"/>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081E7E"/>
    <w:pPr>
      <w:pBdr>
        <w:between w:val="double" w:sz="6" w:space="0" w:color="auto"/>
      </w:pBdr>
      <w:tabs>
        <w:tab w:val="right" w:pos="10790"/>
      </w:tabs>
      <w:spacing w:before="120" w:after="120"/>
    </w:pPr>
    <w:rPr>
      <w:rFonts w:ascii="IvyPresto Display Thin" w:eastAsiaTheme="majorEastAsia" w:hAnsi="IvyPresto Display Thin" w:cs="IvyPresto Display Thin"/>
      <w:i/>
      <w:iCs/>
      <w:noProof/>
      <w:color w:val="215E99"/>
      <w:sz w:val="22"/>
      <w:szCs w:val="22"/>
    </w:rPr>
  </w:style>
  <w:style w:type="character" w:styleId="Hyperlink">
    <w:name w:val="Hyperlink"/>
    <w:basedOn w:val="DefaultParagraphFont"/>
    <w:uiPriority w:val="99"/>
    <w:unhideWhenUsed/>
    <w:rsid w:val="00101B3D"/>
    <w:rPr>
      <w:color w:val="467886" w:themeColor="hyperlink"/>
      <w:u w:val="single"/>
    </w:rPr>
  </w:style>
  <w:style w:type="paragraph" w:styleId="TOC2">
    <w:name w:val="toc 2"/>
    <w:basedOn w:val="Normal"/>
    <w:next w:val="Normal"/>
    <w:autoRedefine/>
    <w:uiPriority w:val="39"/>
    <w:unhideWhenUsed/>
    <w:rsid w:val="00ED600E"/>
    <w:pPr>
      <w:pBdr>
        <w:between w:val="double" w:sz="6" w:space="0" w:color="auto"/>
      </w:pBdr>
      <w:spacing w:before="120" w:after="120"/>
      <w:jc w:val="center"/>
    </w:pPr>
    <w:rPr>
      <w:i/>
      <w:iCs/>
      <w:sz w:val="20"/>
      <w:szCs w:val="20"/>
    </w:rPr>
  </w:style>
  <w:style w:type="paragraph" w:styleId="TOC3">
    <w:name w:val="toc 3"/>
    <w:basedOn w:val="Normal"/>
    <w:next w:val="Normal"/>
    <w:autoRedefine/>
    <w:uiPriority w:val="39"/>
    <w:unhideWhenUsed/>
    <w:rsid w:val="00ED600E"/>
    <w:pPr>
      <w:pBdr>
        <w:between w:val="double" w:sz="6" w:space="0" w:color="auto"/>
      </w:pBdr>
      <w:spacing w:before="120" w:after="120"/>
      <w:ind w:left="240"/>
      <w:jc w:val="center"/>
    </w:pPr>
    <w:rPr>
      <w:sz w:val="20"/>
      <w:szCs w:val="20"/>
    </w:rPr>
  </w:style>
  <w:style w:type="paragraph" w:styleId="TOC4">
    <w:name w:val="toc 4"/>
    <w:basedOn w:val="Normal"/>
    <w:next w:val="Normal"/>
    <w:autoRedefine/>
    <w:uiPriority w:val="39"/>
    <w:unhideWhenUsed/>
    <w:rsid w:val="00ED600E"/>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unhideWhenUsed/>
    <w:rsid w:val="00ED600E"/>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unhideWhenUsed/>
    <w:rsid w:val="00ED600E"/>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unhideWhenUsed/>
    <w:rsid w:val="00ED600E"/>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unhideWhenUsed/>
    <w:rsid w:val="00ED600E"/>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unhideWhenUsed/>
    <w:rsid w:val="00ED600E"/>
    <w:pPr>
      <w:pBdr>
        <w:between w:val="double" w:sz="6" w:space="0" w:color="auto"/>
      </w:pBdr>
      <w:spacing w:before="120" w:after="120"/>
      <w:ind w:left="1680"/>
      <w:jc w:val="center"/>
    </w:pPr>
    <w:rPr>
      <w:sz w:val="20"/>
      <w:szCs w:val="20"/>
    </w:rPr>
  </w:style>
  <w:style w:type="paragraph" w:styleId="Revision">
    <w:name w:val="Revision"/>
    <w:hidden/>
    <w:uiPriority w:val="99"/>
    <w:semiHidden/>
    <w:rsid w:val="006A3F7D"/>
    <w:pPr>
      <w:spacing w:before="0" w:after="0"/>
    </w:pPr>
  </w:style>
  <w:style w:type="character" w:styleId="Mention">
    <w:name w:val="Mention"/>
    <w:basedOn w:val="DefaultParagraphFont"/>
    <w:uiPriority w:val="99"/>
    <w:unhideWhenUsed/>
    <w:rsid w:val="005D71AB"/>
    <w:rPr>
      <w:color w:val="2B579A"/>
      <w:shd w:val="clear" w:color="auto" w:fill="E1DFDD"/>
    </w:rPr>
  </w:style>
  <w:style w:type="character" w:styleId="FollowedHyperlink">
    <w:name w:val="FollowedHyperlink"/>
    <w:basedOn w:val="DefaultParagraphFont"/>
    <w:uiPriority w:val="99"/>
    <w:semiHidden/>
    <w:unhideWhenUsed/>
    <w:rsid w:val="001C03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33173">
      <w:bodyDiv w:val="1"/>
      <w:marLeft w:val="0"/>
      <w:marRight w:val="0"/>
      <w:marTop w:val="0"/>
      <w:marBottom w:val="0"/>
      <w:divBdr>
        <w:top w:val="none" w:sz="0" w:space="0" w:color="auto"/>
        <w:left w:val="none" w:sz="0" w:space="0" w:color="auto"/>
        <w:bottom w:val="none" w:sz="0" w:space="0" w:color="auto"/>
        <w:right w:val="none" w:sz="0" w:space="0" w:color="auto"/>
      </w:divBdr>
    </w:div>
    <w:div w:id="291716946">
      <w:bodyDiv w:val="1"/>
      <w:marLeft w:val="0"/>
      <w:marRight w:val="0"/>
      <w:marTop w:val="0"/>
      <w:marBottom w:val="0"/>
      <w:divBdr>
        <w:top w:val="none" w:sz="0" w:space="0" w:color="auto"/>
        <w:left w:val="none" w:sz="0" w:space="0" w:color="auto"/>
        <w:bottom w:val="none" w:sz="0" w:space="0" w:color="auto"/>
        <w:right w:val="none" w:sz="0" w:space="0" w:color="auto"/>
      </w:divBdr>
    </w:div>
    <w:div w:id="981934017">
      <w:bodyDiv w:val="1"/>
      <w:marLeft w:val="0"/>
      <w:marRight w:val="0"/>
      <w:marTop w:val="0"/>
      <w:marBottom w:val="0"/>
      <w:divBdr>
        <w:top w:val="none" w:sz="0" w:space="0" w:color="auto"/>
        <w:left w:val="none" w:sz="0" w:space="0" w:color="auto"/>
        <w:bottom w:val="none" w:sz="0" w:space="0" w:color="auto"/>
        <w:right w:val="none" w:sz="0" w:space="0" w:color="auto"/>
      </w:divBdr>
    </w:div>
    <w:div w:id="1140414642">
      <w:bodyDiv w:val="1"/>
      <w:marLeft w:val="0"/>
      <w:marRight w:val="0"/>
      <w:marTop w:val="0"/>
      <w:marBottom w:val="0"/>
      <w:divBdr>
        <w:top w:val="none" w:sz="0" w:space="0" w:color="auto"/>
        <w:left w:val="none" w:sz="0" w:space="0" w:color="auto"/>
        <w:bottom w:val="none" w:sz="0" w:space="0" w:color="auto"/>
        <w:right w:val="none" w:sz="0" w:space="0" w:color="auto"/>
      </w:divBdr>
    </w:div>
    <w:div w:id="1316490082">
      <w:bodyDiv w:val="1"/>
      <w:marLeft w:val="0"/>
      <w:marRight w:val="0"/>
      <w:marTop w:val="0"/>
      <w:marBottom w:val="0"/>
      <w:divBdr>
        <w:top w:val="none" w:sz="0" w:space="0" w:color="auto"/>
        <w:left w:val="none" w:sz="0" w:space="0" w:color="auto"/>
        <w:bottom w:val="none" w:sz="0" w:space="0" w:color="auto"/>
        <w:right w:val="none" w:sz="0" w:space="0" w:color="auto"/>
      </w:divBdr>
    </w:div>
    <w:div w:id="1601334296">
      <w:bodyDiv w:val="1"/>
      <w:marLeft w:val="0"/>
      <w:marRight w:val="0"/>
      <w:marTop w:val="0"/>
      <w:marBottom w:val="0"/>
      <w:divBdr>
        <w:top w:val="none" w:sz="0" w:space="0" w:color="auto"/>
        <w:left w:val="none" w:sz="0" w:space="0" w:color="auto"/>
        <w:bottom w:val="none" w:sz="0" w:space="0" w:color="auto"/>
        <w:right w:val="none" w:sz="0" w:space="0" w:color="auto"/>
      </w:divBdr>
    </w:div>
    <w:div w:id="1699769189">
      <w:bodyDiv w:val="1"/>
      <w:marLeft w:val="0"/>
      <w:marRight w:val="0"/>
      <w:marTop w:val="0"/>
      <w:marBottom w:val="0"/>
      <w:divBdr>
        <w:top w:val="none" w:sz="0" w:space="0" w:color="auto"/>
        <w:left w:val="none" w:sz="0" w:space="0" w:color="auto"/>
        <w:bottom w:val="none" w:sz="0" w:space="0" w:color="auto"/>
        <w:right w:val="none" w:sz="0" w:space="0" w:color="auto"/>
      </w:divBdr>
    </w:div>
    <w:div w:id="1961842560">
      <w:bodyDiv w:val="1"/>
      <w:marLeft w:val="0"/>
      <w:marRight w:val="0"/>
      <w:marTop w:val="0"/>
      <w:marBottom w:val="0"/>
      <w:divBdr>
        <w:top w:val="none" w:sz="0" w:space="0" w:color="auto"/>
        <w:left w:val="none" w:sz="0" w:space="0" w:color="auto"/>
        <w:bottom w:val="none" w:sz="0" w:space="0" w:color="auto"/>
        <w:right w:val="none" w:sz="0" w:space="0" w:color="auto"/>
      </w:divBdr>
    </w:div>
    <w:div w:id="1967810283">
      <w:bodyDiv w:val="1"/>
      <w:marLeft w:val="0"/>
      <w:marRight w:val="0"/>
      <w:marTop w:val="0"/>
      <w:marBottom w:val="0"/>
      <w:divBdr>
        <w:top w:val="none" w:sz="0" w:space="0" w:color="auto"/>
        <w:left w:val="none" w:sz="0" w:space="0" w:color="auto"/>
        <w:bottom w:val="none" w:sz="0" w:space="0" w:color="auto"/>
        <w:right w:val="none" w:sz="0" w:space="0" w:color="auto"/>
      </w:divBdr>
    </w:div>
    <w:div w:id="2096120907">
      <w:bodyDiv w:val="1"/>
      <w:marLeft w:val="0"/>
      <w:marRight w:val="0"/>
      <w:marTop w:val="0"/>
      <w:marBottom w:val="0"/>
      <w:divBdr>
        <w:top w:val="none" w:sz="0" w:space="0" w:color="auto"/>
        <w:left w:val="none" w:sz="0" w:space="0" w:color="auto"/>
        <w:bottom w:val="none" w:sz="0" w:space="0" w:color="auto"/>
        <w:right w:val="none" w:sz="0" w:space="0" w:color="auto"/>
      </w:divBdr>
      <w:divsChild>
        <w:div w:id="445387804">
          <w:marLeft w:val="446"/>
          <w:marRight w:val="0"/>
          <w:marTop w:val="0"/>
          <w:marBottom w:val="240"/>
          <w:divBdr>
            <w:top w:val="none" w:sz="0" w:space="0" w:color="auto"/>
            <w:left w:val="none" w:sz="0" w:space="0" w:color="auto"/>
            <w:bottom w:val="none" w:sz="0" w:space="0" w:color="auto"/>
            <w:right w:val="none" w:sz="0" w:space="0" w:color="auto"/>
          </w:divBdr>
        </w:div>
        <w:div w:id="606081022">
          <w:marLeft w:val="446"/>
          <w:marRight w:val="0"/>
          <w:marTop w:val="0"/>
          <w:marBottom w:val="240"/>
          <w:divBdr>
            <w:top w:val="none" w:sz="0" w:space="0" w:color="auto"/>
            <w:left w:val="none" w:sz="0" w:space="0" w:color="auto"/>
            <w:bottom w:val="none" w:sz="0" w:space="0" w:color="auto"/>
            <w:right w:val="none" w:sz="0" w:space="0" w:color="auto"/>
          </w:divBdr>
        </w:div>
        <w:div w:id="659768511">
          <w:marLeft w:val="446"/>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cnow.org/topics/health-spending/340b-drug-pricing-program" TargetMode="External"/><Relationship Id="rId18" Type="http://schemas.openxmlformats.org/officeDocument/2006/relationships/hyperlink" Target="https://pmc.ncbi.nlm.nih.gov/articles/PMC10656114/" TargetMode="External"/><Relationship Id="rId26" Type="http://schemas.openxmlformats.org/officeDocument/2006/relationships/hyperlink" Target="https://payerprice.com/rates/31255-CPT-fee-schedule" TargetMode="External"/><Relationship Id="rId39" Type="http://schemas.openxmlformats.org/officeDocument/2006/relationships/hyperlink" Target="https://biologicmeds.org/biologic-basics/the-real-cost-of-biologic-drugs/" TargetMode="External"/><Relationship Id="rId21" Type="http://schemas.openxmlformats.org/officeDocument/2006/relationships/hyperlink" Target="https://www.ensemblehp.com/blog/how-were-addressing-patient-referral-leakage/" TargetMode="External"/><Relationship Id="rId34" Type="http://schemas.openxmlformats.org/officeDocument/2006/relationships/hyperlink" Target="https://newsroom.accenture.com/news/2016/us-hospitals-that-provide-superior-patient-experience-generate-50-percent-higher-financial-performance-than-average-providers-accenture-finds" TargetMode="External"/><Relationship Id="rId42" Type="http://schemas.openxmlformats.org/officeDocument/2006/relationships/hyperlink" Target="https://www.carecredit.com/well-u/health-wellness/gastroenterology-visit-cost/" TargetMode="External"/><Relationship Id="rId47" Type="http://schemas.openxmlformats.org/officeDocument/2006/relationships/hyperlink" Target="https://www.surgimate.com/your-ultimate-guide-surgery-cancellation-policy/" TargetMode="External"/><Relationship Id="rId50" Type="http://schemas.openxmlformats.org/officeDocument/2006/relationships/hyperlink" Target="https://www.millerandzois.com/medical-malpractice/medical-malpractice-settlement-worth/" TargetMode="External"/><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340bhealth.org/members/340b-program/overview/" TargetMode="External"/><Relationship Id="rId29" Type="http://schemas.openxmlformats.org/officeDocument/2006/relationships/hyperlink" Target="https://docpanel.com/ct-scan-vs-mri-uses-cost-risks-more" TargetMode="External"/><Relationship Id="rId11" Type="http://schemas.openxmlformats.org/officeDocument/2006/relationships/hyperlink" Target="https://en.wikipedia.org/wiki/Observability" TargetMode="External"/><Relationship Id="rId24" Type="http://schemas.openxmlformats.org/officeDocument/2006/relationships/hyperlink" Target="https://payerprice.com/rates/31231-CPT-fee-schedule" TargetMode="External"/><Relationship Id="rId32" Type="http://schemas.openxmlformats.org/officeDocument/2006/relationships/hyperlink" Target="https://pmc.ncbi.nlm.nih.gov/articles/PMC8064262/" TargetMode="External"/><Relationship Id="rId37" Type="http://schemas.openxmlformats.org/officeDocument/2006/relationships/hyperlink" Target="https://www.healthline.com/health/mri-vs-xray" TargetMode="External"/><Relationship Id="rId40" Type="http://schemas.openxmlformats.org/officeDocument/2006/relationships/hyperlink" Target="https://kffhealthnews.org/news/article/humira-abbvie-biosimilar-biologic-savings-pbm-rebates/" TargetMode="External"/><Relationship Id="rId45" Type="http://schemas.openxmlformats.org/officeDocument/2006/relationships/hyperlink" Target="https://pharm.ucsf.edu/kidney/need/statistics" TargetMode="External"/><Relationship Id="rId53" Type="http://schemas.openxmlformats.org/officeDocument/2006/relationships/hyperlink" Target="https://www.ama-assn.org/practice-management/physician-health/how-much-physician-burnout-costing-your-organization" TargetMode="External"/><Relationship Id="rId58" Type="http://schemas.openxmlformats.org/officeDocument/2006/relationships/header" Target="header3.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hyperlink" Target="https://www.beckershospitalreview.com/finance/what-separates-high-and-low-performing-hospitals-in-2025/" TargetMode="External"/><Relationship Id="rId14" Type="http://schemas.openxmlformats.org/officeDocument/2006/relationships/hyperlink" Target="https://www.commonwealthfund.org/publications/explainer/2025/aug/340b-drug-pricing-program-how-it-works-and-why-its-controversial" TargetMode="External"/><Relationship Id="rId22" Type="http://schemas.openxmlformats.org/officeDocument/2006/relationships/hyperlink" Target="https://www.glassbeam.com/the-hidden-impact-of-referral-revenue-leakage/" TargetMode="External"/><Relationship Id="rId27" Type="http://schemas.openxmlformats.org/officeDocument/2006/relationships/hyperlink" Target="https://webmdignite.com/faq/patient-referral-leakage" TargetMode="External"/><Relationship Id="rId30" Type="http://schemas.openxmlformats.org/officeDocument/2006/relationships/hyperlink" Target="https://heartlandimagingcenters.com/2021/03/19/why-are-mris-so-expensive-at-hospitals/" TargetMode="External"/><Relationship Id="rId35" Type="http://schemas.openxmlformats.org/officeDocument/2006/relationships/hyperlink" Target="https://www.deloitte.com/us/en/Industries/life-sciences-health-care/articles/hospitals-patient-experience.html" TargetMode="External"/><Relationship Id="rId43" Type="http://schemas.openxmlformats.org/officeDocument/2006/relationships/hyperlink" Target="https://www.healthline.com/health/kidney-disease/affording-treatment-for-ckd" TargetMode="External"/><Relationship Id="rId48" Type="http://schemas.openxmlformats.org/officeDocument/2006/relationships/hyperlink" Target="https://www.ama-assn.org/practice-management/prior-authorization/don-t-fall-these-myths-prior-authorization"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unitedhealthgroup.com/content/dam/UHG/PDF/2019/UHG-Avoidable-ED-Visits.pdf" TargetMode="External"/><Relationship Id="rId3" Type="http://schemas.openxmlformats.org/officeDocument/2006/relationships/customXml" Target="../customXml/item3.xml"/><Relationship Id="rId12" Type="http://schemas.openxmlformats.org/officeDocument/2006/relationships/hyperlink" Target="https://www.tha.org/issues/medicare-and-medicaid/340b-drug-pricing-program/" TargetMode="External"/><Relationship Id="rId17" Type="http://schemas.openxmlformats.org/officeDocument/2006/relationships/hyperlink" Target="https://phrma.org/policy-issues/340b" TargetMode="External"/><Relationship Id="rId25" Type="http://schemas.openxmlformats.org/officeDocument/2006/relationships/hyperlink" Target="https://www.stryker.com/content/dam/commercial/usa/ent/gsnps/ENT-GSNPS-REIM-766503-EN_US.pdf" TargetMode="External"/><Relationship Id="rId33" Type="http://schemas.openxmlformats.org/officeDocument/2006/relationships/hyperlink" Target="https://www.mypreop.org/post/surgery-cancellation-rate-benchmark-cost-calculator" TargetMode="External"/><Relationship Id="rId38" Type="http://schemas.openxmlformats.org/officeDocument/2006/relationships/hyperlink" Target="https://www.goodrx.com/sertraline/sertraline-cost-without-insurance" TargetMode="External"/><Relationship Id="rId46" Type="http://schemas.openxmlformats.org/officeDocument/2006/relationships/hyperlink" Target="https://pharm.ucsf.edu/kidney/need/statistics" TargetMode="External"/><Relationship Id="rId59" Type="http://schemas.openxmlformats.org/officeDocument/2006/relationships/fontTable" Target="fontTable.xml"/><Relationship Id="rId20" Type="http://schemas.openxmlformats.org/officeDocument/2006/relationships/hyperlink" Target="https://www.simbo.ai/blog/understanding-referral-leakage-its-financial-implications-for-healthcare-organizations-and-patients-4072595/" TargetMode="External"/><Relationship Id="rId41" Type="http://schemas.openxmlformats.org/officeDocument/2006/relationships/hyperlink" Target="https://cost.sidecarhealth.com/c/nephrologist-visit-cost"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amc.org/news/340b-drug-pricing-program" TargetMode="External"/><Relationship Id="rId23" Type="http://schemas.openxmlformats.org/officeDocument/2006/relationships/hyperlink" Target="https://medmatchnetwork.com/referral-leakage-lets-fix-it-together/" TargetMode="External"/><Relationship Id="rId28" Type="http://schemas.openxmlformats.org/officeDocument/2006/relationships/hyperlink" Target="https://webflow.innovaccer.com/blogs/uncovering-the-silent-epidemic-of-referral-leakage" TargetMode="External"/><Relationship Id="rId36" Type="http://schemas.openxmlformats.org/officeDocument/2006/relationships/hyperlink" Target="https://cost.sidecarhealth.com/browse/radiology-services-costs" TargetMode="External"/><Relationship Id="rId49" Type="http://schemas.openxmlformats.org/officeDocument/2006/relationships/hyperlink" Target="https://www.aafp.org/pubs/fpm/issues/2023/1100/prior-authorization.pdf"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academic.oup.com/intqhc/article/33/2/mzab092/6294831" TargetMode="External"/><Relationship Id="rId44" Type="http://schemas.openxmlformats.org/officeDocument/2006/relationships/hyperlink" Target="https://www.jmcp.org/doi/10.18553/jmcp.2009.15.4.312" TargetMode="External"/><Relationship Id="rId52" Type="http://schemas.openxmlformats.org/officeDocument/2006/relationships/hyperlink" Target="https://www.hayeslocums.com/blog/how-much-does-it-cost-to-replace-a-physician-during-peak-demand/"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eradmin\Library\CloudStorage\OneDrive-RedCellPartners\Documents%20-%20Shared%201\Brand,%20Marketing%20&amp;%20Comms%20(Shared)\Red%20Cell%20Resources%20(Brand,%20Marketing,%20Comms)\Red%20Cell%20Brand%20Resource%20Library\Letterhead\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703e4b3-e0fe-4a46-b28a-740599869369" xsi:nil="true"/>
    <lcf76f155ced4ddcb4097134ff3c332f xmlns="5c07ed57-4550-44c4-9923-668b6a74995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3F57E56EFB7104397DCC1FE15D8E20C" ma:contentTypeVersion="11" ma:contentTypeDescription="Create a new document." ma:contentTypeScope="" ma:versionID="8fb2a3fca7afbb159f2eb68493fc32f5">
  <xsd:schema xmlns:xsd="http://www.w3.org/2001/XMLSchema" xmlns:xs="http://www.w3.org/2001/XMLSchema" xmlns:p="http://schemas.microsoft.com/office/2006/metadata/properties" xmlns:ns2="5c07ed57-4550-44c4-9923-668b6a74995f" xmlns:ns3="5703e4b3-e0fe-4a46-b28a-740599869369" targetNamespace="http://schemas.microsoft.com/office/2006/metadata/properties" ma:root="true" ma:fieldsID="b6b7a8442dbd6522b355e16367e7aa8d" ns2:_="" ns3:_="">
    <xsd:import namespace="5c07ed57-4550-44c4-9923-668b6a74995f"/>
    <xsd:import namespace="5703e4b3-e0fe-4a46-b28a-7405998693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7ed57-4550-44c4-9923-668b6a749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42a1d87-85a8-4024-bb9b-56e57afcf6e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03e4b3-e0fe-4a46-b28a-74059986936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dba39d6-bb94-48a0-b8e3-5afe1c5bda0a}" ma:internalName="TaxCatchAll" ma:showField="CatchAllData" ma:web="5703e4b3-e0fe-4a46-b28a-7405998693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8D8417-9B58-4FF3-9662-99C0D395D1CB}">
  <ds:schemaRefs>
    <ds:schemaRef ds:uri="http://schemas.openxmlformats.org/officeDocument/2006/bibliography"/>
  </ds:schemaRefs>
</ds:datastoreItem>
</file>

<file path=customXml/itemProps2.xml><?xml version="1.0" encoding="utf-8"?>
<ds:datastoreItem xmlns:ds="http://schemas.openxmlformats.org/officeDocument/2006/customXml" ds:itemID="{7064112D-4F4F-469E-BC45-CF1893CEAA64}">
  <ds:schemaRefs>
    <ds:schemaRef ds:uri="http://schemas.microsoft.com/office/2006/metadata/properties"/>
    <ds:schemaRef ds:uri="http://schemas.microsoft.com/office/infopath/2007/PartnerControls"/>
    <ds:schemaRef ds:uri="5703e4b3-e0fe-4a46-b28a-740599869369"/>
    <ds:schemaRef ds:uri="5c07ed57-4550-44c4-9923-668b6a74995f"/>
  </ds:schemaRefs>
</ds:datastoreItem>
</file>

<file path=customXml/itemProps3.xml><?xml version="1.0" encoding="utf-8"?>
<ds:datastoreItem xmlns:ds="http://schemas.openxmlformats.org/officeDocument/2006/customXml" ds:itemID="{F3ED23CF-12F2-4AA4-BECE-722C456396E1}">
  <ds:schemaRefs>
    <ds:schemaRef ds:uri="http://schemas.microsoft.com/sharepoint/v3/contenttype/forms"/>
  </ds:schemaRefs>
</ds:datastoreItem>
</file>

<file path=customXml/itemProps4.xml><?xml version="1.0" encoding="utf-8"?>
<ds:datastoreItem xmlns:ds="http://schemas.openxmlformats.org/officeDocument/2006/customXml" ds:itemID="{7B7554E0-70FB-44D4-BD2D-0F58C5956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7ed57-4550-44c4-9923-668b6a74995f"/>
    <ds:schemaRef ds:uri="5703e4b3-e0fe-4a46-b28a-7405998693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a4170-0d19-0005-0004-bc88714345d2}" enabled="1" method="Standard" siteId="{f861de50-1a2a-4235-9dbf-28afd57d1d97}" removed="0"/>
</clbl:labelList>
</file>

<file path=docProps/app.xml><?xml version="1.0" encoding="utf-8"?>
<Properties xmlns="http://schemas.openxmlformats.org/officeDocument/2006/extended-properties" xmlns:vt="http://schemas.openxmlformats.org/officeDocument/2006/docPropsVTypes">
  <Template>Letter</Template>
  <TotalTime>0</TotalTime>
  <Pages>1</Pages>
  <Words>9764</Words>
  <Characters>55658</Characters>
  <Application>Microsoft Office Word</Application>
  <DocSecurity>4</DocSecurity>
  <Lines>463</Lines>
  <Paragraphs>130</Paragraphs>
  <ScaleCrop>false</ScaleCrop>
  <Company/>
  <LinksUpToDate>false</LinksUpToDate>
  <CharactersWithSpaces>65292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dc:creator>
  <cp:keywords/>
  <dc:description/>
  <cp:lastModifiedBy>Ari Robicsek</cp:lastModifiedBy>
  <cp:revision>10</cp:revision>
  <cp:lastPrinted>2025-09-23T02:21:00Z</cp:lastPrinted>
  <dcterms:created xsi:type="dcterms:W3CDTF">2025-10-29T21:50:00Z</dcterms:created>
  <dcterms:modified xsi:type="dcterms:W3CDTF">2025-11-19T13:55:00Z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2024-05-13T19:37:42Z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f861de50-1a2a-4235-9dbf-28afd57d1d97</vt:lpwstr>
  </property>
  <property fmtid="{D5CDD505-2E9C-101B-9397-08002B2CF9AE}" pid="7" name="MSIP_Label_defa4170-0d19-0005-0004-bc88714345d2_ActionId">
    <vt:lpwstr>a1e9b235-42fc-49cb-b80f-c55a68265ab1</vt:lpwstr>
  </property>
  <property fmtid="{D5CDD505-2E9C-101B-9397-08002B2CF9AE}" pid="8" name="MSIP_Label_defa4170-0d19-0005-0004-bc88714345d2_ContentBits">
    <vt:lpwstr>0</vt:lpwstr>
  </property>
  <property fmtid="{D5CDD505-2E9C-101B-9397-08002B2CF9AE}" pid="9" name="ContentTypeId">
    <vt:lpwstr>0x01010023F57E56EFB7104397DCC1FE15D8E20C</vt:lpwstr>
  </property>
  <property fmtid="{D5CDD505-2E9C-101B-9397-08002B2CF9AE}" pid="10" name="MediaServiceImageTags">
    <vt:lpwstr/>
  </property>
  <property fmtid="{D5CDD505-2E9C-101B-9397-08002B2CF9AE}" pid="11" name="docLang">
    <vt:lpwstr>en</vt:lpwstr>
  </property>
</Properties>
</file>