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rPr>
              <w:t xml:space="preserve">2. </w:t>
            </w:r>
            <w:r>
              <w:rPr>
                <w:rtl/>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rPr>
              <w:t xml:space="preserve">3. </w:t>
            </w:r>
            <w:r>
              <w:rPr>
                <w:rtl/>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rPr>
              <w:t xml:space="preserve">4. </w:t>
            </w:r>
            <w:r>
              <w:rPr>
                <w:rtl/>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rPr>
              <w:t xml:space="preserve">5. </w:t>
            </w:r>
            <w:r>
              <w:rPr>
                <w:rtl/>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rPr>
              <w:t xml:space="preserve">6. </w:t>
            </w:r>
            <w:r>
              <w:rPr>
                <w:rtl/>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rPr>
              <w:t xml:space="preserve">7. </w:t>
            </w:r>
            <w:r>
              <w:rPr>
                <w:rtl/>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rPr>
              <w:t xml:space="preserve">8. </w:t>
            </w:r>
            <w:r>
              <w:rPr>
                <w:rtl/>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rPr>
              <w:t xml:space="preserve">9. </w:t>
            </w:r>
            <w:r>
              <w:rPr>
                <w:rtl/>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rPr>
              <w:t xml:space="preserve">10. </w:t>
            </w:r>
            <w:r>
              <w:rPr>
                <w:rtl/>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rPr>
              <w:t xml:space="preserve">11. </w:t>
            </w:r>
            <w:r>
              <w:rPr>
                <w:rtl/>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rPr>
              <w:t xml:space="preserve">12. </w:t>
            </w:r>
            <w:r>
              <w:rPr>
                <w:rtl/>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rPr>
              <w:t xml:space="preserve">13. </w:t>
            </w:r>
            <w:r>
              <w:rPr>
                <w:rtl/>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rPr>
              <w:t xml:space="preserve">14. </w:t>
            </w:r>
            <w:r>
              <w:rPr>
                <w:rtl/>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Psalm 27 opens with striking confidence, yet shifts to urgent pleas. What accounts for this dramatic change from assurance to petition, and how should we understand its structure?</w:t>
      </w:r>
    </w:p>
    <w:p>
      <w:pPr>
        <w:pStyle w:val="BodySans"/>
      </w:pPr>
      <w:r>
        <w:rPr>
          <w:b/>
        </w:rPr>
        <w:t xml:space="preserve">2. </w:t>
      </w:r>
      <w:r>
        <w:t>Verse 1 calls YHWH 'my light' ('ori). What does it mean to describe God as light, and what ancient Near Eastern contexts might illuminate this imagery?</w:t>
      </w:r>
    </w:p>
    <w:p>
      <w:pPr>
        <w:pStyle w:val="BodySans"/>
      </w:pPr>
      <w:r>
        <w:rPr>
          <w:b/>
        </w:rPr>
        <w:t xml:space="preserve">3. </w:t>
      </w:r>
      <w:r>
        <w:t>What is the 'one thing' the psalmist desires in verse 4 – to 'gaze' (laḥazot) and 'inquire' (ulebaqer)? How do these actions shape our understanding of seeking God's presence?</w:t>
      </w:r>
    </w:p>
    <w:p>
      <w:pPr>
        <w:pStyle w:val="BodySans"/>
      </w:pPr>
      <w:r>
        <w:rPr>
          <w:b/>
        </w:rPr>
        <w:t xml:space="preserve">4. </w:t>
      </w:r>
      <w:r>
        <w:t>Consider the shelter metaphors in verse 5: pavilion (sukkah), tent, and rock. Are these simply poetic variations, or do they reflect distinct aspects of seeking refuge in God?</w:t>
      </w:r>
    </w:p>
    <w:p>
      <w:pPr>
        <w:pStyle w:val="BodySans"/>
      </w:pPr>
      <w:r>
        <w:rPr>
          <w:b/>
        </w:rPr>
        <w:t xml:space="preserve">5. </w:t>
      </w:r>
      <w:r>
        <w:t>Verse 10 presents a powerful image of parental abandonment. Is this a reflection of a real social crisis, a hyperbolic expression of trust in God, or something else entirely? What is the force of the phrase 'gather/take in' ('sp) in this verse?</w:t>
      </w:r>
    </w:p>
    <w:p>
      <w:pPr>
        <w:pStyle w:val="BodySans"/>
      </w:pPr>
      <w:r>
        <w:rPr>
          <w:b/>
        </w:rPr>
        <w:t xml:space="preserve">6. </w:t>
      </w:r>
      <w:r>
        <w:t>The psalm concludes with an exhortation to 'wait for YHWH' (v. 14). To whom is this command directed, and what implications does it have for how we read the entire psalm?</w:t>
      </w:r>
    </w:p>
    <w:p/>
    <w:p>
      <w:pPr>
        <w:pStyle w:val="Heading2"/>
      </w:pPr>
      <w:r>
        <w:t>Introduction</w:t>
      </w:r>
    </w:p>
    <w:p>
      <w:pPr>
        <w:pStyle w:val="Heading4"/>
      </w:pPr>
      <w:r>
        <w:t>At the Edge of the Doorway</w:t>
      </w:r>
    </w:p>
    <w:p>
      <w:pPr>
        <w:pStyle w:val="BodySans"/>
        <w:bidi w:val="0"/>
      </w:pPr>
      <w:r>
        <w:t>Twice a day, from the first of Elul until Hoshana Rabbah, traditional Jewish communities recite a psalm that seems to argue with itself. It begins with bravado:</w:t>
      </w:r>
    </w:p>
    <w:p>
      <w:pPr>
        <w:pStyle w:val="BodySans"/>
        <w:ind w:left="720"/>
        <w:bidi w:val="0"/>
      </w:pPr>
      <w:r>
        <w:rPr>
          <w:rFonts w:ascii="Aptos" w:hAnsi="Aptos"/>
          <w:i/>
          <w:sz w:val="24"/>
        </w:rPr>
        <w:t>ה׳ אוֹרִי וְיִשְׁעִי, מִמִּי אִירָא;</w:t>
      </w:r>
    </w:p>
    <w:p>
      <w:pPr>
        <w:pStyle w:val="BodySans"/>
        <w:ind w:left="720"/>
        <w:bidi w:val="0"/>
      </w:pPr>
      <w:r>
        <w:rPr>
          <w:rFonts w:ascii="Aptos" w:hAnsi="Aptos"/>
          <w:i/>
          <w:sz w:val="24"/>
        </w:rPr>
        <w:t>‭׃דחָפְאֶ ימִּמִ ,ייַּחַ־זוֹעמָ ה‬</w:t>
      </w:r>
    </w:p>
    <w:p>
      <w:pPr>
        <w:pStyle w:val="BodySans"/>
        <w:ind w:left="720"/>
        <w:bidi w:val="0"/>
      </w:pPr>
      <w:r>
        <w:rPr>
          <w:rFonts w:ascii="Aptos" w:hAnsi="Aptos"/>
          <w:i/>
          <w:sz w:val="24"/>
        </w:rPr>
        <w:t>“The LORD is my light and my salvation—whom shall I fear?</w:t>
      </w:r>
    </w:p>
    <w:p>
      <w:pPr>
        <w:pStyle w:val="BodySans"/>
        <w:ind w:left="720"/>
        <w:bidi w:val="0"/>
      </w:pPr>
      <w:r>
        <w:rPr>
          <w:rFonts w:ascii="Aptos" w:hAnsi="Aptos"/>
          <w:i/>
          <w:sz w:val="24"/>
        </w:rPr>
        <w:t>The LORD is the stronghold of my life—whom shall I dread?” (v. 1)</w:t>
      </w:r>
    </w:p>
    <w:p>
      <w:pPr>
        <w:pStyle w:val="BodySans"/>
        <w:bidi w:val="0"/>
      </w:pPr>
      <w:r>
        <w:t>By any measure, this is confidence verging on defiance. Yet eight verses later the same voice pleads:</w:t>
      </w:r>
    </w:p>
    <w:p>
      <w:pPr>
        <w:pStyle w:val="BodySans"/>
        <w:ind w:left="720"/>
        <w:bidi w:val="0"/>
      </w:pPr>
      <w:r>
        <w:rPr>
          <w:rFonts w:ascii="Aptos" w:hAnsi="Aptos"/>
          <w:i/>
          <w:sz w:val="24"/>
        </w:rPr>
        <w:t>אַל־תַּסְתֵּר פָּנֶיךָ מִמֶּנִּי… אַל־תִּטְּשֵׁנִי וְאַל־תַּעַזְבֵנִי</w:t>
      </w:r>
    </w:p>
    <w:p>
      <w:pPr>
        <w:pStyle w:val="BodySans"/>
        <w:ind w:left="720"/>
        <w:bidi w:val="0"/>
      </w:pPr>
      <w:r>
        <w:rPr>
          <w:rFonts w:ascii="Aptos" w:hAnsi="Aptos"/>
          <w:i/>
          <w:sz w:val="24"/>
        </w:rPr>
        <w:t>“Do not hide Your face from me… do not forsake me, do not abandon me” (v. 9).</w:t>
      </w:r>
    </w:p>
    <w:p>
      <w:pPr>
        <w:pStyle w:val="BodySans"/>
        <w:bidi w:val="0"/>
      </w:pPr>
      <w:r>
        <w:t>So which is it? Unflinching trust or near‑panic that the relationship with God might collapse?</w:t>
      </w:r>
    </w:p>
    <w:p>
      <w:pPr>
        <w:pStyle w:val="BodySans"/>
        <w:bidi w:val="0"/>
      </w:pPr>
      <w:r>
        <w:t>Early in the twentieth century, Hermann Gunkel proposed simply cutting the knot. Verses 1–6, he argued, are a “Song of Trust,” verses 7–14 an “Individual Lament,” stitched together by a later editor. But that neat solution runs aground on the psalm’s own language. The vocabulary of “salvation” ‭(העָוּשׁיְ)‬, “enemies” ‭(םיבִיְאֹ)‬, “seeking” ‭(שׁקֵּבִּ)‬, and “house / tent” (בֵּית–ה׳, אׇהֳלוֹ) weaves back and forth across the supposed seam. The psalm seems almost determined to make its two moods talk to each other.</w:t>
      </w:r>
    </w:p>
    <w:p>
      <w:pPr>
        <w:pStyle w:val="BodySans"/>
        <w:bidi w:val="0"/>
      </w:pPr>
      <w:r>
        <w:t>One way to hear Psalm 27 is not as a botched edit but as a crafted drama of what it feels like to live at the threshold of God’s presence—inside, but always sensing how easy it would be to slip back out.</w:t>
      </w:r>
    </w:p>
    <w:p>
      <w:pPr>
        <w:pStyle w:val="Heading4"/>
      </w:pPr>
      <w:r>
        <w:t>Light, Stronghold, and the Solar Gods</w:t>
      </w:r>
    </w:p>
    <w:p>
      <w:pPr>
        <w:pStyle w:val="BodySans"/>
        <w:bidi w:val="0"/>
      </w:pPr>
      <w:r>
        <w:t xml:space="preserve">The opening metaphor is deceptively simple: “The LORD is my light” — ה׳ אוֹרִי (v. 1). Elsewhere in the Hebrew Bible, God certainly </w:t>
      </w:r>
      <w:r>
        <w:rPr>
          <w:i/>
        </w:rPr>
        <w:t>gives</w:t>
      </w:r>
      <w:r>
        <w:t xml:space="preserve"> light, as in “The LORD make His face shine upon you” — יָאֵר ה׳ פָּנָיו אֵלֶיךָ (Num 6:25), but almost nowhere else is God simply </w:t>
      </w:r>
      <w:r>
        <w:rPr>
          <w:i/>
        </w:rPr>
        <w:t>called</w:t>
      </w:r>
      <w:r>
        <w:t xml:space="preserve"> “light.” Isaiah dreams of a future when “the LORD will be your everlasting light” — ה׳ יִהְיֶה לָךְ לְאוֹר עוֹלָם (Isa 60:19), and Micah says, “When I sit in darkness, the LORD will be a light to me” — ה׳ אוֹר לִי (Mic 7:8). It is striking company.</w:t>
      </w:r>
    </w:p>
    <w:p>
      <w:pPr>
        <w:pStyle w:val="BodySans"/>
        <w:bidi w:val="0"/>
      </w:pPr>
      <w:r>
        <w:t>In the ancient Near East, light was not a neutral metaphor. Shamash, the Mesopotamian sun god, was judge of heaven and earth precisely because his rays “saw” into hidden places. The Ugaritic sun‑goddess Shapash traversed sky and underworld as an all‑seeing eye. To call YHWH “my light” in Jerusalem is to collapse those functions into Israel’s God: he is the one whose radiance exposes threats and whose presence dispels the paralysis of fear.</w:t>
      </w:r>
    </w:p>
    <w:p>
      <w:pPr>
        <w:pStyle w:val="BodySans"/>
        <w:bidi w:val="0"/>
      </w:pPr>
      <w:r>
        <w:t>The second epithet, “stronghold of my life” — מָעוֹז־חַיַּי, is not abstract either. מָעוֹז (</w:t>
      </w:r>
      <w:r>
        <w:rPr>
          <w:i/>
        </w:rPr>
        <w:t>ma‘oz</w:t>
      </w:r>
      <w:r>
        <w:t>) names very literal fortifications throughout the Bible. The prophets speak of “cities of stronghold” — עָרֵי מָעוֹז (Isa 17:9). David’s biography in Samuel is punctuated by dashes to rock‑fortresses in the Judean hills. When the psalmist says “YHWH is my ma‘oz,” he is translating the limestone strongholds of his landscape into theology: the real bastion is not the citadel but the Presence.</w:t>
      </w:r>
    </w:p>
    <w:p>
      <w:pPr>
        <w:pStyle w:val="BodySans"/>
        <w:bidi w:val="0"/>
      </w:pPr>
      <w:r>
        <w:t>Already in verse 1, then, war and worship are fused. Light and fortress, Shamash and David’s stronghold, have been absorbed into a single God. The bravado—“Whom shall I fear?” ‭(ארָיאִ ימִּמִ)‬—flows not from optimism about circumstances but from a redefinition of where security lies.</w:t>
      </w:r>
    </w:p>
    <w:p>
      <w:pPr>
        <w:pStyle w:val="Heading4"/>
      </w:pPr>
      <w:r>
        <w:t>The One Thing: From Battlefield to Temple Court</w:t>
      </w:r>
    </w:p>
    <w:p>
      <w:pPr>
        <w:pStyle w:val="BodySans"/>
        <w:bidi w:val="0"/>
      </w:pPr>
      <w:r>
        <w:t>The psalm’s hinge comes in the “one thing” verse:</w:t>
      </w:r>
    </w:p>
    <w:p>
      <w:pPr>
        <w:pStyle w:val="BodySans"/>
        <w:ind w:left="720"/>
        <w:bidi w:val="0"/>
      </w:pPr>
      <w:r>
        <w:rPr>
          <w:rFonts w:ascii="Aptos" w:hAnsi="Aptos"/>
          <w:i/>
          <w:sz w:val="24"/>
        </w:rPr>
        <w:t>אַחַת שָׁאַלְתִּי מֵאֵת־ה׳, אוֹתָהּ אֲבַקֵּשׁ:</w:t>
      </w:r>
    </w:p>
    <w:p>
      <w:pPr>
        <w:pStyle w:val="BodySans"/>
        <w:ind w:left="720"/>
        <w:bidi w:val="0"/>
      </w:pPr>
      <w:r>
        <w:rPr>
          <w:rFonts w:ascii="Aptos" w:hAnsi="Aptos"/>
          <w:i/>
          <w:sz w:val="24"/>
        </w:rPr>
        <w:t>שִׁבְתִּי בְּבֵית־ה׳ כׇּל־יְמֵי חַיַּי,</w:t>
      </w:r>
    </w:p>
    <w:p>
      <w:pPr>
        <w:pStyle w:val="BodySans"/>
        <w:ind w:left="720"/>
        <w:bidi w:val="0"/>
      </w:pPr>
      <w:r>
        <w:rPr>
          <w:rFonts w:ascii="Aptos" w:hAnsi="Aptos"/>
          <w:i/>
          <w:sz w:val="24"/>
        </w:rPr>
        <w:t>‭(4 .v) ׃וֹלכָיהֵבְּ רקֵּבַלְוּ ,ה־םעַנֹבְּ תוֹזחֲלַ‬</w:t>
      </w:r>
    </w:p>
    <w:p>
      <w:pPr>
        <w:pStyle w:val="BodySans"/>
        <w:ind w:left="720"/>
        <w:bidi w:val="0"/>
      </w:pPr>
      <w:r>
        <w:rPr>
          <w:rFonts w:ascii="Aptos" w:hAnsi="Aptos"/>
          <w:i/>
          <w:sz w:val="24"/>
        </w:rPr>
        <w:t>“One thing I have asked from the LORD, that will I seek:</w:t>
      </w:r>
    </w:p>
    <w:p>
      <w:pPr>
        <w:pStyle w:val="BodySans"/>
        <w:ind w:left="720"/>
        <w:bidi w:val="0"/>
      </w:pPr>
      <w:r>
        <w:rPr>
          <w:rFonts w:ascii="Aptos" w:hAnsi="Aptos"/>
          <w:i/>
          <w:sz w:val="24"/>
        </w:rPr>
        <w:t>to dwell in the house of the LORD all the days of my life,</w:t>
      </w:r>
    </w:p>
    <w:p>
      <w:pPr>
        <w:pStyle w:val="BodySans"/>
        <w:ind w:left="720"/>
        <w:bidi w:val="0"/>
      </w:pPr>
      <w:r>
        <w:rPr>
          <w:rFonts w:ascii="Aptos" w:hAnsi="Aptos"/>
          <w:i/>
          <w:sz w:val="24"/>
        </w:rPr>
        <w:t>to gaze upon the beauty of the LORD, and to inquire in His temple.”</w:t>
      </w:r>
    </w:p>
    <w:p>
      <w:pPr>
        <w:pStyle w:val="BodySans"/>
        <w:bidi w:val="0"/>
      </w:pPr>
      <w:r>
        <w:t>After armies and encirclement (vv. 2–3), this is a surprising desire. He does not ask for victory, or long life, or the destruction of his foes, but for a seat in God’s house.</w:t>
      </w:r>
    </w:p>
    <w:p>
      <w:pPr>
        <w:pStyle w:val="BodySans"/>
        <w:bidi w:val="0"/>
      </w:pPr>
      <w:r>
        <w:t>The Hebrew is carefully chosen. שִׁבְתִּי (</w:t>
      </w:r>
      <w:r>
        <w:rPr>
          <w:i/>
        </w:rPr>
        <w:t>shivti</w:t>
      </w:r>
      <w:r>
        <w:t>) is best read as “my dwelling,” an infinitive of ongoing state: a settled presence, not an occasional visit. Yet lay Israelites did not literally live in the temple. The desire is more specific—a standing right of access, like a courtier or an asylum‑seeker allowed to remain under the king’s protection.</w:t>
      </w:r>
    </w:p>
    <w:p>
      <w:pPr>
        <w:pStyle w:val="BodySans"/>
        <w:bidi w:val="0"/>
      </w:pPr>
      <w:r>
        <w:t>The next verbs sharpen this. לַחֲזוֹת (</w:t>
      </w:r>
      <w:r>
        <w:rPr>
          <w:i/>
        </w:rPr>
        <w:t>laḥazot</w:t>
      </w:r>
      <w:r>
        <w:t>, “to gaze”) comes from חָזָה, a verb used for prophetic vision: “The vision (</w:t>
      </w:r>
      <w:r>
        <w:rPr>
          <w:i/>
        </w:rPr>
        <w:t>ḥazon</w:t>
      </w:r>
      <w:r>
        <w:t>) of Isaiah” — חֲזוֹן יְשַׁעְיָהוּ (Isa 1:1); “the words of Amos… which he saw” — דִּבְרֵי עָמוֹס… אֲשֶׁר חָזָה (Amos 1:1). To “gaze upon the no‘am of YHWH” — לַחֲזוֹת בְּנֹעַם־ה׳, is not to admire the décor but to experience God’s gracious presence, his “pleasantness” or “favor,” as something almost visible.</w:t>
      </w:r>
    </w:p>
    <w:p>
      <w:pPr>
        <w:pStyle w:val="BodySans"/>
        <w:bidi w:val="0"/>
      </w:pPr>
      <w:r>
        <w:t>The last verb, וּלְבַקֵּר (</w:t>
      </w:r>
      <w:r>
        <w:rPr>
          <w:i/>
        </w:rPr>
        <w:t>ulevaqer</w:t>
      </w:r>
      <w:r>
        <w:t>), has divided interpreters for centuries. Rashi, following a homiletic instinct, links it to בֹּקֶר (</w:t>
      </w:r>
      <w:r>
        <w:rPr>
          <w:i/>
        </w:rPr>
        <w:t>boker</w:t>
      </w:r>
      <w:r>
        <w:t xml:space="preserve">, “morning”) and hears “to visit His temple every morning,” a picture of regular piety. Ibn Ezra and modern lexicographers, noting 2 Kings 16:15 — “the bronze altar shall be for me לְבַקֵּר, to inquire by,” argue that </w:t>
      </w:r>
      <w:r>
        <w:rPr>
          <w:i/>
        </w:rPr>
        <w:t>baqar</w:t>
      </w:r>
      <w:r>
        <w:t xml:space="preserve"> here means “to seek an oracle,” to have one’s case adjudicated before God. On that reading, the psalmist longs for continual access to divine guidance and vindication. His “one thing” is not a spiritual weekend away but permanent representation in the highest court.</w:t>
      </w:r>
    </w:p>
    <w:p>
      <w:pPr>
        <w:pStyle w:val="BodySans"/>
        <w:bidi w:val="0"/>
      </w:pPr>
      <w:r>
        <w:t>That court had legal teeth. In Israel and across the Near East, sanctuaries served as places of asylum. Torah legislates cities of refuge; narratives show people grabbing the altar horns to escape blood vengeance. Against that background, the “one thing” becomes an asylum petition: let me stay in Your precincts where no hand can reach me.</w:t>
      </w:r>
    </w:p>
    <w:p>
      <w:pPr>
        <w:pStyle w:val="Heading4"/>
      </w:pPr>
      <w:r>
        <w:t>Booth, Tent, Rock: A Theology of Shelter</w:t>
      </w:r>
    </w:p>
    <w:p>
      <w:pPr>
        <w:pStyle w:val="BodySans"/>
        <w:bidi w:val="0"/>
      </w:pPr>
      <w:r>
        <w:t>Verse 5 answers why this access matters:</w:t>
      </w:r>
    </w:p>
    <w:p>
      <w:pPr>
        <w:pStyle w:val="BodySans"/>
        <w:ind w:left="720"/>
        <w:bidi w:val="0"/>
      </w:pPr>
      <w:r>
        <w:rPr>
          <w:rFonts w:ascii="Aptos" w:hAnsi="Aptos"/>
          <w:i/>
          <w:sz w:val="24"/>
        </w:rPr>
        <w:t>כִּי יִצְפְּנֵנִי בְּסֻכֹּה בְּיוֹם רָעָה;</w:t>
      </w:r>
    </w:p>
    <w:p>
      <w:pPr>
        <w:pStyle w:val="BodySans"/>
        <w:ind w:left="720"/>
        <w:bidi w:val="0"/>
      </w:pPr>
      <w:r>
        <w:rPr>
          <w:rFonts w:ascii="Aptos" w:hAnsi="Aptos"/>
          <w:i/>
          <w:sz w:val="24"/>
        </w:rPr>
        <w:t>יַסְתִּרֵנִי בְּסֵתֶר אׇהֳלוֹ;</w:t>
      </w:r>
    </w:p>
    <w:p>
      <w:pPr>
        <w:pStyle w:val="BodySans"/>
        <w:ind w:left="720"/>
        <w:bidi w:val="0"/>
      </w:pPr>
      <w:r>
        <w:rPr>
          <w:rFonts w:ascii="Aptos" w:hAnsi="Aptos"/>
          <w:i/>
          <w:sz w:val="24"/>
        </w:rPr>
        <w:t>‭׃ינִמֵמְוֹריְ רוּצבְּ‬</w:t>
      </w:r>
    </w:p>
    <w:p>
      <w:pPr>
        <w:pStyle w:val="BodySans"/>
        <w:ind w:left="720"/>
        <w:bidi w:val="0"/>
      </w:pPr>
      <w:r>
        <w:rPr>
          <w:rFonts w:ascii="Aptos" w:hAnsi="Aptos"/>
          <w:i/>
          <w:sz w:val="24"/>
        </w:rPr>
        <w:t>“For He will hide me in His sukkah on the day of trouble;</w:t>
      </w:r>
    </w:p>
    <w:p>
      <w:pPr>
        <w:pStyle w:val="BodySans"/>
        <w:ind w:left="720"/>
        <w:bidi w:val="0"/>
      </w:pPr>
      <w:r>
        <w:rPr>
          <w:rFonts w:ascii="Aptos" w:hAnsi="Aptos"/>
          <w:i/>
          <w:sz w:val="24"/>
        </w:rPr>
        <w:t>He will conceal me in the shelter of His tent;</w:t>
      </w:r>
    </w:p>
    <w:p>
      <w:pPr>
        <w:pStyle w:val="BodySans"/>
        <w:ind w:left="720"/>
        <w:bidi w:val="0"/>
      </w:pPr>
      <w:r>
        <w:rPr>
          <w:rFonts w:ascii="Aptos" w:hAnsi="Aptos"/>
          <w:i/>
          <w:sz w:val="24"/>
        </w:rPr>
        <w:t>on a rock He will lift me high.”</w:t>
      </w:r>
    </w:p>
    <w:p>
      <w:pPr>
        <w:pStyle w:val="BodySans"/>
        <w:bidi w:val="0"/>
      </w:pPr>
      <w:r>
        <w:t xml:space="preserve">Here three different shelters march past: </w:t>
      </w:r>
      <w:r>
        <w:rPr>
          <w:i/>
        </w:rPr>
        <w:t>sukkah</w:t>
      </w:r>
      <w:r>
        <w:t xml:space="preserve"> ‭(הכָּסֻ)‬, </w:t>
      </w:r>
      <w:r>
        <w:rPr>
          <w:i/>
        </w:rPr>
        <w:t>ohel</w:t>
      </w:r>
      <w:r>
        <w:t xml:space="preserve"> ‭(להֶאֹ)‬, and </w:t>
      </w:r>
      <w:r>
        <w:rPr>
          <w:i/>
        </w:rPr>
        <w:t>tzur</w:t>
      </w:r>
      <w:r>
        <w:t xml:space="preserve"> ‭(רוּצ)‬. A </w:t>
      </w:r>
      <w:r>
        <w:rPr>
          <w:i/>
        </w:rPr>
        <w:t>sukkah</w:t>
      </w:r>
      <w:r>
        <w:t xml:space="preserve"> can be the fragile booth of harvest festival, but in royal psalms it often means a pavilion or war‑tent. In the Ugaritic Baal cycle, the god’s </w:t>
      </w:r>
      <w:r>
        <w:rPr>
          <w:i/>
        </w:rPr>
        <w:t>sk</w:t>
      </w:r>
      <w:r>
        <w:t xml:space="preserve"> is his divine pavilion on the cosmic mountain, a place of concealment from enemies like Mot, Death. Psalm 27 appropriates this language and relocates the sk: the booth that truly hides is YHWH’s own.</w:t>
      </w:r>
    </w:p>
    <w:p>
      <w:pPr>
        <w:pStyle w:val="BodySans"/>
        <w:bidi w:val="0"/>
      </w:pPr>
      <w:r>
        <w:t xml:space="preserve">The second image, “the secret of His tent” — בְּסֵתֶר אׇהֳלוֹ, doubles the motif of concealment: </w:t>
      </w:r>
      <w:r>
        <w:rPr>
          <w:i/>
        </w:rPr>
        <w:t>seter</w:t>
      </w:r>
      <w:r>
        <w:t xml:space="preserve"> is “hidden place,” the same word used in “He who dwells in the shelter of the Most High” — בְּסֵתֶר עֶלְיוֹן (Ps 91:1). The third image shifts domain entirely: rock. The psalmist is not just hidden; he is elevated “on a rock” — בְּצוּר יְרוֹמְמֵנִי, out of reach.</w:t>
      </w:r>
    </w:p>
    <w:p>
      <w:pPr>
        <w:pStyle w:val="BodySans"/>
        <w:bidi w:val="0"/>
      </w:pPr>
      <w:r>
        <w:t>There is a certain geological realism here. Jerusalem is built on limestone ridges. Archaeology at sites like Khirbet Qeiyafa gives us actual Iron Age strongholds. The psalm moves from textile to stone, from tent flap to cliff ledge, mirroring a spiritual transition. God’s presence is first like a temporary campaign shelter, then like a permanent outcrop that cannot be undermined.</w:t>
      </w:r>
    </w:p>
    <w:p>
      <w:pPr>
        <w:pStyle w:val="BodySans"/>
        <w:bidi w:val="0"/>
      </w:pPr>
      <w:r>
        <w:t>The key is the little temporal phrase “on the day of trouble” — בְּיוֹם רָעָה. The trouble is not generalized; Psalm 27 later names it as slander and legal attack: “false witnesses have risen against me” — קָמוּ־בִי עֵדֵי־שֶׁקֶר (v. 12). Protection here is not only from swords but from verdicts.</w:t>
      </w:r>
    </w:p>
    <w:p>
      <w:pPr>
        <w:pStyle w:val="Heading4"/>
      </w:pPr>
      <w:r>
        <w:t>“Seek My Face”: The Crisis of Presence</w:t>
      </w:r>
    </w:p>
    <w:p>
      <w:pPr>
        <w:pStyle w:val="BodySans"/>
        <w:bidi w:val="0"/>
      </w:pPr>
      <w:r>
        <w:t>At the center of the psalm stands an odd, beautiful line:</w:t>
      </w:r>
    </w:p>
    <w:p>
      <w:pPr>
        <w:pStyle w:val="BodySans"/>
        <w:ind w:left="720"/>
        <w:bidi w:val="0"/>
      </w:pPr>
      <w:r>
        <w:rPr>
          <w:rFonts w:ascii="Aptos" w:hAnsi="Aptos"/>
          <w:i/>
          <w:sz w:val="24"/>
        </w:rPr>
        <w:t>לְךָ אָמַר לִבִּי, בַּקְּשׁוּ פָנָי;</w:t>
      </w:r>
    </w:p>
    <w:p>
      <w:pPr>
        <w:pStyle w:val="BodySans"/>
        <w:ind w:left="720"/>
        <w:bidi w:val="0"/>
      </w:pPr>
      <w:r>
        <w:rPr>
          <w:rFonts w:ascii="Aptos" w:hAnsi="Aptos"/>
          <w:i/>
          <w:sz w:val="24"/>
        </w:rPr>
        <w:t>אֶת־פָּנֶיךָ ה׳ אֲבַקֵּשׁ׃ (v. 8)</w:t>
      </w:r>
    </w:p>
    <w:p>
      <w:pPr>
        <w:pStyle w:val="BodySans"/>
        <w:ind w:left="720"/>
        <w:bidi w:val="0"/>
      </w:pPr>
      <w:r>
        <w:rPr>
          <w:rFonts w:ascii="Aptos" w:hAnsi="Aptos"/>
          <w:i/>
          <w:sz w:val="24"/>
        </w:rPr>
        <w:t>“On Your behalf my heart has said, ‘Seek My face’;</w:t>
      </w:r>
    </w:p>
    <w:p>
      <w:pPr>
        <w:pStyle w:val="BodySans"/>
        <w:ind w:left="720"/>
        <w:bidi w:val="0"/>
      </w:pPr>
      <w:r>
        <w:rPr>
          <w:rFonts w:ascii="Aptos" w:hAnsi="Aptos"/>
          <w:i/>
          <w:sz w:val="24"/>
        </w:rPr>
        <w:t>Your face, LORD, I will seek.”</w:t>
      </w:r>
    </w:p>
    <w:p>
      <w:pPr>
        <w:pStyle w:val="BodySans"/>
        <w:bidi w:val="0"/>
      </w:pPr>
      <w:r>
        <w:t>The syntax is famously difficult. לְךָ (</w:t>
      </w:r>
      <w:r>
        <w:rPr>
          <w:i/>
        </w:rPr>
        <w:t>lekha</w:t>
      </w:r>
      <w:r>
        <w:t xml:space="preserve">) could mean “to You,” “for You,” or “about You.” Is the heart speaking </w:t>
      </w:r>
      <w:r>
        <w:rPr>
          <w:i/>
        </w:rPr>
        <w:t>to</w:t>
      </w:r>
      <w:r>
        <w:t xml:space="preserve"> God, or relaying what God has said? Rashi opts for the latter: “On Your behalf, as Your agent, my heart says to me, ‘Seek My face,’ all of you; and I answer, ‘Your face, LORD, I will seek.’” On this reading, the heart is an inner prophet, echoing a divine summons.</w:t>
      </w:r>
    </w:p>
    <w:p>
      <w:pPr>
        <w:pStyle w:val="BodySans"/>
        <w:bidi w:val="0"/>
      </w:pPr>
      <w:r>
        <w:t xml:space="preserve">Either way, the content of the summons is clear: “Seek My face” — בַּקְּשׁוּ פָנָי. In royal courts, to “see the face” of the king was to gain an audience. Akkadian legal texts speak of </w:t>
      </w:r>
      <w:r>
        <w:rPr>
          <w:i/>
        </w:rPr>
        <w:t>amāru pān šarri</w:t>
      </w:r>
      <w:r>
        <w:t>, “seeing the face of the king,” as shorthand for having one’s case heard. Temple texts use the same idiom for approaching a god’s statue. In Israel’s aniconic worship there is no statue, but the phrase survives, now anchored in the sanctuary’s invisible Presence. To “seek God’s face” is to step into His court and plead.</w:t>
      </w:r>
    </w:p>
    <w:p>
      <w:pPr>
        <w:pStyle w:val="BodySans"/>
        <w:bidi w:val="0"/>
      </w:pPr>
      <w:r>
        <w:t>That is precisely why verse 9 is so destabilizing:</w:t>
      </w:r>
    </w:p>
    <w:p>
      <w:pPr>
        <w:pStyle w:val="BodySans"/>
        <w:ind w:left="720"/>
        <w:bidi w:val="0"/>
      </w:pPr>
      <w:r>
        <w:rPr>
          <w:rFonts w:ascii="Aptos" w:hAnsi="Aptos"/>
          <w:i/>
          <w:sz w:val="24"/>
        </w:rPr>
        <w:t>אַל־תַּסְתֵּר פָּנֶיךָ מִמֶּנִּי;</w:t>
      </w:r>
    </w:p>
    <w:p>
      <w:pPr>
        <w:pStyle w:val="BodySans"/>
        <w:ind w:left="720"/>
        <w:bidi w:val="0"/>
      </w:pPr>
      <w:r>
        <w:rPr>
          <w:rFonts w:ascii="Aptos" w:hAnsi="Aptos"/>
          <w:i/>
          <w:sz w:val="24"/>
        </w:rPr>
        <w:t>אַל־תַּט בְּאַף עַבְדֶּךָ;</w:t>
      </w:r>
    </w:p>
    <w:p>
      <w:pPr>
        <w:pStyle w:val="BodySans"/>
        <w:ind w:left="720"/>
        <w:bidi w:val="0"/>
      </w:pPr>
      <w:r>
        <w:rPr>
          <w:rFonts w:ascii="Aptos" w:hAnsi="Aptos"/>
          <w:i/>
          <w:sz w:val="24"/>
        </w:rPr>
        <w:t>עֶזְרָתִי הָיִיתָ;</w:t>
      </w:r>
    </w:p>
    <w:p>
      <w:pPr>
        <w:pStyle w:val="BodySans"/>
        <w:ind w:left="720"/>
        <w:bidi w:val="0"/>
      </w:pPr>
      <w:r>
        <w:rPr>
          <w:rFonts w:ascii="Aptos" w:hAnsi="Aptos"/>
          <w:i/>
          <w:sz w:val="24"/>
        </w:rPr>
        <w:t>‭׃יעִשְׁיִ יקֵלֹאֱ ,ינִבֵזְעַתַּ־לאַוְ ינִשֵׁטְּתִּ־לאַ‬</w:t>
      </w:r>
    </w:p>
    <w:p>
      <w:pPr>
        <w:pStyle w:val="BodySans"/>
        <w:ind w:left="720"/>
        <w:bidi w:val="0"/>
      </w:pPr>
      <w:r>
        <w:rPr>
          <w:rFonts w:ascii="Aptos" w:hAnsi="Aptos"/>
          <w:i/>
          <w:sz w:val="24"/>
        </w:rPr>
        <w:t>“Do not hide Your face from me;</w:t>
      </w:r>
    </w:p>
    <w:p>
      <w:pPr>
        <w:pStyle w:val="BodySans"/>
        <w:ind w:left="720"/>
        <w:bidi w:val="0"/>
      </w:pPr>
      <w:r>
        <w:rPr>
          <w:rFonts w:ascii="Aptos" w:hAnsi="Aptos"/>
          <w:i/>
          <w:sz w:val="24"/>
        </w:rPr>
        <w:t>do not thrust aside Your servant in anger;</w:t>
      </w:r>
    </w:p>
    <w:p>
      <w:pPr>
        <w:pStyle w:val="BodySans"/>
        <w:ind w:left="720"/>
        <w:bidi w:val="0"/>
      </w:pPr>
      <w:r>
        <w:rPr>
          <w:rFonts w:ascii="Aptos" w:hAnsi="Aptos"/>
          <w:i/>
          <w:sz w:val="24"/>
        </w:rPr>
        <w:t>You have been my help;</w:t>
      </w:r>
    </w:p>
    <w:p>
      <w:pPr>
        <w:pStyle w:val="BodySans"/>
        <w:ind w:left="720"/>
        <w:bidi w:val="0"/>
      </w:pPr>
      <w:r>
        <w:rPr>
          <w:rFonts w:ascii="Aptos" w:hAnsi="Aptos"/>
          <w:i/>
          <w:sz w:val="24"/>
        </w:rPr>
        <w:t>do not forsake me, do not abandon me, O God of my salvation.”</w:t>
      </w:r>
    </w:p>
    <w:p>
      <w:pPr>
        <w:pStyle w:val="BodySans"/>
        <w:bidi w:val="0"/>
      </w:pPr>
      <w:r>
        <w:t>“Face hiding” is a technical theological term in the Bible: הֶסְתֵּר פָּנִים (</w:t>
      </w:r>
      <w:r>
        <w:rPr>
          <w:i/>
        </w:rPr>
        <w:t>hester panim</w:t>
      </w:r>
      <w:r>
        <w:t>) marks covenant rupture. Deuteronomy pictures God saying, “I will surely hide my face from them” — הַסְתֵּר אַסְתִּיר פָּנַי (Deut 31:18) as the ultimate punishment. Psalm 102 uses almost the same plea: “Do not hide Your face from me in the day of my distress” — אַל־תַּסְתֵּר פָּנֶיךָ מִמֶּנִּי בְּיוֹם צַר־לִי (Ps 102:3).</w:t>
      </w:r>
    </w:p>
    <w:p>
      <w:pPr>
        <w:pStyle w:val="BodySans"/>
        <w:bidi w:val="0"/>
      </w:pPr>
      <w:r>
        <w:t>Here the psalmist heaps four negations—“do not hide,” “do not turn away,” “do not forsake,” “do not abandon”—as if circling the one catastrophe he cannot absorb: exclusion from that court. The initial confidence (“Whom shall I fear?”) now reveals its condition. Fearlessness is possible only so long as God’s face remains turned toward him.</w:t>
      </w:r>
    </w:p>
    <w:p>
      <w:pPr>
        <w:pStyle w:val="Heading4"/>
      </w:pPr>
      <w:r>
        <w:t>“My Father and Mother Forsook Me”: Divine Adoption at the Temple Gate</w:t>
      </w:r>
    </w:p>
    <w:p>
      <w:pPr>
        <w:pStyle w:val="BodySans"/>
        <w:bidi w:val="0"/>
      </w:pPr>
      <w:r>
        <w:t>In the middle of this plea, a small, startling verse erupts:</w:t>
      </w:r>
    </w:p>
    <w:p>
      <w:pPr>
        <w:pStyle w:val="BodySans"/>
        <w:ind w:left="720"/>
        <w:bidi w:val="0"/>
      </w:pPr>
      <w:r>
        <w:rPr>
          <w:rFonts w:ascii="Aptos" w:hAnsi="Aptos"/>
          <w:i/>
          <w:sz w:val="24"/>
        </w:rPr>
        <w:t>כִּי־אָבִי וְאִמִּי עֲזָבוּנִי;</w:t>
      </w:r>
    </w:p>
    <w:p>
      <w:pPr>
        <w:pStyle w:val="BodySans"/>
        <w:ind w:left="720"/>
        <w:bidi w:val="0"/>
      </w:pPr>
      <w:r>
        <w:rPr>
          <w:rFonts w:ascii="Aptos" w:hAnsi="Aptos"/>
          <w:i/>
          <w:sz w:val="24"/>
        </w:rPr>
        <w:t>וַה׳ יַאַסְפֵנִי׃ (v. 10)</w:t>
      </w:r>
    </w:p>
    <w:p>
      <w:pPr>
        <w:pStyle w:val="BodySans"/>
        <w:ind w:left="720"/>
        <w:bidi w:val="0"/>
      </w:pPr>
      <w:r>
        <w:rPr>
          <w:rFonts w:ascii="Aptos" w:hAnsi="Aptos"/>
          <w:i/>
          <w:sz w:val="24"/>
        </w:rPr>
        <w:t>“For my father and my mother have forsaken me,</w:t>
      </w:r>
    </w:p>
    <w:p>
      <w:pPr>
        <w:pStyle w:val="BodySans"/>
        <w:ind w:left="720"/>
        <w:bidi w:val="0"/>
      </w:pPr>
      <w:r>
        <w:rPr>
          <w:rFonts w:ascii="Aptos" w:hAnsi="Aptos"/>
          <w:i/>
          <w:sz w:val="24"/>
        </w:rPr>
        <w:t>but the LORD will gather me in.”</w:t>
      </w:r>
    </w:p>
    <w:p>
      <w:pPr>
        <w:pStyle w:val="BodySans"/>
        <w:bidi w:val="0"/>
      </w:pPr>
      <w:r>
        <w:t>It is not clear that the psalmist’s parents literally abandoned him. Classical Jewish readers often took it more figuratively. Ibn Ezra paraphrases, “Even if my father and mother, who brought me into this world, left me through death, You gathered me and sustained me.” Radak hears: once I left my parents’ house, You took over my care.</w:t>
      </w:r>
    </w:p>
    <w:p>
      <w:pPr>
        <w:pStyle w:val="BodySans"/>
        <w:bidi w:val="0"/>
      </w:pPr>
      <w:r>
        <w:t>Rashi, with characteristic audacity, tightens the hyperbole into biology. At the moment of conception, he says, the parents are focused on their own pleasure; once that passes, they “turn their faces away,” but God guards the drop and forms the embryo. Even at our most intimate beginnings, human care is fragile; divine care is not.</w:t>
      </w:r>
    </w:p>
    <w:p>
      <w:pPr>
        <w:pStyle w:val="BodySans"/>
        <w:bidi w:val="0"/>
      </w:pPr>
      <w:r>
        <w:t>The verb יַאַסְפֵנִי (</w:t>
      </w:r>
      <w:r>
        <w:rPr>
          <w:i/>
        </w:rPr>
        <w:t>ya’asfeni</w:t>
      </w:r>
      <w:r>
        <w:t>, “will gather me in”) is worth lingering over. אָסַף means “to gather, to bring into one’s house.” It is used for harvesting, for ingathering exiles, and for that solemn postscript to a patriarch’s life, “he was gathered to his people” — וַיֵּאָסֶף אֶל־עַמָּיו (Gen 25:8). Here it is not death but survival. When social and familial structures fail, the temple becomes an adoption agency. The orphaned supplicant is “gathered” into God’s household.</w:t>
      </w:r>
    </w:p>
    <w:p>
      <w:pPr>
        <w:pStyle w:val="BodySans"/>
        <w:bidi w:val="0"/>
      </w:pPr>
      <w:r>
        <w:t>Rabbi Jonathan Sacks loved this verse. He cited it to say that faith sometimes begins where earthly securities end: “Human parents may lose faith in a child, but God never does: ‘Though my father and my mother might abandon me, the LORD would take me in’ (Ps 27:10).” The stanza functions as a miniature psalm within the psalm, a confession wedged between pleading and instruction.</w:t>
      </w:r>
    </w:p>
    <w:p>
      <w:pPr>
        <w:pStyle w:val="Heading4"/>
      </w:pPr>
      <w:r>
        <w:t>“Unless I Had Believed”: The Dotted Word and the Land of the Living</w:t>
      </w:r>
    </w:p>
    <w:p>
      <w:pPr>
        <w:pStyle w:val="BodySans"/>
        <w:bidi w:val="0"/>
      </w:pPr>
      <w:r>
        <w:t>The most textually fragile line comes near the end:</w:t>
      </w:r>
    </w:p>
    <w:p>
      <w:pPr>
        <w:pStyle w:val="BodySans"/>
        <w:ind w:left="720"/>
        <w:bidi w:val="0"/>
      </w:pPr>
      <w:r>
        <w:rPr>
          <w:rFonts w:ascii="Aptos" w:hAnsi="Aptos"/>
          <w:i/>
          <w:sz w:val="24"/>
        </w:rPr>
        <w:t>‭(13 .v) ׃םייִּחַ ץרֶאֶבְּ ה־בוּטבְּ תוֹארְלִ יתִּנְמַאֱהֶ אלֵוּל‬</w:t>
      </w:r>
    </w:p>
    <w:p>
      <w:pPr>
        <w:pStyle w:val="BodySans"/>
        <w:ind w:left="720"/>
        <w:bidi w:val="0"/>
      </w:pPr>
      <w:r>
        <w:rPr>
          <w:rFonts w:ascii="Aptos" w:hAnsi="Aptos"/>
          <w:i/>
          <w:sz w:val="24"/>
        </w:rPr>
        <w:t>“Had I not believed to see the goodness of the LORD in the land of the living…”</w:t>
      </w:r>
    </w:p>
    <w:p>
      <w:pPr>
        <w:pStyle w:val="BodySans"/>
        <w:bidi w:val="0"/>
      </w:pPr>
      <w:r>
        <w:t>In the Masoretic manuscripts, every letter of לוּלֵא (</w:t>
      </w:r>
      <w:r>
        <w:rPr>
          <w:i/>
        </w:rPr>
        <w:t>lulei</w:t>
      </w:r>
      <w:r>
        <w:t xml:space="preserve">, “unless / had I not”) is dotted above and below, a scribal flag of uncertainty. Grammatically, the sentence is an </w:t>
      </w:r>
      <w:r>
        <w:rPr>
          <w:i/>
        </w:rPr>
        <w:t>aposiopesis</w:t>
      </w:r>
      <w:r>
        <w:t>—a breaking off mid‑thought. “Had I not believed…,” and then silence. The implied continuation—“I would have despaired,” “I would have been destroyed”—is deemed too terrible, or too speculative, to say aloud.</w:t>
      </w:r>
    </w:p>
    <w:p>
      <w:pPr>
        <w:pStyle w:val="BodySans"/>
        <w:bidi w:val="0"/>
      </w:pPr>
      <w:r>
        <w:t>The Septuagint quietly omits the problem, translating simply, “I believe that I shall see…” The Greek reader encounters confident declaration; the Hebrew reader hears the thinness of the line between faith and collapse.</w:t>
      </w:r>
    </w:p>
    <w:p>
      <w:pPr>
        <w:pStyle w:val="BodySans"/>
        <w:bidi w:val="0"/>
      </w:pPr>
      <w:r>
        <w:t>What, then, is “the land of the living” — אֶרֶץ חַיִּים? Across the Bible, the phrase opposes the shadowy realm of Sheol: Isaiah, in convalescence, laments, “I shall not see YH, YH in the land of the living” — בְּאֶרֶץ הַחַיִּים (Isa 38:11); Ezekiel’s oracles against Tyre boast that enemies “struck terror in the land of the living” — בְּאֶרֶץ חַיִּים (Ezek 32:26). It is not heaven but this world as arena of real history. To see God’s goodness “in the land of the living” is to live to be vindicated, not to be consoled later in some disembodied afterlife.</w:t>
      </w:r>
    </w:p>
    <w:p>
      <w:pPr>
        <w:pStyle w:val="BodySans"/>
        <w:bidi w:val="0"/>
      </w:pPr>
      <w:r>
        <w:t>In Psalm 27 that land is tethered to the temple. It is where God’s face can still be sought, His courts entered, His shelter experienced. The unspeakable alternative to “I believed” is not an eternity in hell; it is to wander through this life having lost the address of God.</w:t>
      </w:r>
    </w:p>
    <w:p>
      <w:pPr>
        <w:pStyle w:val="Heading4"/>
      </w:pPr>
      <w:r>
        <w:t>“Wait for the LORD”: Courage as Taut Patience</w:t>
      </w:r>
    </w:p>
    <w:p>
      <w:pPr>
        <w:pStyle w:val="BodySans"/>
        <w:bidi w:val="0"/>
      </w:pPr>
      <w:r>
        <w:t>The psalm closes not with God’s voice but with a human exhortation:</w:t>
      </w:r>
    </w:p>
    <w:p>
      <w:pPr>
        <w:pStyle w:val="BodySans"/>
        <w:ind w:left="720"/>
        <w:bidi w:val="0"/>
      </w:pPr>
      <w:r>
        <w:rPr>
          <w:rFonts w:ascii="Aptos" w:hAnsi="Aptos"/>
          <w:i/>
          <w:sz w:val="24"/>
        </w:rPr>
        <w:t>‭(14 .v) ׃ה־לאֶ הוֵּקַוְ ;ךָבֶּלִ ץמֵאֲיַוְ קזַחֲ ;ה־לאֶ הוֵּקַ‬</w:t>
      </w:r>
    </w:p>
    <w:p>
      <w:pPr>
        <w:pStyle w:val="BodySans"/>
        <w:ind w:left="720"/>
        <w:bidi w:val="0"/>
      </w:pPr>
      <w:r>
        <w:rPr>
          <w:rFonts w:ascii="Aptos" w:hAnsi="Aptos"/>
          <w:i/>
          <w:sz w:val="24"/>
        </w:rPr>
        <w:t>“Wait for the LORD;</w:t>
      </w:r>
    </w:p>
    <w:p>
      <w:pPr>
        <w:pStyle w:val="BodySans"/>
        <w:ind w:left="720"/>
        <w:bidi w:val="0"/>
      </w:pPr>
      <w:r>
        <w:rPr>
          <w:rFonts w:ascii="Aptos" w:hAnsi="Aptos"/>
          <w:i/>
          <w:sz w:val="24"/>
        </w:rPr>
        <w:t>be strong and let your heart take courage;</w:t>
      </w:r>
    </w:p>
    <w:p>
      <w:pPr>
        <w:pStyle w:val="BodySans"/>
        <w:ind w:left="720"/>
        <w:bidi w:val="0"/>
      </w:pPr>
      <w:r>
        <w:rPr>
          <w:rFonts w:ascii="Aptos" w:hAnsi="Aptos"/>
          <w:i/>
          <w:sz w:val="24"/>
        </w:rPr>
        <w:t>and wait for the LORD.”</w:t>
      </w:r>
    </w:p>
    <w:p>
      <w:pPr>
        <w:pStyle w:val="BodySans"/>
        <w:bidi w:val="0"/>
      </w:pPr>
      <w:r>
        <w:t>Here the solitary “I” pivots to a “you.” It could be the psalmist talking to his own soul; it could be a priestly voice answering his prayer; in liturgy, it becomes communal instruction. Either way, the moment is recognizably biblical: “Be strong and resolute” — חֲזַק וֶאֱמָץ — is the charge Moses and God both give to Joshua (Deut 31:7; Josh 1:6–9) when he stands on a very different threshold, about to cross the Jordan.</w:t>
      </w:r>
    </w:p>
    <w:p>
      <w:pPr>
        <w:pStyle w:val="BodySans"/>
        <w:bidi w:val="0"/>
      </w:pPr>
      <w:r>
        <w:t>The verb “wait” — קַוֵּה (</w:t>
      </w:r>
      <w:r>
        <w:rPr>
          <w:i/>
        </w:rPr>
        <w:t>qaveh</w:t>
      </w:r>
      <w:r>
        <w:t>) — comes from a root that originally meant “to twist, to stretch,” as in a cord pulled tight. Waiting here is not passive resignation but tensile hope: to refuse to let the line slacken between verses 1 and 9, between the God who is “my light and my salvation” and the God who sometimes feels hidden.</w:t>
      </w:r>
    </w:p>
    <w:p>
      <w:pPr>
        <w:pStyle w:val="BodySans"/>
        <w:bidi w:val="0"/>
      </w:pPr>
      <w:r>
        <w:t>Talmudic tradition hears even a kind of spiritual stubbornness in the repetition. “If a person prays and is not answered,” says Rabbi Ḥama, “let him pray again, as it is said, ‘Wait for the LORD… and wait for the LORD’” (Berakhot 32b). Between the boldness of “Whom shall I fear?” and the trembling of “Do not hide Your face,” Psalm 27 offers a third posture: not triumph, not collapse, but disciplined, courageous waiting at the threshold, refusing to be turned away.</w:t>
      </w:r>
    </w:p>
    <w:p>
      <w:pPr>
        <w:pStyle w:val="BodySans"/>
        <w:bidi w:val="0"/>
      </w:pPr>
      <w:r>
        <w:t>---</w:t>
      </w:r>
    </w:p>
    <w:p>
      <w:pPr>
        <w:pStyle w:val="Heading2"/>
      </w:pPr>
      <w:r>
        <w:t>Modern Jewish Liturgical Use</w:t>
      </w:r>
    </w:p>
    <w:p>
      <w:pPr>
        <w:pStyle w:val="Heading4"/>
      </w:pPr>
      <w:r>
        <w:t>Full psalm</w:t>
      </w:r>
    </w:p>
    <w:p>
      <w:pPr>
        <w:pStyle w:val="BodySans"/>
        <w:bidi w:val="0"/>
      </w:pPr>
      <w:r>
        <w:t>From Rosh Ḥodesh Elul through Hoshana Rabbah, many Ashkenazic and Sephardic communities recite the entire psalm twice daily, after the regular morning and evening prayers. The opening is read verbatim:</w:t>
      </w:r>
    </w:p>
    <w:p>
      <w:pPr>
        <w:pStyle w:val="BodySans"/>
        <w:ind w:left="720"/>
        <w:bidi w:val="0"/>
      </w:pPr>
      <w:r>
        <w:rPr>
          <w:rFonts w:ascii="Aptos" w:hAnsi="Aptos"/>
          <w:i/>
          <w:sz w:val="24"/>
        </w:rPr>
        <w:t>‭׃דחָפְאֶ ימִּמִ ייַּחַ־זוֹעמָ ה ;ארָיאִ ימִּמִ יעִשְׁיִוְ ירִוֹא ה ,דוִדָלְ‬</w:t>
      </w:r>
    </w:p>
    <w:p>
      <w:pPr>
        <w:pStyle w:val="BodySans"/>
        <w:ind w:left="720"/>
        <w:bidi w:val="0"/>
      </w:pPr>
      <w:r>
        <w:rPr>
          <w:rFonts w:ascii="Aptos" w:hAnsi="Aptos"/>
          <w:i/>
          <w:sz w:val="24"/>
        </w:rPr>
        <w:t>“Of David. The LORD is my light and my salvation; whom shall I fear? The LORD is the stronghold of my life; whom shall I dread?”</w:t>
      </w:r>
    </w:p>
    <w:p>
      <w:pPr>
        <w:pStyle w:val="BodySans"/>
        <w:bidi w:val="0"/>
      </w:pPr>
      <w:r>
        <w:t>Later pietistic works link אוֹרִי (“my light”) to Rosh Hashanah, וְיִשְׁעִי (“my salvation”) to Yom Kippur, and “For He will hide me in His sukkah” — כִּי יִצְפְּנֵנִי בְּסֻכּוֹ (v. 5) to Sukkot, turning the psalm into a seasonal map of the High Holy Days. Whatever its historical origins, its daily recitation makes Psalm 27 a soundtrack of the season’s ambivalence: judgment and mercy, fear and trust.</w:t>
      </w:r>
    </w:p>
    <w:p>
      <w:pPr>
        <w:pStyle w:val="Heading4"/>
      </w:pPr>
      <w:r>
        <w:t>Key verses</w:t>
      </w:r>
    </w:p>
    <w:p>
      <w:pPr>
        <w:pStyle w:val="BodySans"/>
        <w:bidi w:val="0"/>
      </w:pPr>
      <w:r>
        <w:rPr>
          <w:b/>
          <w:i w:val="0"/>
        </w:rPr>
        <w:t>Psalm 27:1</w:t>
      </w:r>
    </w:p>
    <w:p>
      <w:pPr>
        <w:pStyle w:val="BodySans"/>
        <w:ind w:left="720"/>
        <w:bidi w:val="0"/>
      </w:pPr>
      <w:r>
        <w:rPr>
          <w:rFonts w:ascii="Aptos" w:hAnsi="Aptos"/>
          <w:i/>
          <w:sz w:val="24"/>
        </w:rPr>
        <w:t>‭׃דחָפְאֶ ימִּמִ ,ייַּחַ־זוֹעמָ ה ;ארָיאִ ימִּמִ ,יעִשְׁיִוְ ירִוֹא ה‬</w:t>
      </w:r>
    </w:p>
    <w:p>
      <w:pPr>
        <w:pStyle w:val="BodySans"/>
        <w:ind w:left="720"/>
        <w:bidi w:val="0"/>
      </w:pPr>
      <w:r>
        <w:rPr>
          <w:rFonts w:ascii="Aptos" w:hAnsi="Aptos"/>
          <w:i/>
          <w:sz w:val="24"/>
        </w:rPr>
        <w:t>“The LORD is my light and my salvation; whom shall I fear? The LORD is the stronghold of my life; whom shall I dread?”</w:t>
      </w:r>
    </w:p>
    <w:p>
      <w:pPr>
        <w:pStyle w:val="BodySans"/>
        <w:bidi w:val="0"/>
      </w:pPr>
      <w:r>
        <w:t>In many Eastern (Edot ha‑Mizrach) traditions, this verse is recited in the extended penitential prelude to the Yom Kippur evening service. A typical sequence begins:</w:t>
      </w:r>
    </w:p>
    <w:p>
      <w:pPr>
        <w:pStyle w:val="BodySans"/>
        <w:ind w:left="720"/>
        <w:bidi w:val="0"/>
      </w:pPr>
      <w:r>
        <w:rPr>
          <w:rFonts w:ascii="Aptos" w:hAnsi="Aptos"/>
          <w:i/>
          <w:sz w:val="24"/>
        </w:rPr>
        <w:t>הִכּוֹן לִקְרַאת אֱלֹקֶיךָ יִשְׂרָאֵל. ה׳ אוֹרִי וְיִשְׁעִי מִמִּי אִירָא…</w:t>
      </w:r>
    </w:p>
    <w:p>
      <w:pPr>
        <w:pStyle w:val="BodySans"/>
        <w:ind w:left="720"/>
        <w:bidi w:val="0"/>
      </w:pPr>
      <w:r>
        <w:rPr>
          <w:rFonts w:ascii="Aptos" w:hAnsi="Aptos"/>
          <w:i/>
          <w:sz w:val="24"/>
        </w:rPr>
        <w:t>“Prepare to meet your God, O Israel. ‘The LORD is my light and my salvation; whom shall I fear?’…”</w:t>
      </w:r>
    </w:p>
    <w:p>
      <w:pPr>
        <w:pStyle w:val="BodySans"/>
        <w:bidi w:val="0"/>
      </w:pPr>
      <w:r>
        <w:t>Here the psalm’s martial confidence is harnessed not against human armies but against the dread of judgment.</w:t>
      </w:r>
    </w:p>
    <w:p>
      <w:pPr>
        <w:pStyle w:val="BodySans"/>
        <w:bidi w:val="0"/>
      </w:pPr>
      <w:r>
        <w:rPr>
          <w:b/>
          <w:i w:val="0"/>
        </w:rPr>
        <w:t>Psalm 27:4</w:t>
      </w:r>
    </w:p>
    <w:p>
      <w:pPr>
        <w:pStyle w:val="BodySans"/>
        <w:ind w:left="720"/>
        <w:bidi w:val="0"/>
      </w:pPr>
      <w:r>
        <w:rPr>
          <w:rFonts w:ascii="Aptos" w:hAnsi="Aptos"/>
          <w:i/>
          <w:sz w:val="24"/>
        </w:rPr>
        <w:t>‭׃וֹלכָיהֵבְּ רקֵּבַלְוּ ,ה־םעַנֹבְּ תוֹזחֲלַ ;ייַּחַ ימֵיְ־לכׇּ ה־תיבֵבְּ יתִּבְשִׁ :שׁקֵּבַאֲ הּתָוֹא ,ה־תאֵמֵ יתִּלְאַשָׁ תחַאַ‬</w:t>
      </w:r>
    </w:p>
    <w:p>
      <w:pPr>
        <w:pStyle w:val="BodySans"/>
        <w:ind w:left="720"/>
        <w:bidi w:val="0"/>
      </w:pPr>
      <w:r>
        <w:rPr>
          <w:rFonts w:ascii="Aptos" w:hAnsi="Aptos"/>
          <w:i/>
          <w:sz w:val="24"/>
        </w:rPr>
        <w:t>“One thing I have asked from the LORD, that will I seek: to dwell in the house of the LORD all the days of my life, to gaze upon the pleasantness of the LORD and to inquire in His temple.”</w:t>
      </w:r>
    </w:p>
    <w:p>
      <w:pPr>
        <w:pStyle w:val="BodySans"/>
        <w:bidi w:val="0"/>
      </w:pPr>
      <w:r>
        <w:t>In Sephardi memorial prayers (</w:t>
      </w:r>
      <w:r>
        <w:rPr>
          <w:i/>
        </w:rPr>
        <w:t>Hashkavah</w:t>
      </w:r>
      <w:r>
        <w:t>), this verse is repurposed as an image of the deceased soul’s rest:</w:t>
      </w:r>
    </w:p>
    <w:p>
      <w:pPr>
        <w:pStyle w:val="BodySans"/>
        <w:ind w:left="720"/>
        <w:bidi w:val="0"/>
      </w:pPr>
      <w:r>
        <w:rPr>
          <w:rFonts w:ascii="Aptos" w:hAnsi="Aptos"/>
          <w:i/>
          <w:sz w:val="24"/>
        </w:rPr>
        <w:t>יַסְתִּירֵהוּ בְּצֵל כְּנָפָיו וּבְסֵתֶר אָהֳלוֹ, לַחֲזוֹת בְּנֹעַם ה׳ וּלְבַקֵּר בְּהֵיכָלוֹ.</w:t>
      </w:r>
    </w:p>
    <w:p>
      <w:pPr>
        <w:pStyle w:val="BodySans"/>
        <w:ind w:left="720"/>
        <w:bidi w:val="0"/>
      </w:pPr>
      <w:r>
        <w:rPr>
          <w:rFonts w:ascii="Aptos" w:hAnsi="Aptos"/>
          <w:i/>
          <w:sz w:val="24"/>
        </w:rPr>
        <w:t>“May He hide him in the shadow of His wings and in the shelter of His tent, to gaze upon the pleasantness of the LORD and to visit in His temple.”</w:t>
      </w:r>
    </w:p>
    <w:p>
      <w:pPr>
        <w:pStyle w:val="BodySans"/>
        <w:bidi w:val="0"/>
      </w:pPr>
      <w:r>
        <w:t>The temple wish of the living psalmist becomes an eschatological hope for the dead.</w:t>
      </w:r>
    </w:p>
    <w:p>
      <w:pPr>
        <w:pStyle w:val="BodySans"/>
        <w:bidi w:val="0"/>
      </w:pPr>
      <w:r>
        <w:t xml:space="preserve">In Ashkenazic Rosh Hashanah liturgy, a piyyut for the </w:t>
      </w:r>
      <w:r>
        <w:rPr>
          <w:i/>
        </w:rPr>
        <w:t>Yotzer Or</w:t>
      </w:r>
      <w:r>
        <w:t xml:space="preserve"> blessing similarly prays that those inscribed for life may “gaze upon the pleasantness of the LORD” — לַחֲזוֹת בְּנֹעַם ה׳ — explicitly lifting the phrase from Psalm 27:4 and reading it in terms of eternal life.</w:t>
      </w:r>
    </w:p>
    <w:p>
      <w:pPr>
        <w:pStyle w:val="BodySans"/>
        <w:bidi w:val="0"/>
      </w:pPr>
      <w:r>
        <w:rPr>
          <w:b/>
          <w:i w:val="0"/>
        </w:rPr>
        <w:t>Psalm 27:7</w:t>
      </w:r>
    </w:p>
    <w:p>
      <w:pPr>
        <w:pStyle w:val="BodySans"/>
        <w:ind w:left="720"/>
        <w:bidi w:val="0"/>
      </w:pPr>
      <w:r>
        <w:rPr>
          <w:rFonts w:ascii="Aptos" w:hAnsi="Aptos"/>
          <w:i/>
          <w:sz w:val="24"/>
        </w:rPr>
        <w:t>‭׃ינִנֵעֲוַ ינִנֵּחָוְ ;ארָקְאֶ ילִוֹק ה עמַשְׁ‬</w:t>
      </w:r>
    </w:p>
    <w:p>
      <w:pPr>
        <w:pStyle w:val="BodySans"/>
        <w:ind w:left="720"/>
        <w:bidi w:val="0"/>
      </w:pPr>
      <w:r>
        <w:rPr>
          <w:rFonts w:ascii="Aptos" w:hAnsi="Aptos"/>
          <w:i/>
          <w:sz w:val="24"/>
        </w:rPr>
        <w:t>“Hear, O LORD, my voice when I call; be gracious to me and answer me.”</w:t>
      </w:r>
    </w:p>
    <w:p>
      <w:pPr>
        <w:pStyle w:val="BodySans"/>
        <w:bidi w:val="0"/>
      </w:pPr>
      <w:r>
        <w:t xml:space="preserve">This plea appears in extended </w:t>
      </w:r>
      <w:r>
        <w:rPr>
          <w:i/>
        </w:rPr>
        <w:t>Selichot</w:t>
      </w:r>
      <w:r>
        <w:t xml:space="preserve"> cycles, especially on the night before Yom Kippur in Eastern rites, woven into chains of “Hear…” verses:</w:t>
      </w:r>
    </w:p>
    <w:p>
      <w:pPr>
        <w:pStyle w:val="BodySans"/>
        <w:ind w:left="720"/>
        <w:bidi w:val="0"/>
      </w:pPr>
      <w:r>
        <w:rPr>
          <w:rFonts w:ascii="Aptos" w:hAnsi="Aptos"/>
          <w:i/>
          <w:sz w:val="24"/>
        </w:rPr>
        <w:t>שְׁמַע־ה׳ וְחָנֵּנִי, ה׳ הֱיֵה־עֹזֵר לִי. שְׁמַע ה׳ קוֹלִי אֶקְרָא, וְחָנֵּנִי וַעֲנֵנִי.</w:t>
      </w:r>
    </w:p>
    <w:p>
      <w:pPr>
        <w:pStyle w:val="BodySans"/>
        <w:ind w:left="720"/>
        <w:bidi w:val="0"/>
      </w:pPr>
      <w:r>
        <w:rPr>
          <w:rFonts w:ascii="Aptos" w:hAnsi="Aptos"/>
          <w:i/>
          <w:sz w:val="24"/>
        </w:rPr>
        <w:t>“Hear, O LORD, and be gracious to me; O LORD, be my helper. Hear, O LORD, my voice when I call; be gracious to me and answer me.”</w:t>
      </w:r>
    </w:p>
    <w:p>
      <w:pPr>
        <w:pStyle w:val="BodySans"/>
        <w:bidi w:val="0"/>
      </w:pPr>
      <w:r>
        <w:t>In this setting, the psalm’s shift from confidence to supplication is exactly what the liturgy wants: a practiced way of crying out.</w:t>
      </w:r>
    </w:p>
    <w:p>
      <w:pPr>
        <w:pStyle w:val="BodySans"/>
        <w:bidi w:val="0"/>
      </w:pPr>
      <w:r>
        <w:rPr>
          <w:b/>
          <w:i w:val="0"/>
        </w:rPr>
        <w:t>Psalm 27:14</w:t>
      </w:r>
    </w:p>
    <w:p>
      <w:pPr>
        <w:pStyle w:val="BodySans"/>
        <w:ind w:left="720"/>
        <w:bidi w:val="0"/>
      </w:pPr>
      <w:r>
        <w:rPr>
          <w:rFonts w:ascii="Aptos" w:hAnsi="Aptos"/>
          <w:i/>
          <w:sz w:val="24"/>
        </w:rPr>
        <w:t>‭׃ה־לאֶ הוֵּקַוְ ;ךָבֶּלִ ץמֵאֲיַוְ קזַחֲ ,ה־לאֶ הוֵּקַ‬</w:t>
      </w:r>
    </w:p>
    <w:p>
      <w:pPr>
        <w:pStyle w:val="BodySans"/>
        <w:ind w:left="720"/>
        <w:bidi w:val="0"/>
      </w:pPr>
      <w:r>
        <w:rPr>
          <w:rFonts w:ascii="Aptos" w:hAnsi="Aptos"/>
          <w:i/>
          <w:sz w:val="24"/>
        </w:rPr>
        <w:t>“Wait for the LORD; be strong and let your heart take courage; and wait for the LORD.”</w:t>
      </w:r>
    </w:p>
    <w:p>
      <w:pPr>
        <w:pStyle w:val="BodySans"/>
        <w:bidi w:val="0"/>
      </w:pPr>
      <w:r>
        <w:t xml:space="preserve">This verse is quoted in Talmud (Berakhot 32b) as a prooftext for repeated prayer and, liturgically, often precedes the hymn </w:t>
      </w:r>
      <w:r>
        <w:rPr>
          <w:i/>
        </w:rPr>
        <w:t>Ein Keloheinu</w:t>
      </w:r>
      <w:r>
        <w:t xml:space="preserve"> in Ashkenazic siddurim:</w:t>
      </w:r>
    </w:p>
    <w:p>
      <w:pPr>
        <w:pStyle w:val="BodySans"/>
        <w:ind w:left="720"/>
        <w:bidi w:val="0"/>
      </w:pPr>
      <w:r>
        <w:rPr>
          <w:rFonts w:ascii="Aptos" w:hAnsi="Aptos"/>
          <w:i/>
          <w:sz w:val="24"/>
        </w:rPr>
        <w:t>קַוֵּה אֶל־ה׳ חֲזַק וְיַאֲמֵץ לִבֶּךָ וְקַוֵּה אֶל־ה׳. אֵין קָדוֹשׁ כַּה׳…</w:t>
      </w:r>
    </w:p>
    <w:p>
      <w:pPr>
        <w:pStyle w:val="BodySans"/>
        <w:ind w:left="720"/>
        <w:bidi w:val="0"/>
      </w:pPr>
      <w:r>
        <w:rPr>
          <w:rFonts w:ascii="Aptos" w:hAnsi="Aptos"/>
          <w:i/>
          <w:sz w:val="24"/>
        </w:rPr>
        <w:t>“Wait for the LORD; be strong and let your heart take courage, and wait for the LORD. There is none holy like the LORD…”</w:t>
      </w:r>
    </w:p>
    <w:p>
      <w:pPr>
        <w:pStyle w:val="BodySans"/>
        <w:bidi w:val="0"/>
      </w:pPr>
      <w:r>
        <w:t>The individual self‑exhortation of the psalm becomes a communal prelude to praise.</w:t>
      </w:r>
    </w:p>
    <w:p>
      <w:pPr>
        <w:pStyle w:val="Heading4"/>
      </w:pPr>
      <w:r>
        <w:t>Phrases</w:t>
      </w:r>
    </w:p>
    <w:p>
      <w:pPr>
        <w:pStyle w:val="BodySans"/>
        <w:bidi w:val="0"/>
      </w:pPr>
      <w:r>
        <w:rPr>
          <w:b/>
          <w:i w:val="0"/>
        </w:rPr>
        <w:t>בְּסֵתֶר אׇהֳלוֹ — “in the shelter of His tent” (v. 5)</w:t>
      </w:r>
    </w:p>
    <w:p>
      <w:pPr>
        <w:pStyle w:val="BodySans"/>
        <w:bidi w:val="0"/>
      </w:pPr>
      <w:r>
        <w:t>This phrase is folded into Sephardi memorial prayer, as cited above, where God is asked to “hide” the departed “in the shadow of His wings and in the shelter of His tent” — בְּסֵתֶר אָהֳלוֹ. The language of asylum in life is thus extended to protective rest in death.</w:t>
      </w:r>
    </w:p>
    <w:p>
      <w:pPr>
        <w:pStyle w:val="BodySans"/>
        <w:bidi w:val="0"/>
      </w:pPr>
      <w:r>
        <w:rPr>
          <w:b/>
          <w:i w:val="0"/>
        </w:rPr>
        <w:t>ה׳ אוֹרִי וְיִשְׁעִי — “The LORD is my light and my salvation” (v. 1)</w:t>
      </w:r>
    </w:p>
    <w:p>
      <w:pPr>
        <w:pStyle w:val="BodySans"/>
        <w:bidi w:val="0"/>
      </w:pPr>
      <w:r>
        <w:t>Beyond formal prayer, this clause has entered Jewish song and modern piyyut. One Yom Kippur poem introduces a litany with:</w:t>
      </w:r>
    </w:p>
    <w:p>
      <w:pPr>
        <w:pStyle w:val="BodySans"/>
        <w:ind w:left="720"/>
        <w:bidi w:val="0"/>
      </w:pPr>
      <w:r>
        <w:rPr>
          <w:rFonts w:ascii="Aptos" w:hAnsi="Aptos"/>
          <w:i/>
          <w:sz w:val="24"/>
        </w:rPr>
        <w:t>קְהַל קָדוֹשׁ, אִמְרוּ: ה׳ אוֹרִי וְיִשְׁעִי, מָעוֹז חַיַּי, עָלָיו תְּלוּיִים כָּל מַאֲוַיָּי.</w:t>
      </w:r>
    </w:p>
    <w:p>
      <w:pPr>
        <w:pStyle w:val="BodySans"/>
        <w:ind w:left="720"/>
        <w:bidi w:val="0"/>
      </w:pPr>
      <w:r>
        <w:rPr>
          <w:rFonts w:ascii="Aptos" w:hAnsi="Aptos"/>
          <w:i/>
          <w:sz w:val="24"/>
        </w:rPr>
        <w:t>“Holy congregation, say: ‘The LORD is my light and my salvation, the stronghold of my life; upon Him all my desires hang.’”</w:t>
      </w:r>
    </w:p>
    <w:p>
      <w:pPr>
        <w:pStyle w:val="BodySans"/>
        <w:bidi w:val="0"/>
      </w:pPr>
      <w:r>
        <w:t>Here the ancient images are explicitly claimed as a template for contemporary spiritual dependence.</w:t>
      </w:r>
    </w:p>
    <w:p>
      <w:pPr>
        <w:pStyle w:val="BodySans"/>
        <w:bidi w:val="0"/>
      </w:pPr>
      <w:r>
        <w:rPr>
          <w:b/>
          <w:i w:val="0"/>
        </w:rPr>
        <w:t>קַוֵּה אֶל־ה׳ — “Wait for the LORD” (v. 14)</w:t>
      </w:r>
    </w:p>
    <w:p>
      <w:pPr>
        <w:pStyle w:val="BodySans"/>
        <w:bidi w:val="0"/>
      </w:pPr>
      <w:r>
        <w:t>A brief Chanukah usage appears in some Sefardi rites among verses recited before Torah reading, where קַוֵּה אֶל־ה׳ is one of several exhortations to trust and courage. The festival of fragile light is framed with the psalmist’s insistence that hope itself is an act of strength.</w:t>
      </w:r>
    </w:p>
    <w:p>
      <w:pPr>
        <w:pStyle w:val="BodySans"/>
        <w:bidi w:val="0"/>
      </w:pPr>
      <w:r>
        <w:t>---</w:t>
      </w:r>
    </w:p>
    <w:p>
      <w:pPr>
        <w:pStyle w:val="Heading2"/>
      </w:pPr>
      <w:r>
        <w:t>Verse-by-Verse Commentary</w:t>
      </w:r>
    </w:p>
    <w:p>
      <w:pPr>
        <w:pStyle w:val="Heading3"/>
      </w:pPr>
      <w:r>
        <w:t>Verse 1</w:t>
      </w:r>
    </w:p>
    <w:p>
      <w:pPr>
        <w:pStyle w:val="BodySans"/>
        <w:bidi w:val="0"/>
      </w:pPr>
      <w:r>
        <w:rPr>
          <w:b w:val="0"/>
          <w:i w:val="0"/>
        </w:rPr>
        <w:t>‭  ׃דחָפְאֶ ימִּמִ ,ייַּחַ־זוֹעמָ ה ;ארָיאִ ימִּמִ ,יעִשְׁיִוְ ירִוֹא ה ;דוִדָלְ‬</w:t>
      </w:r>
    </w:p>
    <w:p>
      <w:pPr>
        <w:pStyle w:val="BodySans"/>
        <w:bidi w:val="0"/>
      </w:pPr>
      <w:r>
        <w:rPr>
          <w:b w:val="0"/>
          <w:i w:val="0"/>
        </w:rPr>
        <w:t xml:space="preserve">The psalm opens with an ascription “Of David” — לְדָוִד, then piles up three predicates for God: “my light” ‭(ירִוֹא)‬, “my salvation” ‭(יעִשְׁיִוְ)‬, and “the stronghold of my life” ‭(ייַּחַ־זוֹעמָ)‬. Each is followed by a rhetorical question, “whom shall I fear?” ‭(ארָיאִ ימִּמִ)‬ and “whom shall I dread?” ‭(דחָפְאֶ ימִּמִ)‬. The double </w:t>
      </w:r>
      <w:r>
        <w:rPr>
          <w:b w:val="0"/>
          <w:i/>
        </w:rPr>
        <w:t>mi?</w:t>
      </w:r>
      <w:r>
        <w:rPr>
          <w:b w:val="0"/>
          <w:i w:val="0"/>
        </w:rPr>
        <w:t xml:space="preserve"> (“who?”) has the force of “no one.”</w:t>
      </w:r>
    </w:p>
    <w:p>
      <w:pPr>
        <w:pStyle w:val="BodySans"/>
        <w:bidi w:val="0"/>
      </w:pPr>
      <w:r>
        <w:rPr>
          <w:b w:val="0"/>
          <w:i w:val="0"/>
        </w:rPr>
        <w:t>אוֹרִי (“my light”) is rare as a direct divine title. BDB notes אוֹר as “light,” especially dawn light, but only here and in Micah 7:8 (“the LORD will be a light to me” — ה׳ אוֹר לִי) does it appear as something like a name. In the ancient Near Eastern imagination, light belonged to solar gods like Shamash and Shapash, associated with justice because their rays expose what is hidden. When this psalm calls YHWH “my light,” it asserts that the functions of exposure, guidance, and judgment belong not to Shamash but to Israel’s God.</w:t>
      </w:r>
    </w:p>
    <w:p>
      <w:pPr>
        <w:pStyle w:val="BodySans"/>
        <w:bidi w:val="0"/>
      </w:pPr>
      <w:r>
        <w:rPr>
          <w:b w:val="0"/>
          <w:i w:val="0"/>
        </w:rPr>
        <w:t>יִשְׁעִי (“my salvation”) personalizes a root that often names military rescue. In Psalm 18:3, David calls God “the horn of my salvation” — קֶרֶן יִשְׁעִי. Here salvation is not an abstract doctrine but God’s track record with the speaker. Later, verse 9 will address God as “God of my salvation” — אֱלֹקֵי יִשְׁעִי, forming an inclusio: the psalm begins and nearly ends by circling this relationship.</w:t>
      </w:r>
    </w:p>
    <w:p>
      <w:pPr>
        <w:pStyle w:val="BodySans"/>
        <w:bidi w:val="0"/>
      </w:pPr>
      <w:r>
        <w:rPr>
          <w:b w:val="0"/>
          <w:i w:val="0"/>
        </w:rPr>
        <w:t>מָעוֹז (</w:t>
      </w:r>
      <w:r>
        <w:rPr>
          <w:b w:val="0"/>
          <w:i/>
        </w:rPr>
        <w:t>ma‘oz</w:t>
      </w:r>
      <w:r>
        <w:rPr>
          <w:b w:val="0"/>
          <w:i w:val="0"/>
        </w:rPr>
        <w:t>), “stronghold” or “refuge,” roots the imagery in Judean topography. It evokes fortified cities and mountain strongholds (cf. Nah 1:7: “The LORD is good, a stronghold in the day of trouble” — מָעוֹז בְּיוֹם צָרָה). Radak glosses: “Just as a man fortifies himself in a tower so his enemies cannot kill him, so I am fortified in [God].” The phrase “stronghold of my life” compresses both physical and existential safety.</w:t>
      </w:r>
    </w:p>
    <w:p>
      <w:pPr>
        <w:pStyle w:val="BodySans"/>
        <w:bidi w:val="0"/>
      </w:pPr>
      <w:r>
        <w:rPr>
          <w:b w:val="0"/>
          <w:i w:val="0"/>
        </w:rPr>
        <w:t xml:space="preserve">The verbal pair אִירָא (“I will fear”) and אֶפְחָד (“I will dread”) looks like synonymous parallelism, but </w:t>
      </w:r>
      <w:r>
        <w:rPr>
          <w:b w:val="0"/>
          <w:i/>
        </w:rPr>
        <w:t>pḥd</w:t>
      </w:r>
      <w:r>
        <w:rPr>
          <w:b w:val="0"/>
          <w:i w:val="0"/>
        </w:rPr>
        <w:t xml:space="preserve"> often connotes trembling terror, suggesting an intensification: no run‑of‑the‑mill fear, no paralysing dread. The Septuagint’s rendering “whom shall I be made to fear?” (τίνα φοβηθήσομαι) subtly underscores that fear is something imposed, not something he volunteers for.</w:t>
      </w:r>
    </w:p>
    <w:p>
      <w:pPr>
        <w:pStyle w:val="BodySans"/>
        <w:bidi w:val="0"/>
      </w:pPr>
      <w:r>
        <w:rPr>
          <w:b w:val="0"/>
          <w:i w:val="0"/>
        </w:rPr>
        <w:t>Liturgically, “The LORD is my light” has been read as an allusion to Rosh Hashanah, “my salvation” to Yom Kippur, and “stronghold” to Sukkot’s booths. Whether or not the poet intended that mapping, it captures an important dynamic: in a season when God judges, forgives, and shelters, the psalm uses cosmic and military metaphors to ground a radical lack of fear.</w:t>
      </w:r>
    </w:p>
    <w:p>
      <w:pPr>
        <w:pStyle w:val="Heading3"/>
      </w:pPr>
      <w:r>
        <w:t>Verse 2</w:t>
      </w:r>
    </w:p>
    <w:p>
      <w:pPr>
        <w:pStyle w:val="BodySans"/>
        <w:bidi w:val="0"/>
      </w:pPr>
      <w:r>
        <w:rPr>
          <w:b w:val="0"/>
          <w:i w:val="0"/>
        </w:rPr>
        <w:t>‭  ׃וּלפָנָוְ וּלשְׁכָ המָּהֵ ,ילִ יבַיְאֹוְ ירַצָ ;ירִשָׂבְּ־תאֶ לכֹאֱלֶ ,םיעִרֵמְ ילַעָ ברֹקְבִּ‬</w:t>
      </w:r>
    </w:p>
    <w:p>
      <w:pPr>
        <w:pStyle w:val="BodySans"/>
        <w:bidi w:val="0"/>
      </w:pPr>
      <w:r>
        <w:rPr>
          <w:b w:val="0"/>
          <w:i w:val="0"/>
        </w:rPr>
        <w:t>The tone shifts from theological declaration to vivid threat. “When evildoers draw near against me to devour my flesh” — לֶאֱכֹל אֶת־בְּשָׂרִי, is not a polite metaphor. Flesh‑eating language appears in war contexts: Deuteronomy 32:42 pictures God’s sword “devouring flesh” — חַרְבִּי תֹאכַל בָּשָׂר; Jeremiah 12:9 summons beasts “to devour” — לְאׇכְלָה a ravaged land. Here human enemies are zoomorphized into predators, perhaps even cannibals. They want not only to defeat but to consume.</w:t>
      </w:r>
    </w:p>
    <w:p>
      <w:pPr>
        <w:pStyle w:val="BodySans"/>
        <w:bidi w:val="0"/>
      </w:pPr>
      <w:r>
        <w:rPr>
          <w:b w:val="0"/>
          <w:i w:val="0"/>
        </w:rPr>
        <w:t>The triple designation — מְרֵעִים (“evildoers”), צָרַי (“my adversaries”), אֹיְבַי (“my enemies”) — ramps up intensity. The first marks character (they do evil), the second action (they press in, from צָרַר, “to bind, oppress”), the third enduring hostility (root אָיַב). The little suffix לִי (“against me / concerning me”) after אֹיְבַי personalizes the whole line.</w:t>
      </w:r>
    </w:p>
    <w:p>
      <w:pPr>
        <w:pStyle w:val="BodySans"/>
        <w:bidi w:val="0"/>
      </w:pPr>
      <w:r>
        <w:rPr>
          <w:b w:val="0"/>
          <w:i w:val="0"/>
        </w:rPr>
        <w:t xml:space="preserve">Yet the attack is narrated as already failed: “they themselves stumbled and fell” — הֵמָּה כָשְׁלוּ וְנָפָלוּ. The independent pronoun הֵמָּה (“they”) adds emphasis: </w:t>
      </w:r>
      <w:r>
        <w:rPr>
          <w:b w:val="0"/>
          <w:i/>
        </w:rPr>
        <w:t>they</w:t>
      </w:r>
      <w:r>
        <w:rPr>
          <w:b w:val="0"/>
          <w:i w:val="0"/>
        </w:rPr>
        <w:t>, not I. כָשַל (“to stumble”) and נָפַל (“to fall”) form a hendiadys of ruin, a two‑step collapse. Grammatically, the perfect verbs can describe a past event (“they stumbled”) or a “prophetic perfect,” picturing future deliverance as if it had already happened. Either way, the contrast is sharp: the devourers of flesh lose their footing.</w:t>
      </w:r>
    </w:p>
    <w:p>
      <w:pPr>
        <w:pStyle w:val="BodySans"/>
        <w:bidi w:val="0"/>
      </w:pPr>
      <w:r>
        <w:rPr>
          <w:b w:val="0"/>
          <w:i w:val="0"/>
        </w:rPr>
        <w:t>The devouring motif will resurface in verse 12, where the psalmist fears being given over to “the nefesh of my foes” — בְּנֶפֶשׁ צָרָי. נֶפֶשׁ can mean “throat” or “appetite.” He does not want to become food. Psalm 53 echoes this pattern, condemning those “who eat up my people as they eat bread” — אֹכְלֵי עַמִּי אָכְלוּ לֶחֶם (Ps 53:5). In Psalm 27, the devouring appetite is thwarted at the outset. Confidence is not naïveté; it is grounded in a remembered or anticipated pattern in which the hunters slip on their own bloodthirst.</w:t>
      </w:r>
    </w:p>
    <w:p>
      <w:pPr>
        <w:pStyle w:val="Heading3"/>
      </w:pPr>
      <w:r>
        <w:t>Verse 3</w:t>
      </w:r>
    </w:p>
    <w:p>
      <w:pPr>
        <w:pStyle w:val="BodySans"/>
        <w:bidi w:val="0"/>
      </w:pPr>
      <w:r>
        <w:rPr>
          <w:b w:val="0"/>
          <w:i w:val="0"/>
        </w:rPr>
        <w:t>‭  ׃חַטֵוֹב ינִאֲ תאזֹבְּ ,המָחָלְמִ ילַעָ םוּקתָּ־םאִ ;יבִּלִ ארָייִ־אלֹ ,הנֶחֲמַ ילַעָ הנֶחֲתַּ־םאִ‬</w:t>
      </w:r>
    </w:p>
    <w:p>
      <w:pPr>
        <w:pStyle w:val="BodySans"/>
        <w:bidi w:val="0"/>
      </w:pPr>
      <w:r>
        <w:rPr>
          <w:b w:val="0"/>
          <w:i w:val="0"/>
        </w:rPr>
        <w:t>The conditional “if” — אִם — appears twice, staging worst‑case scenarios. First, “if an army encamps against me” — אִם־תַּחֲנֶה עָלַי מַחֲנֶה, where verb and noun share consonants (תַּחֲנֶה / מַחֲנֶה), creating paronomasia. The picture is siege: a hostile camp settles all around.</w:t>
      </w:r>
    </w:p>
    <w:p>
      <w:pPr>
        <w:pStyle w:val="BodySans"/>
        <w:bidi w:val="0"/>
      </w:pPr>
      <w:r>
        <w:rPr>
          <w:b w:val="0"/>
          <w:i w:val="0"/>
        </w:rPr>
        <w:t xml:space="preserve">Second, “if war rises against me” — אִם־תָּקוּם עָלַי מִלְחָמָה. </w:t>
      </w:r>
      <w:r>
        <w:rPr>
          <w:b w:val="0"/>
          <w:i/>
        </w:rPr>
        <w:t>Qūm</w:t>
      </w:r>
      <w:r>
        <w:rPr>
          <w:b w:val="0"/>
          <w:i w:val="0"/>
        </w:rPr>
        <w:t xml:space="preserve"> (“to arise”) personifies war as an adversary that stands up and comes forward. The movement from camp to war sketches the normal escalation of ancient conflicts: surrounding, then storming.</w:t>
      </w:r>
    </w:p>
    <w:p>
      <w:pPr>
        <w:pStyle w:val="BodySans"/>
        <w:bidi w:val="0"/>
      </w:pPr>
      <w:r>
        <w:rPr>
          <w:b w:val="0"/>
          <w:i w:val="0"/>
        </w:rPr>
        <w:t xml:space="preserve">In both cases the decisive organ is not sword arm but heart: “my heart will not fear” — לֹא־יִירָא לִבִּי. In biblical anthropology, the לֵב (“heart”) is the seat of thought and resolve. A fearless heart is a steady will. The nuance picks up verse 1’s shift from </w:t>
      </w:r>
      <w:r>
        <w:rPr>
          <w:b w:val="0"/>
          <w:i/>
        </w:rPr>
        <w:t>’ira’</w:t>
      </w:r>
      <w:r>
        <w:rPr>
          <w:b w:val="0"/>
          <w:i w:val="0"/>
        </w:rPr>
        <w:t xml:space="preserve"> to </w:t>
      </w:r>
      <w:r>
        <w:rPr>
          <w:b w:val="0"/>
          <w:i/>
        </w:rPr>
        <w:t>’efḥad</w:t>
      </w:r>
      <w:r>
        <w:rPr>
          <w:b w:val="0"/>
          <w:i w:val="0"/>
        </w:rPr>
        <w:t>: particular terrors cannot seize the inner core.</w:t>
      </w:r>
    </w:p>
    <w:p>
      <w:pPr>
        <w:pStyle w:val="BodySans"/>
        <w:bidi w:val="0"/>
      </w:pPr>
      <w:r>
        <w:rPr>
          <w:b w:val="0"/>
          <w:i w:val="0"/>
        </w:rPr>
        <w:t xml:space="preserve">The most intriguing phrase is “in this I trust” — בְּזֹאת אֲנִי בוֹטֵחַ. What is </w:t>
      </w:r>
      <w:r>
        <w:rPr>
          <w:b w:val="0"/>
          <w:i/>
        </w:rPr>
        <w:t>this</w:t>
      </w:r>
      <w:r>
        <w:rPr>
          <w:b w:val="0"/>
          <w:i w:val="0"/>
        </w:rPr>
        <w:t xml:space="preserve">? Rashi hears an anaphoric reference: “In this, that I said above, ‘The LORD is the stronghold of my life’.” Confidence is grounded in the creedal opening. Ibn Ezra, by contrast, points forward: </w:t>
      </w:r>
      <w:r>
        <w:rPr>
          <w:b w:val="0"/>
          <w:i/>
        </w:rPr>
        <w:t>this</w:t>
      </w:r>
      <w:r>
        <w:rPr>
          <w:b w:val="0"/>
          <w:i w:val="0"/>
        </w:rPr>
        <w:t xml:space="preserve"> is the “one thing” request of verse 4. He takes the line as a hinge: even if war comes, my trust consists in, and expresses itself as, my desire for God’s house.</w:t>
      </w:r>
    </w:p>
    <w:p>
      <w:pPr>
        <w:pStyle w:val="BodySans"/>
        <w:bidi w:val="0"/>
      </w:pPr>
      <w:r>
        <w:rPr>
          <w:b w:val="0"/>
          <w:i w:val="0"/>
        </w:rPr>
        <w:t xml:space="preserve">Both readings are plausible, and perhaps both are intended. Grammatically, זאת can gesture backward or forward; literarily, it ties the outer threats (army, war) to the inner orientation that will follow. Whatever the enemies do, the psalmist’s trust crystallizes into concrete longing in the next verse. He is not just confident </w:t>
      </w:r>
      <w:r>
        <w:rPr>
          <w:b w:val="0"/>
          <w:i/>
        </w:rPr>
        <w:t>that</w:t>
      </w:r>
      <w:r>
        <w:rPr>
          <w:b w:val="0"/>
          <w:i w:val="0"/>
        </w:rPr>
        <w:t xml:space="preserve"> God will act; he is confident </w:t>
      </w:r>
      <w:r>
        <w:rPr>
          <w:b w:val="0"/>
          <w:i/>
        </w:rPr>
        <w:t>where</w:t>
      </w:r>
      <w:r>
        <w:rPr>
          <w:b w:val="0"/>
          <w:i w:val="0"/>
        </w:rPr>
        <w:t xml:space="preserve"> his safety lies: in the temple courts.</w:t>
      </w:r>
    </w:p>
    <w:p>
      <w:pPr>
        <w:pStyle w:val="Heading3"/>
      </w:pPr>
      <w:r>
        <w:t>Verse 4</w:t>
      </w:r>
    </w:p>
    <w:p>
      <w:pPr>
        <w:pStyle w:val="BodySans"/>
        <w:bidi w:val="0"/>
      </w:pPr>
      <w:r>
        <w:rPr>
          <w:b w:val="0"/>
          <w:i w:val="0"/>
        </w:rPr>
        <w:t>‭  ׃וֹלכָיהֵבְּ רקֵּבַלְוּ ,ה־םעַנֹבְּ תוֹזחֲלַ ,ייַּחַ ימֵיְ־לכׇּ ה־תיבֵבְּ יתִּבְשִׁ ;שׁקֵּבַאֲ הּתָוֹא ,ה־תאֵמֵ יתִּלְאַשָׁ תחַאַ‬</w:t>
      </w:r>
    </w:p>
    <w:p>
      <w:pPr>
        <w:pStyle w:val="BodySans"/>
        <w:bidi w:val="0"/>
      </w:pPr>
      <w:r>
        <w:rPr>
          <w:b w:val="0"/>
          <w:i w:val="0"/>
        </w:rPr>
        <w:t>This verse is the psalm’s theological and emotional pivot. The “one thing” formula — אַחַת שָׁאַלְתִּי (“one thing I have asked”) — is a radical narrowing after the multiplicity of threats. The parallel “that I will seek” — אוֹתָהּ אֲבַקֵּשׁ, pairs a completed act (“I asked”) with ongoing pursuit (“I seek”), suggesting a life‑long orientation.</w:t>
      </w:r>
    </w:p>
    <w:p>
      <w:pPr>
        <w:pStyle w:val="BodySans"/>
        <w:bidi w:val="0"/>
      </w:pPr>
      <w:r>
        <w:rPr>
          <w:b w:val="0"/>
          <w:i w:val="0"/>
        </w:rPr>
        <w:t>שִׁבְתִּי בְּבֵית־ה׳ (“my dwelling in the house of the LORD”) is best read, as the Masoretic pointing has it, as an infinitive construct: not “I have dwelt” but “to dwell / my dwelling.” This verb echoes Psalm 23:6, “I shall dwell in the house of the LORD” — וְשַׁבְתִּי בְּבֵית־ה׳, creating a tiny intrabiblical network in which God’s house is the ultimate good. Radak astutely notes that warfare, even when one trusts God, “preoccupies body and heart,” leaving little leisure for the soul; hence the plea to be freed from that burden to “sit” in the house of God.</w:t>
      </w:r>
    </w:p>
    <w:p>
      <w:pPr>
        <w:pStyle w:val="BodySans"/>
        <w:bidi w:val="0"/>
      </w:pPr>
      <w:r>
        <w:rPr>
          <w:b w:val="0"/>
          <w:i w:val="0"/>
        </w:rPr>
        <w:t>The infinitives לַחֲזוֹת (“to gaze”) and וּלְבַקֵּר (“and to inquire/visit”) unpack what that dwelling entails. As noted in the introduction, חָזָה is a verb of seeing visions, used of prophets (Isa 1:1; Amos 1:1). גָּזִינְג on the “pleasantness” or “beauty” of YHWH — בְּנֹעַם־ה׳ — likely means savoring His favor and glory as experienced in worship. נֹעַם (</w:t>
      </w:r>
      <w:r>
        <w:rPr>
          <w:b w:val="0"/>
          <w:i/>
        </w:rPr>
        <w:t>no‘am</w:t>
      </w:r>
      <w:r>
        <w:rPr>
          <w:b w:val="0"/>
          <w:i w:val="0"/>
        </w:rPr>
        <w:t>) elsewhere describes the “pleasantness” of wisdom’s ways (Prov 3:17) and appears in Psalm 90:17: “May the pleasantness of the Lord our God be upon us” — וִיהִי נֹעַם אֲדֹנָי אֱלֹקֵינוּ עָלֵינוּ. The temple becomes the place where that intangible quality is most palpable.</w:t>
      </w:r>
    </w:p>
    <w:p>
      <w:pPr>
        <w:pStyle w:val="BodySans"/>
        <w:bidi w:val="0"/>
      </w:pPr>
      <w:r>
        <w:rPr>
          <w:b w:val="0"/>
          <w:i w:val="0"/>
        </w:rPr>
        <w:t xml:space="preserve">The debated וּלְבַקֵּר invites a choice. Rashi’s homiletical move (“to be seen there every morning”) highlights regular devotion, but the usage in 2 Kings 16:15 and Leviticus 27:33 (“he shall not </w:t>
      </w:r>
      <w:r>
        <w:rPr>
          <w:b w:val="0"/>
          <w:i/>
        </w:rPr>
        <w:t>inquire</w:t>
      </w:r>
      <w:r>
        <w:rPr>
          <w:b w:val="0"/>
          <w:i w:val="0"/>
        </w:rPr>
        <w:t xml:space="preserve"> between good and bad” — לֹא יְבַקֵּר בֵּין טוֹב לָרָע) support Ibn Ezra’s sense of legal inquiry or seeking an oracle. In that light, the psalmist’s singular longing is both contemplative and forensic: to live in the sphere where God’s will is disclosed and one’s case is continually reviewed.</w:t>
      </w:r>
    </w:p>
    <w:p>
      <w:pPr>
        <w:pStyle w:val="BodySans"/>
        <w:bidi w:val="0"/>
      </w:pPr>
      <w:r>
        <w:rPr>
          <w:b w:val="0"/>
          <w:i w:val="0"/>
        </w:rPr>
        <w:t>The verse’s afterlife in Jewish liturgy, especially in mourning prayers that ask God to let the departed “gaze upon the pleasantness of the LORD and visit in His temple,” shifts its focus from temple architecture to eschatological proximity. Yet in its original setting, it is already more about presence than place, more about a sustained audience at the divine court than about a particular building.</w:t>
      </w:r>
    </w:p>
    <w:p>
      <w:pPr>
        <w:pStyle w:val="Heading3"/>
      </w:pPr>
      <w:r>
        <w:t>Verse 5</w:t>
      </w:r>
    </w:p>
    <w:p>
      <w:pPr>
        <w:pStyle w:val="BodySans"/>
        <w:bidi w:val="0"/>
      </w:pPr>
      <w:r>
        <w:rPr>
          <w:b w:val="0"/>
          <w:i w:val="0"/>
        </w:rPr>
        <w:t>‭  ׃ינִמֵמְוֹריְ רוּצבְּ ;וֹלהֳאׇ רתֶסֵבְּ ינִרֵתִּסְיַ ;העָרָ םוֹיבְּ הכֹּסֻבְּ ינִנֵפְּצְיִ יכִּ‬</w:t>
      </w:r>
    </w:p>
    <w:p>
      <w:pPr>
        <w:pStyle w:val="BodySans"/>
        <w:bidi w:val="0"/>
      </w:pPr>
      <w:r>
        <w:rPr>
          <w:b w:val="0"/>
          <w:i w:val="0"/>
        </w:rPr>
        <w:t>The causal כִּי (“for”) links the “one thing” to concrete reasons. The psalmist trusts that God “will hide me in His sukkah on the day of trouble” — יִצְפְּנֵנִי בְּסֻכֹּה בְּיוֹם רָעָה. The Hiphil of צָפַן (“to hide, to store up”) evokes both concealment and cherishing—God hides the supplicant as treasure. סֻכָּה (</w:t>
      </w:r>
      <w:r>
        <w:rPr>
          <w:b w:val="0"/>
          <w:i/>
        </w:rPr>
        <w:t>sukkah</w:t>
      </w:r>
      <w:r>
        <w:rPr>
          <w:b w:val="0"/>
          <w:i w:val="0"/>
        </w:rPr>
        <w:t xml:space="preserve">) here is best taken as a pavilion or war‑tent, not a festival booth. In Ugaritic, the cognate </w:t>
      </w:r>
      <w:r>
        <w:rPr>
          <w:b w:val="0"/>
          <w:i/>
        </w:rPr>
        <w:t>sk</w:t>
      </w:r>
      <w:r>
        <w:rPr>
          <w:b w:val="0"/>
          <w:i w:val="0"/>
        </w:rPr>
        <w:t xml:space="preserve"> names divine dwellings; in Psalm 76:3, God’s “sukkah” is associated with Zion and military victory.</w:t>
      </w:r>
    </w:p>
    <w:p>
      <w:pPr>
        <w:pStyle w:val="BodySans"/>
        <w:bidi w:val="0"/>
      </w:pPr>
      <w:r>
        <w:rPr>
          <w:b w:val="0"/>
          <w:i w:val="0"/>
        </w:rPr>
        <w:t>The second clause intensifies concealment: “He will conceal me in the secret of His tent” — יַסְתִּרֵנִי בְּסֵתֶר אׇהֳלוֹ. Again a Hiphil (from סָתַר, “to hide”) and the noun סֵתֶר (“covering, hidden place”) layer the idea of refuge. The tent (</w:t>
      </w:r>
      <w:r>
        <w:rPr>
          <w:b w:val="0"/>
          <w:i/>
        </w:rPr>
        <w:t>ohel</w:t>
      </w:r>
      <w:r>
        <w:rPr>
          <w:b w:val="0"/>
          <w:i w:val="0"/>
        </w:rPr>
        <w:t>) recalls Israel’s wilderness tabernacle, the mobile precursor of the temple, suggesting that God’s protective presence is mobile with the people.</w:t>
      </w:r>
    </w:p>
    <w:p>
      <w:pPr>
        <w:pStyle w:val="BodySans"/>
        <w:bidi w:val="0"/>
      </w:pPr>
      <w:r>
        <w:rPr>
          <w:b w:val="0"/>
          <w:i w:val="0"/>
        </w:rPr>
        <w:t>Finally, protection turns upward: “on a rock He will lift me high” — בְּצוּר יְרוֹמְמֵנִי. צוּר (</w:t>
      </w:r>
      <w:r>
        <w:rPr>
          <w:b w:val="0"/>
          <w:i/>
        </w:rPr>
        <w:t>tzur</w:t>
      </w:r>
      <w:r>
        <w:rPr>
          <w:b w:val="0"/>
          <w:i w:val="0"/>
        </w:rPr>
        <w:t>) is both literal bedrock and metaphorical epithet for God (“The Rock, His work is perfect” — הַצּוּר תָּמִים פָּעֳלוֹ, Deut 32:4). Here the imagery is probably double: God, the Rock, sets the psalmist on a rock, a vantage point and a place enemies cannot scale easily.</w:t>
      </w:r>
    </w:p>
    <w:p>
      <w:pPr>
        <w:pStyle w:val="BodySans"/>
        <w:bidi w:val="0"/>
      </w:pPr>
      <w:r>
        <w:rPr>
          <w:b w:val="0"/>
          <w:i w:val="0"/>
        </w:rPr>
        <w:t>The triplet shows a movement from cloth to stone and from hiding to exaltation. On “the day of trouble” — בְּיוֹם רָעָה (a phrase also found in Ps 41:2), safety lies not in removing the trouble but in being relocated to where it cannot finally touch. For a worshiper who may literally be sheltering in the temple precincts from human pursuers, these metaphors would have immediate, visceral resonance.</w:t>
      </w:r>
    </w:p>
    <w:p>
      <w:pPr>
        <w:pStyle w:val="Heading3"/>
      </w:pPr>
      <w:r>
        <w:t>Verse 6</w:t>
      </w:r>
    </w:p>
    <w:p>
      <w:pPr>
        <w:pStyle w:val="BodySans"/>
        <w:bidi w:val="0"/>
      </w:pPr>
      <w:r>
        <w:rPr>
          <w:b w:val="0"/>
          <w:i w:val="0"/>
        </w:rPr>
        <w:t>‭  ׃הלַ הרָמְּזַאֲוַ הרָישִׁאָ ;העָוּרתְ יחֵבְזִ וֹלהֳאׇבְּ החָבְּזְאֶוְ ;יתַוֹביבִסְ יבַיְאֹ לעַ ,ישִׁארֹ םוּריָ התָּעַוְ‬</w:t>
      </w:r>
    </w:p>
    <w:p>
      <w:pPr>
        <w:pStyle w:val="BodySans"/>
        <w:bidi w:val="0"/>
      </w:pPr>
      <w:r>
        <w:rPr>
          <w:b w:val="0"/>
          <w:i w:val="0"/>
        </w:rPr>
        <w:t>“Now” — וְעַתָּה — can signal logical conclusion (“in that case”) or an emergent present. The imperfect יָרוּם (“will be lifted”) can be read as imminent future or as a kind of “prophetic present”: “my head is (as good as) lifted up.” The idiom “to lift the head” — רוּם רֹאשׁ or נָשָׂא רֹאשׁ — elsewhere marks restoration to honor (Gen 40:13) or reckoning. Here, “my head will be lifted above my enemies around me” — עַל אֹיְבַי סְבִיבוֹתַי, pictures exaltation in the midst of encirclement. God does not necessarily remove the enemies; He raises the psalmist above them.</w:t>
      </w:r>
    </w:p>
    <w:p>
      <w:pPr>
        <w:pStyle w:val="BodySans"/>
        <w:bidi w:val="0"/>
      </w:pPr>
      <w:r>
        <w:rPr>
          <w:b w:val="0"/>
          <w:i w:val="0"/>
        </w:rPr>
        <w:t>The natural response is worship: “I will sacrifice in His tent sacrifices of shouting” — וְאֶזְבְּחָה בְּאׇהֳלוֹ זִבְחֵי תְרוּעָה. The cohortative אֶזְבְּחָה (“let me sacrifice / I will surely sacrifice”) expresses resolve. תְרוּעָה (</w:t>
      </w:r>
      <w:r>
        <w:rPr>
          <w:b w:val="0"/>
          <w:i/>
        </w:rPr>
        <w:t>teru‘ah</w:t>
      </w:r>
      <w:r>
        <w:rPr>
          <w:b w:val="0"/>
          <w:i w:val="0"/>
        </w:rPr>
        <w:t>) has a double meaning: the war‑cry and the shout of joy (or trumpet blast) in liturgy. Numbers 10:9 commands Israel to “sound a teru‘ah with the trumpets” in war; Leviticus 23:24 calls the first of the seventh month “a memorial of teru‘ah.” Rashi glosses זִבְחֵי תְרוּעָה as “sacrifices over which a song is recited.” The phrase may connote thanksgiving offerings accompanied by loud acclamation—a victory shout repurposed as temple praise.</w:t>
      </w:r>
    </w:p>
    <w:p>
      <w:pPr>
        <w:pStyle w:val="BodySans"/>
        <w:bidi w:val="0"/>
      </w:pPr>
      <w:r>
        <w:rPr>
          <w:b w:val="0"/>
          <w:i w:val="0"/>
        </w:rPr>
        <w:t>The verse ends with a hendiadys of music: “I will sing and make melody to the LORD” — אָשִׁירָה וַאֲזַמְּרָה לַה׳. שִׁיר (</w:t>
      </w:r>
      <w:r>
        <w:rPr>
          <w:b w:val="0"/>
          <w:i/>
        </w:rPr>
        <w:t>shir</w:t>
      </w:r>
      <w:r>
        <w:rPr>
          <w:b w:val="0"/>
          <w:i w:val="0"/>
        </w:rPr>
        <w:t>) is vocal song; זָמַר (</w:t>
      </w:r>
      <w:r>
        <w:rPr>
          <w:b w:val="0"/>
          <w:i/>
        </w:rPr>
        <w:t>zamar</w:t>
      </w:r>
      <w:r>
        <w:rPr>
          <w:b w:val="0"/>
          <w:i w:val="0"/>
        </w:rPr>
        <w:t>) often implies instrumental music. Together they depict full‑bodied, public celebration. The psalm has moved from threatened flesh‑devouring (v. 2) to the offering of flesh in covenant sacrifices; from enemy war‑cries to liturgical teru‘ah.</w:t>
      </w:r>
    </w:p>
    <w:p>
      <w:pPr>
        <w:pStyle w:val="BodySans"/>
        <w:bidi w:val="0"/>
      </w:pPr>
      <w:r>
        <w:rPr>
          <w:b w:val="0"/>
          <w:i w:val="0"/>
        </w:rPr>
        <w:t>The Septuagint notably renders “He lifted up my head” in the aorist (ὕψωσεν), as a completed act, turning the psalm into retrospective thanksgiving. The Hebrew keeps the event on the horizon, consistent with the final exhortation to “wait.” For now, the lifted head and the ringing temple are acts of confident imagination.</w:t>
      </w:r>
    </w:p>
    <w:p>
      <w:pPr>
        <w:pStyle w:val="Heading3"/>
      </w:pPr>
      <w:r>
        <w:t>Verse 7</w:t>
      </w:r>
    </w:p>
    <w:p>
      <w:pPr>
        <w:pStyle w:val="BodySans"/>
        <w:bidi w:val="0"/>
      </w:pPr>
      <w:r>
        <w:rPr>
          <w:b w:val="0"/>
          <w:i w:val="0"/>
        </w:rPr>
        <w:t>‭  ׃ינִנֵעֲוַ ינִנֵּחָוְ ;ארָקְאֶ ילִוֹק ה עמַשְׁ‬</w:t>
      </w:r>
    </w:p>
    <w:p>
      <w:pPr>
        <w:pStyle w:val="BodySans"/>
        <w:bidi w:val="0"/>
      </w:pPr>
      <w:r>
        <w:rPr>
          <w:b w:val="0"/>
          <w:i w:val="0"/>
        </w:rPr>
        <w:t>Here the psalm abruptly shifts to direct address and petition. The imperative “Hear, O LORD, my voice” — שְׁמַע ה׳ קוֹלִי, is formulaic in laments (cf. Ps 5:3; 64:2). קוֹלִי אֶקְרָא (“my voice—I call”) tightens the connection between sound and act. The psalmist is not asking God to overhear general thoughts but to respond to a specific, audible cry.</w:t>
      </w:r>
    </w:p>
    <w:p>
      <w:pPr>
        <w:pStyle w:val="BodySans"/>
        <w:bidi w:val="0"/>
      </w:pPr>
      <w:r>
        <w:rPr>
          <w:b w:val="0"/>
          <w:i w:val="0"/>
        </w:rPr>
        <w:t>The twin imperatives “be gracious to me and answer me” — וְחָנֵּנִי וַעֲנֵנִי, layer kinds of response. חָנַן (</w:t>
      </w:r>
      <w:r>
        <w:rPr>
          <w:b w:val="0"/>
          <w:i/>
        </w:rPr>
        <w:t>ḥanan</w:t>
      </w:r>
      <w:r>
        <w:rPr>
          <w:b w:val="0"/>
          <w:i w:val="0"/>
        </w:rPr>
        <w:t>) means to show favor or grace, a verb frequent in petitions (Ps 4:2; 9:14). עָנָה (</w:t>
      </w:r>
      <w:r>
        <w:rPr>
          <w:b w:val="0"/>
          <w:i/>
        </w:rPr>
        <w:t>‘anah</w:t>
      </w:r>
      <w:r>
        <w:rPr>
          <w:b w:val="0"/>
          <w:i w:val="0"/>
        </w:rPr>
        <w:t>) is “to answer,” often in legal contexts (to answer a charge) but here of divine reply. The pairing suggests, “Look on me kindly, and give me a concrete response.”</w:t>
      </w:r>
    </w:p>
    <w:p>
      <w:pPr>
        <w:pStyle w:val="BodySans"/>
        <w:bidi w:val="0"/>
      </w:pPr>
      <w:r>
        <w:rPr>
          <w:b w:val="0"/>
          <w:i w:val="0"/>
        </w:rPr>
        <w:t>This verse is precisely where form‑critical readers like Gunkel saw a seam: genre changes, pronouns switch from “He” to “You,” musical triumph gives way to supplication. Yet, as Sigmund Mowinckel and later literary critics observed, cultic prayer often moves through these phases. A worshiper could well begin with a credo of trust (vv. 1–6) before actually stating their plea (vv. 7–12). Psalm 102 shows the same structure: “O LORD, hear my prayer… do not hide Your face from me in the day of my distress” — ה׳ שִׁמְעָה תְפִלָּתִי… אַל־תַּסְתֵּר פָּנֶיךָ מִמֶּנִּי בְּיוֹם צַר־לִי (Ps 102:2–3).</w:t>
      </w:r>
    </w:p>
    <w:p>
      <w:pPr>
        <w:pStyle w:val="BodySans"/>
        <w:bidi w:val="0"/>
      </w:pPr>
      <w:r>
        <w:rPr>
          <w:b w:val="0"/>
          <w:i w:val="0"/>
        </w:rPr>
        <w:t>Liturgically, “Hear, O LORD, my voice when I call” (this verse together with v. 8) has become a staple of penitential services, precisely because it models how to pivot from confidence to vulnerable asking without abandoning the former. Within the psalm’s architecture, it marks the moment where life at the temple threshold becomes a dialogue: having declared who God is, the psalmist dares to ask that He act accordingly.</w:t>
      </w:r>
    </w:p>
    <w:p>
      <w:pPr>
        <w:pStyle w:val="Heading3"/>
      </w:pPr>
      <w:r>
        <w:t>Verse 8</w:t>
      </w:r>
    </w:p>
    <w:p>
      <w:pPr>
        <w:pStyle w:val="BodySans"/>
        <w:bidi w:val="0"/>
      </w:pPr>
      <w:r>
        <w:rPr>
          <w:b w:val="0"/>
          <w:i w:val="0"/>
        </w:rPr>
        <w:t>‭  ׃שׁקֵּבַאֲ ה ךָינֶפָּ־תאֶ ;ינָפָ וּשׁקְּבַּ ,יבִּלִ רמַאָ ךָלְ‬</w:t>
      </w:r>
    </w:p>
    <w:p>
      <w:pPr>
        <w:pStyle w:val="BodySans"/>
        <w:bidi w:val="0"/>
      </w:pPr>
      <w:r>
        <w:rPr>
          <w:b w:val="0"/>
          <w:i w:val="0"/>
        </w:rPr>
        <w:t xml:space="preserve">Few half‑verses in the Psalter pack as much syntactic and theological density. Literally, “To You said my heart, ‘Seek My face’; Your face, LORD, I will seek.” The difficulty is what לְךָ (“to You / for You”) modifies. Is the heart speaking </w:t>
      </w:r>
      <w:r>
        <w:rPr>
          <w:b w:val="0"/>
          <w:i/>
        </w:rPr>
        <w:t>to</w:t>
      </w:r>
      <w:r>
        <w:rPr>
          <w:b w:val="0"/>
          <w:i w:val="0"/>
        </w:rPr>
        <w:t xml:space="preserve"> God, or </w:t>
      </w:r>
      <w:r>
        <w:rPr>
          <w:b w:val="0"/>
          <w:i/>
        </w:rPr>
        <w:t>for</w:t>
      </w:r>
      <w:r>
        <w:rPr>
          <w:b w:val="0"/>
          <w:i w:val="0"/>
        </w:rPr>
        <w:t xml:space="preserve"> God?</w:t>
      </w:r>
    </w:p>
    <w:p>
      <w:pPr>
        <w:pStyle w:val="BodySans"/>
        <w:bidi w:val="0"/>
      </w:pPr>
      <w:r>
        <w:rPr>
          <w:b w:val="0"/>
          <w:i w:val="0"/>
        </w:rPr>
        <w:t>Rashi understands לְךָ as “for Your sake / on Your behalf”: “For Your sake my heart says, ‘Seek My face.’” The subject of “Seek My face” — בַּקְּשׁוּ פָנָי — is ambiguous but likely an implied plural (“you [all] seek My face”), with God as speaker. The heart thus relays an internalized divine injunction: in the quiet of prayer, the psalmist “hears” God say, “Seek My face,” and immediately pledges, “Your face, LORD, I will seek.”</w:t>
      </w:r>
    </w:p>
    <w:p>
      <w:pPr>
        <w:pStyle w:val="BodySans"/>
        <w:bidi w:val="0"/>
      </w:pPr>
      <w:r>
        <w:rPr>
          <w:b w:val="0"/>
          <w:i w:val="0"/>
        </w:rPr>
        <w:t>Radak imagines an internal dialogue. The heart, as the seat of conscience and desire, urges the self to obey the divine summons; the self responds. Either way, God’s command and the human answer are compressed into a single breath, almost in chiastic form:</w:t>
      </w:r>
    </w:p>
    <w:p>
      <w:pPr>
        <w:pStyle w:val="BodySans"/>
        <w:bidi w:val="0"/>
      </w:pPr>
      <w:r>
        <w:rPr>
          <w:b w:val="0"/>
          <w:i w:val="0"/>
        </w:rPr>
        <w:t xml:space="preserve">- A: לְךָ — “To/for You”  </w:t>
      </w:r>
      <w:r>
        <w:br/>
      </w:r>
      <w:r>
        <w:rPr>
          <w:b w:val="0"/>
          <w:i w:val="0"/>
        </w:rPr>
        <w:t xml:space="preserve">  - B: אָמַר לִבִּי — “my heart said”  </w:t>
      </w:r>
      <w:r>
        <w:br/>
      </w:r>
      <w:r>
        <w:rPr>
          <w:b w:val="0"/>
          <w:i w:val="0"/>
        </w:rPr>
        <w:t xml:space="preserve">    - C: בַּקְּשׁוּ פָנָי — “Seek My face”  </w:t>
      </w:r>
      <w:r>
        <w:br/>
      </w:r>
      <w:r>
        <w:rPr>
          <w:b w:val="0"/>
          <w:i w:val="0"/>
        </w:rPr>
        <w:t xml:space="preserve">  - B′: אֶת־פָּנֶיךָ ה׳ — “Your face, LORD…”  </w:t>
      </w:r>
      <w:r>
        <w:br/>
      </w:r>
      <w:r>
        <w:rPr>
          <w:b w:val="0"/>
          <w:i w:val="0"/>
        </w:rPr>
        <w:t>- A′: אֲבַקֵּשׁ — “…I will seek.”</w:t>
      </w:r>
    </w:p>
    <w:p>
      <w:pPr>
        <w:pStyle w:val="BodySans"/>
        <w:bidi w:val="0"/>
      </w:pPr>
      <w:r>
        <w:rPr>
          <w:b w:val="0"/>
          <w:i w:val="0"/>
        </w:rPr>
        <w:t>The repetition of “face” — פָּנִים — anchors the verse. As noted above, “seeking God’s face” has a technical background. Psalm 105:4 urges, “Seek His face continually” — בַּקְּשׁוּ פָנָיו תָּמִיד. Hosea 5:15 pictures God withdrawing “until they… seek My face” — וּבִקְשׁוּ פָנָי. In ancient court language, to “see the face” meant to have an audience; here it connotes an ongoing relational attentiveness. The psalmist’s faith is not generic theism but a commitment to keep showing up in God’s presence.</w:t>
      </w:r>
    </w:p>
    <w:p>
      <w:pPr>
        <w:pStyle w:val="BodySans"/>
        <w:bidi w:val="0"/>
      </w:pPr>
      <w:r>
        <w:rPr>
          <w:b w:val="0"/>
          <w:i w:val="0"/>
        </w:rPr>
        <w:t>The Septuagint smooths the syntax: “My heart said to You, ‘My face has sought You’; Your face, O LORD, I will seek.” In doing so it loses the commanding “Seek My face,” and thus the electric sense of God initiating the encounter. The Hebrew preserves a kind of internal call and response that Jewish liturgy later dramatizes in Elul: God calls, “Seek My face”; Israel answers, “Your face, LORD, I seek.”</w:t>
      </w:r>
    </w:p>
    <w:p>
      <w:pPr>
        <w:pStyle w:val="Heading3"/>
      </w:pPr>
      <w:r>
        <w:t>Verse 9</w:t>
      </w:r>
    </w:p>
    <w:p>
      <w:pPr>
        <w:pStyle w:val="BodySans"/>
        <w:bidi w:val="0"/>
      </w:pPr>
      <w:r>
        <w:rPr>
          <w:b w:val="0"/>
          <w:i w:val="0"/>
        </w:rPr>
        <w:t>‭  ׃יעִשְׁיִ יקֵלֹאֱ ,ינִבֵזְעַתַּ־לאַוְ ינִשֵׁטְּתִּ־לאַ ;תָייִהָ יתִרָזְעֶ ;ךָדֶּבְעַ ףאַבְּ טתַּ־לאַ ;ינִּמֶּמִ ךָינֶפָּ רתֵּסְתַּ־לאַ‬</w:t>
      </w:r>
    </w:p>
    <w:p>
      <w:pPr>
        <w:pStyle w:val="BodySans"/>
        <w:bidi w:val="0"/>
      </w:pPr>
      <w:r>
        <w:rPr>
          <w:b w:val="0"/>
          <w:i w:val="0"/>
        </w:rPr>
        <w:t>The tone darkens. Four prohibitions introduced by אַל (“do not”) beat like a drum: “Do not hide Your face,” “do not turn aside,” “do not forsake,” “do not abandon.” The first, “Do not hide Your face from me” — אַל־תַּסְתֵּר פָּנֶיךָ מִמֶּנִּי, echoes Psalm 13:2, “How long will You hide Your face from me?” — עַד־אָנָה תַסְתִּיר אֶת־פָּנֶיךָ מִמֶּנִּי. In both, the hiding of the divine face signifies relational rupture. Deuteronomy 31:17 renders God’s decision to “hide My face from them” — הִסְתַּרְתִּי פָנַי מֵהֶם as the deepest covenant curse.</w:t>
      </w:r>
    </w:p>
    <w:p>
      <w:pPr>
        <w:pStyle w:val="BodySans"/>
        <w:bidi w:val="0"/>
      </w:pPr>
      <w:r>
        <w:rPr>
          <w:b w:val="0"/>
          <w:i w:val="0"/>
        </w:rPr>
        <w:t>“Do not thrust aside Your servant in anger” — אַל־תַּט בְּאַף עַבְדֶּךָ, continues the relational metaphor. נָטָה (</w:t>
      </w:r>
      <w:r>
        <w:rPr>
          <w:b w:val="0"/>
          <w:i/>
        </w:rPr>
        <w:t>natah</w:t>
      </w:r>
      <w:r>
        <w:rPr>
          <w:b w:val="0"/>
          <w:i w:val="0"/>
        </w:rPr>
        <w:t>) is “to stretch out, incline, turn aside.” In Psalms it can be positive (“He inclined His ear to me,” Ps 40:2) or negative (“He turns aside”) depending on prepositions. Here, with “in anger” — בְּאַף (literally, “nose”), it pictures God pushing the servant away. The self‑designation עַבְדֶּךָ (“Your servant”) is covenant vocabulary: a vassal appealing to his suzerain.</w:t>
      </w:r>
    </w:p>
    <w:p>
      <w:pPr>
        <w:pStyle w:val="BodySans"/>
        <w:bidi w:val="0"/>
      </w:pPr>
      <w:r>
        <w:rPr>
          <w:b w:val="0"/>
          <w:i w:val="0"/>
        </w:rPr>
        <w:t>The next colon, “You have been my help” — עֶזְרָתִי הָיִיתָ, momentarily breaks the chain of negatives with a perfect verb. Past experience of help is marshaled as argument against abandonment now. The final double plea, “do not forsake me and do not abandon me” — אַל־תִּטְּשֵׁנִי וְאַל־תַּעַזְבֵנִי, stacks two near‑synonyms. נָטַשׁ (“to forsake”) and עָזַב (“to leave, abandon”) frequently appear in covenant contexts, both of Israel forsaking God and God refusing to forsake Israel.</w:t>
      </w:r>
    </w:p>
    <w:p>
      <w:pPr>
        <w:pStyle w:val="BodySans"/>
        <w:bidi w:val="0"/>
      </w:pPr>
      <w:r>
        <w:rPr>
          <w:b w:val="0"/>
          <w:i w:val="0"/>
        </w:rPr>
        <w:t>The verse closes by returning to the epithet of verse 1: “O God of my salvation” — אֱלֹקֵי יִשְׁעִי. Between “YHWH is my salvation” (ה׳… יִשְׁעִי) and “God of my salvation,” the psalm stages a struggle: the very One whose nature is to save is now begged not to withdraw. In Psalm 102:3, a near‑identical line—“Do not hide Your face from me in the day of my distress”—underscores that this is a standard vocabulary for acute spiritual crisis.</w:t>
      </w:r>
    </w:p>
    <w:p>
      <w:pPr>
        <w:pStyle w:val="Heading3"/>
      </w:pPr>
      <w:r>
        <w:t>Verse 10</w:t>
      </w:r>
    </w:p>
    <w:p>
      <w:pPr>
        <w:pStyle w:val="BodySans"/>
        <w:bidi w:val="0"/>
      </w:pPr>
      <w:r>
        <w:rPr>
          <w:b w:val="0"/>
          <w:i w:val="0"/>
        </w:rPr>
        <w:t>‭  ׃ינִפֵסְאַיַ הוַ ;ינִוּבזָעֲ ימִּאִוְ יבִאָ־יכִּ‬</w:t>
      </w:r>
    </w:p>
    <w:p>
      <w:pPr>
        <w:pStyle w:val="BodySans"/>
        <w:bidi w:val="0"/>
      </w:pPr>
      <w:r>
        <w:rPr>
          <w:b w:val="0"/>
          <w:i w:val="0"/>
        </w:rPr>
        <w:t xml:space="preserve">This brief couplet is one of the psalm’s emotional high points. “For my father and my mother have forsaken me, but the LORD will gather me in.” The causal כִּי (“for”) links it to the prior plea: I ask You not to forsake me, </w:t>
      </w:r>
      <w:r>
        <w:rPr>
          <w:b w:val="0"/>
          <w:i/>
        </w:rPr>
        <w:t>because</w:t>
      </w:r>
      <w:r>
        <w:rPr>
          <w:b w:val="0"/>
          <w:i w:val="0"/>
        </w:rPr>
        <w:t xml:space="preserve"> even the strongest natural ties can fail, but You do not.</w:t>
      </w:r>
    </w:p>
    <w:p>
      <w:pPr>
        <w:pStyle w:val="BodySans"/>
        <w:bidi w:val="0"/>
      </w:pPr>
      <w:r>
        <w:rPr>
          <w:b w:val="0"/>
          <w:i w:val="0"/>
        </w:rPr>
        <w:t>עֲזָבוּנִי (“have forsaken me”) uses the same root as אַל־תַּעַזְבֵנִי (“do not abandon me”) in the previous verse; human forsaking is a foil to divine faithfulness. Whether the verb describes literal orphaning, social abandonment, or a hyperbolic description of loneliness is debated. Given the psalm’s asylum coloration and the social vulnerability of orphans in biblical law, many modern readers hear a real or metaphorical orphan.</w:t>
      </w:r>
    </w:p>
    <w:p>
      <w:pPr>
        <w:pStyle w:val="BodySans"/>
        <w:bidi w:val="0"/>
      </w:pPr>
      <w:r>
        <w:rPr>
          <w:b w:val="0"/>
          <w:i w:val="0"/>
        </w:rPr>
        <w:t>Rashi’s midrashic reading pushes the thought back to conception: parents, absorbed in their own pleasure, “turn away,” but God watches the fertilized drop and shapes the embryo. Ibn Ezra, more soberly, notes that parents are simply mortal: they were the instruments of his earthly life but have themselves “forsaken” him via death.</w:t>
      </w:r>
    </w:p>
    <w:p>
      <w:pPr>
        <w:pStyle w:val="BodySans"/>
        <w:bidi w:val="0"/>
      </w:pPr>
      <w:r>
        <w:rPr>
          <w:b w:val="0"/>
          <w:i w:val="0"/>
        </w:rPr>
        <w:t>וַה׳ יַאַסְפֵנִי (“but the LORD will gather me”) uses אָסַף in a non‑funerary sense. Elsewhere “to be gathered” can mean to die (“gathered to his people”), but the common underlying picture is being brought into a family group. Zechariah 10:8 promises God will whistle for His scattered people and “gather them” — וַאֲקַבְּצֵם, because He has redeemed them. Here the gathering is personal: when kin networks fail, God Himself assumes parental responsibility.</w:t>
      </w:r>
    </w:p>
    <w:p>
      <w:pPr>
        <w:pStyle w:val="BodySans"/>
        <w:bidi w:val="0"/>
      </w:pPr>
      <w:r>
        <w:rPr>
          <w:b w:val="0"/>
          <w:i w:val="0"/>
        </w:rPr>
        <w:t>Rabbi Jonathan Sacks often quoted this line to dramatize that, in his words, “God believes in us even if we don’t believe in ourselves.” That nuance emerges when we remember the voice speaking: this is not abstract doctrine but the testimony of someone who has stood alone at the temple threshold and discovered that his name is nonetheless on the royal guest list.</w:t>
      </w:r>
    </w:p>
    <w:p>
      <w:pPr>
        <w:pStyle w:val="Heading3"/>
      </w:pPr>
      <w:r>
        <w:t>Verse 11</w:t>
      </w:r>
    </w:p>
    <w:p>
      <w:pPr>
        <w:pStyle w:val="BodySans"/>
        <w:bidi w:val="0"/>
      </w:pPr>
      <w:r>
        <w:rPr>
          <w:b w:val="0"/>
          <w:i w:val="0"/>
        </w:rPr>
        <w:t>‭  ׃ירָרְוֹשׁ ןעַמַלְ ,רוֹשׁימִ חרַאֹבְּ ינִחֵנְוּ ;ךָכֶּרְדַּ ה ינִרֵוֹה‬</w:t>
      </w:r>
    </w:p>
    <w:p>
      <w:pPr>
        <w:pStyle w:val="BodySans"/>
        <w:bidi w:val="0"/>
      </w:pPr>
      <w:r>
        <w:rPr>
          <w:b w:val="0"/>
          <w:i w:val="0"/>
        </w:rPr>
        <w:t>The petition now turns from protection to guidance. “Teach me, LORD, Your way” — הוֹרֵנִי ה׳ דַּרְכֶּךָ. The Hiphil of יָרָה (“to instruct”) is the verbal root behind תּוֹרָה (</w:t>
      </w:r>
      <w:r>
        <w:rPr>
          <w:b w:val="0"/>
          <w:i/>
        </w:rPr>
        <w:t>torah</w:t>
      </w:r>
      <w:r>
        <w:rPr>
          <w:b w:val="0"/>
          <w:i w:val="0"/>
        </w:rPr>
        <w:t>): divine instruction. “Your way” — דַּרְכֶּךָ — here is not a route on a map but a pattern of life consonant with God’s character, as in “to keep the way of the LORD by doing righteousness and justice” — לִשְׁמֹר דֶּרֶךְ ה׳ לַעֲשׂוֹת צְדָקָה וּמִשְׁפָּט (Gen 18:19).</w:t>
      </w:r>
    </w:p>
    <w:p>
      <w:pPr>
        <w:pStyle w:val="BodySans"/>
        <w:bidi w:val="0"/>
      </w:pPr>
      <w:r>
        <w:rPr>
          <w:b w:val="0"/>
          <w:i w:val="0"/>
        </w:rPr>
        <w:t>“Lead me in a level path” — וּנְחֵנִי בְּאֹרַח מִישׁוֹר, adds a second metaphor. אֹרַח (</w:t>
      </w:r>
      <w:r>
        <w:rPr>
          <w:b w:val="0"/>
          <w:i/>
        </w:rPr>
        <w:t>’orach</w:t>
      </w:r>
      <w:r>
        <w:rPr>
          <w:b w:val="0"/>
          <w:i w:val="0"/>
        </w:rPr>
        <w:t>) is another word for “path,” and מִישׁוֹר (</w:t>
      </w:r>
      <w:r>
        <w:rPr>
          <w:b w:val="0"/>
          <w:i/>
        </w:rPr>
        <w:t>mishor</w:t>
      </w:r>
      <w:r>
        <w:rPr>
          <w:b w:val="0"/>
          <w:i w:val="0"/>
        </w:rPr>
        <w:t>) means “level, even,” both literally (a plain) and morally (“uprightness”). The request is not just for information (“show me the map”) but for providential guidance through a terrain strewn with traps.</w:t>
      </w:r>
    </w:p>
    <w:p>
      <w:pPr>
        <w:pStyle w:val="BodySans"/>
        <w:bidi w:val="0"/>
      </w:pPr>
      <w:r>
        <w:rPr>
          <w:b w:val="0"/>
          <w:i w:val="0"/>
        </w:rPr>
        <w:t>The reason clause, “because of my watchers / those who watch me” — לְמַעַן שׁוֹרְרָי, introduces a rare noun. From the root שׁוּר (“to look, watch”), שׁוֹרֵר is, as Klein notes, an “insidious watcher, foe.” Radak glosses them as enemies “who eye me with an evil eye, seeking to accuse me if I stumble.” The forensic setting returns: hostile observers ready to pounce on any misstep.</w:t>
      </w:r>
    </w:p>
    <w:p>
      <w:pPr>
        <w:pStyle w:val="BodySans"/>
        <w:bidi w:val="0"/>
      </w:pPr>
      <w:r>
        <w:rPr>
          <w:b w:val="0"/>
          <w:i w:val="0"/>
        </w:rPr>
        <w:t>Thus the ethics of the “way” and the social danger intertwine. In a context where “false witnesses” have arisen (v. 12), any genuine fault would not only be a sin but also ammunition. The psalmist is asking God to guide him so that his conduct remains unimpeachable even under surveillance. The wisdom strain of the psalm comes to the fore: life with God is not only about refuge but about walking a straight path in a crooked world.</w:t>
      </w:r>
    </w:p>
    <w:p>
      <w:pPr>
        <w:pStyle w:val="Heading3"/>
      </w:pPr>
      <w:r>
        <w:t>Verse 12</w:t>
      </w:r>
    </w:p>
    <w:p>
      <w:pPr>
        <w:pStyle w:val="BodySans"/>
        <w:bidi w:val="0"/>
      </w:pPr>
      <w:r>
        <w:rPr>
          <w:b w:val="0"/>
          <w:i w:val="0"/>
        </w:rPr>
        <w:t>‭  ׃סמָחָ חַפֵיוִ ,רקֶשֶׁ־ידֵעֵ יבִ וּמקָ יכִּ ;ירָצָ שׁפֶנֶבְּ ינִנֵתְּתִּ־לאַ‬</w:t>
      </w:r>
    </w:p>
    <w:p>
      <w:pPr>
        <w:pStyle w:val="BodySans"/>
        <w:bidi w:val="0"/>
      </w:pPr>
      <w:r>
        <w:rPr>
          <w:b w:val="0"/>
          <w:i w:val="0"/>
        </w:rPr>
        <w:t>The juridical crisis is now explicit. “Do not give me over to the nefesh of my adversaries” — אַל־תִּתְּנֵנִי בְּנֶפֶשׁ צָרָי. The Hiphil of נָתַן (“to give”) here means “hand over, deliver into the power of.” נֶפֶשׁ (</w:t>
      </w:r>
      <w:r>
        <w:rPr>
          <w:b w:val="0"/>
          <w:i/>
        </w:rPr>
        <w:t>nefesh</w:t>
      </w:r>
      <w:r>
        <w:rPr>
          <w:b w:val="0"/>
          <w:i w:val="0"/>
        </w:rPr>
        <w:t>) is notoriously multivalent: “life, soul, self, throat, appetite.” Rashi and many moderns take it as “desire”: do not hand me over to the will of my foes. Given the earlier “devour my flesh” imagery, there is a darker, more concrete possibility: “do not hand me over to the throat of my foes,” into their jaws.</w:t>
      </w:r>
    </w:p>
    <w:p>
      <w:pPr>
        <w:pStyle w:val="BodySans"/>
        <w:bidi w:val="0"/>
      </w:pPr>
      <w:r>
        <w:rPr>
          <w:b w:val="0"/>
          <w:i w:val="0"/>
        </w:rPr>
        <w:t>The reason is “for false witnesses have risen against me” — כִּי קָמוּ בִי עֵדֵי־שֶׁקֶר. עֵד (</w:t>
      </w:r>
      <w:r>
        <w:rPr>
          <w:b w:val="0"/>
          <w:i/>
        </w:rPr>
        <w:t>‘ed</w:t>
      </w:r>
      <w:r>
        <w:rPr>
          <w:b w:val="0"/>
          <w:i w:val="0"/>
        </w:rPr>
        <w:t>) is a legal witness; “false witness” recalls the ninth commandment (“You shall not bear false witness” — לֹא תַעֲנֶה בְרֵעֲךָ עֵד שֶׁקֶר, Exod 20:16) and its elaboration in Deuteronomy 19:18–19, where a false witness is himself to suffer the penalty he sought for his victim. The verb קָמוּ בִי (“have risen against me”) is the same “arose” used earlier of enemies; legal accusation is a form of attack.</w:t>
      </w:r>
    </w:p>
    <w:p>
      <w:pPr>
        <w:pStyle w:val="BodySans"/>
        <w:bidi w:val="0"/>
      </w:pPr>
      <w:r>
        <w:rPr>
          <w:b w:val="0"/>
          <w:i w:val="0"/>
        </w:rPr>
        <w:t>The final phrase, וִיפֵחַ חָמָס, is difficult. Taken from יָפֵחַ (“breathing out”), it yields “and one who breathes out violence,” akin to Proverbs 6:19, “a false witness who breathes out lies” — יָפִיחַ כְּזָבִים עֵד שֶׁקֶר. Some lexicographers, noting Ugaritic and Aramaic cognates, suggest יָפֵחַ can mean “witness,” giving the parallel “false witnesses… and a witness of violence,” i.e., those testifying to trumped‑up violent charges. In either case, the picture is of courtroom perjury backed by malice.</w:t>
      </w:r>
    </w:p>
    <w:p>
      <w:pPr>
        <w:pStyle w:val="BodySans"/>
        <w:bidi w:val="0"/>
      </w:pPr>
      <w:r>
        <w:rPr>
          <w:b w:val="0"/>
          <w:i w:val="0"/>
        </w:rPr>
        <w:t>Put together, verses 11–12 show how temple theology, wisdom imagery, and legal reality converge: the psalmist is a defendant seeking asylum at the divine court, asking both to be guided in a straight way and not to be delivered into the maw of a corrupt tribunal. His “enemies” are not only soldiers but litigants.</w:t>
      </w:r>
    </w:p>
    <w:p>
      <w:pPr>
        <w:pStyle w:val="Heading3"/>
      </w:pPr>
      <w:r>
        <w:t>Verse 13</w:t>
      </w:r>
    </w:p>
    <w:p>
      <w:pPr>
        <w:pStyle w:val="BodySans"/>
        <w:bidi w:val="0"/>
      </w:pPr>
      <w:r>
        <w:rPr>
          <w:b w:val="0"/>
          <w:i w:val="0"/>
        </w:rPr>
        <w:t>‭  ׃םייִּחַ ץרֶאֶבְּ ,ה־בוּטבְּ תוֹארְלִ יתִּנְמַאֱהֶ אלֵוּל‬</w:t>
      </w:r>
    </w:p>
    <w:p>
      <w:pPr>
        <w:pStyle w:val="BodySans"/>
        <w:bidi w:val="0"/>
      </w:pPr>
      <w:r>
        <w:rPr>
          <w:b w:val="0"/>
          <w:i w:val="0"/>
        </w:rPr>
        <w:t>This verse is famously marked in the Masoretic Text with dots over every letter of לוּלֵא (</w:t>
      </w:r>
      <w:r>
        <w:rPr>
          <w:b w:val="0"/>
          <w:i/>
        </w:rPr>
        <w:t>lulei</w:t>
      </w:r>
      <w:r>
        <w:rPr>
          <w:b w:val="0"/>
          <w:i w:val="0"/>
        </w:rPr>
        <w:t>, “unless / had I not”), signaling scribal doubt or emphasis. Syntactically, it creates a condition with no expressed result: “Had I not believed to see the goodness of the LORD in the land of the living…” and then nothing. Rashi fills in: “I would already have been lost,” and the Talmud (Berakhot 4a) reads the dots as David’s own hesitation: he trusts in God’s reward but is not sure he personally will merit it.</w:t>
      </w:r>
    </w:p>
    <w:p>
      <w:pPr>
        <w:pStyle w:val="BodySans"/>
        <w:bidi w:val="0"/>
      </w:pPr>
      <w:r>
        <w:rPr>
          <w:b w:val="0"/>
          <w:i w:val="0"/>
        </w:rPr>
        <w:t xml:space="preserve">From a rhetorical point of view, this is </w:t>
      </w:r>
      <w:r>
        <w:rPr>
          <w:b w:val="0"/>
          <w:i/>
        </w:rPr>
        <w:t>aposiopesis</w:t>
      </w:r>
      <w:r>
        <w:rPr>
          <w:b w:val="0"/>
          <w:i w:val="0"/>
        </w:rPr>
        <w:t>, an intentional breaking‑off to let the unsaid hang heavier than words. After enumerating enemies and false witnesses, the psalmist confesses that belief in future goodness is all that stands between him and the abyss. Naming the alternative—despair, bitterness, alienation—would give it too much solidity.</w:t>
      </w:r>
    </w:p>
    <w:p>
      <w:pPr>
        <w:pStyle w:val="BodySans"/>
        <w:bidi w:val="0"/>
      </w:pPr>
      <w:r>
        <w:rPr>
          <w:b w:val="0"/>
          <w:i w:val="0"/>
        </w:rPr>
        <w:t>“Goodness of the LORD” — בְּטוּב־ה׳ — recalls Psalm 31:20, “How great is Your goodness that You have stored up for those who fear You” — מָה רַב טוּבְךָ אֲשֶׁר צָפַנְתָּ. “Land of the living” — אֶרֶץ חַיִּים — appears in Psalms 52:7; 116:9; Isaiah 38:11; and Ezekiel 26–32, invariably as this‑worldly life over against Sheol. Isaiah laments he will not see God “in the land of the living” ‭(םייִּחַהַ ץרֶאֶבְּ)‬ when he dies; Ezekiel’s taunts warn nations that once they descend to the pit, they will no longer terrify “in the land of the living.” For our psalmist, to see God’s goodness “in the land of the living” means to outlast this crisis and stand in the temple again.</w:t>
      </w:r>
    </w:p>
    <w:p>
      <w:pPr>
        <w:pStyle w:val="BodySans"/>
        <w:bidi w:val="0"/>
      </w:pPr>
      <w:r>
        <w:rPr>
          <w:b w:val="0"/>
          <w:i w:val="0"/>
        </w:rPr>
        <w:t>The Septuagint sidesteps the conditional, reading simply, “I believe that I shall see…” The Hebrew’s dotted לוּלֵא keeps in view that faith is not the default setting but a hard‑won stance. Between hiding and face, accusation and asylum, there is this stubborn confidence that goodness will yet show itself in the realm where life is lived.</w:t>
      </w:r>
    </w:p>
    <w:p>
      <w:pPr>
        <w:pStyle w:val="Heading3"/>
      </w:pPr>
      <w:r>
        <w:t>Verse 14</w:t>
      </w:r>
    </w:p>
    <w:p>
      <w:pPr>
        <w:pStyle w:val="BodySans"/>
        <w:bidi w:val="0"/>
      </w:pPr>
      <w:r>
        <w:rPr>
          <w:b w:val="0"/>
          <w:i w:val="0"/>
        </w:rPr>
        <w:t>‭  ׃ה־לאֶ הוֵּקַוְ ;ךָבֶּלִ ץמֵאֲיַוְ קזַחֲ ;ה־לאֶ הוֵּקַ‬</w:t>
      </w:r>
    </w:p>
    <w:p>
      <w:pPr>
        <w:pStyle w:val="BodySans"/>
        <w:bidi w:val="0"/>
      </w:pPr>
      <w:r>
        <w:rPr>
          <w:b w:val="0"/>
          <w:i w:val="0"/>
        </w:rPr>
        <w:t>The psalm ends not with God speaking, but with either the psalmist or a liturgical voice exhorting: “Wait for the LORD; be strong and let your heart take courage; and wait for the LORD.” The second‑person singular suggests self‑address or address to a representative worshiper. Midrash and liturgy broaden it to Israel as a whole.</w:t>
      </w:r>
    </w:p>
    <w:p>
      <w:pPr>
        <w:pStyle w:val="BodySans"/>
        <w:bidi w:val="0"/>
      </w:pPr>
      <w:r>
        <w:rPr>
          <w:b w:val="0"/>
          <w:i w:val="0"/>
        </w:rPr>
        <w:t>קַוֵּה (</w:t>
      </w:r>
      <w:r>
        <w:rPr>
          <w:b w:val="0"/>
          <w:i/>
        </w:rPr>
        <w:t>qaveh</w:t>
      </w:r>
      <w:r>
        <w:rPr>
          <w:b w:val="0"/>
          <w:i w:val="0"/>
        </w:rPr>
        <w:t>, “wait / hope”) comes from a root meaning “to twist, stretch,” the way strands are twisted into a cord. Thus waiting here implies tension under strain. It is the right verb for someone suspended between verse 1’s assurance and verse 9’s anxiety. In Proverbs 20:22, the same root serves: “Do not say, ‘I will repay evil’; wait for the LORD, and He will save you” — קַוֵּה לַה׳ וְיֹשַׁע לָךְ.</w:t>
      </w:r>
    </w:p>
    <w:p>
      <w:pPr>
        <w:pStyle w:val="BodySans"/>
        <w:bidi w:val="0"/>
      </w:pPr>
      <w:r>
        <w:rPr>
          <w:b w:val="0"/>
          <w:i w:val="0"/>
        </w:rPr>
        <w:t>חֲזַק וְיַאֲמֵץ לִבֶּךָ (“be strong and let your heart take courage”) unmistakably echoes God’s charge to Joshua: “Be strong and resolute; do not be terrified or dismayed, for the LORD your God is with you” — חֲזַק וֶאֱמָץ… כִּי עִמְּךָ ה׳ אֱלֹקֶיךָ (Josh 1:9). There, as here, the command comes at a threshold: Joshua facing the Jordan; the psalmist facing hostile courts and the possibility of divine absence.</w:t>
      </w:r>
    </w:p>
    <w:p>
      <w:pPr>
        <w:pStyle w:val="BodySans"/>
        <w:bidi w:val="0"/>
      </w:pPr>
      <w:r>
        <w:rPr>
          <w:b w:val="0"/>
          <w:i w:val="0"/>
        </w:rPr>
        <w:t>The repetition of קַוֵּה (“wait”) at the beginning and end of the verse forms a mini‑inclusio. Rabbi Ḥama in the Talmud hears in it an instruction for persistence in prayer: if not answered once, “wait” again. Theologically, it reframes the entire psalm. The movement from confident creed (vv. 1–3) to temple desire (v. 4) to sheltering assurances (vv. 5–6) to anguished plea (vv. 7–12) to flickering hope (v. 13) is not a mistake; it is the path of one who waits well.</w:t>
      </w:r>
    </w:p>
    <w:p>
      <w:pPr>
        <w:pStyle w:val="BodySans"/>
        <w:bidi w:val="0"/>
      </w:pPr>
      <w:r>
        <w:rPr>
          <w:b w:val="0"/>
          <w:i w:val="0"/>
        </w:rPr>
        <w:t xml:space="preserve">Psalm 27 thus closes by turning its inner drama outward. What began as “The LORD is </w:t>
      </w:r>
      <w:r>
        <w:rPr>
          <w:b w:val="0"/>
          <w:i/>
        </w:rPr>
        <w:t>my</w:t>
      </w:r>
      <w:r>
        <w:rPr>
          <w:b w:val="0"/>
          <w:i w:val="0"/>
        </w:rPr>
        <w:t xml:space="preserve"> light” ends as counsel: here is how to live when enemies slander, when God seems hidden, when you are not sure you can trust your own worthiness—hold the line taut, strengthen your heart, and refuse to leave the doorway of God’s presence.</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14</w:t>
      </w:r>
    </w:p>
    <w:p>
      <w:pPr>
        <w:pStyle w:val="SummaryText"/>
      </w:pPr>
      <w:r>
        <w:rPr>
          <w:b/>
        </w:rPr>
        <w:t>LXX (Septuagint) Verses Reviewed</w:t>
      </w:r>
      <w:r>
        <w:t>: 14</w:t>
      </w:r>
    </w:p>
    <w:p>
      <w:pPr>
        <w:pStyle w:val="SummaryText"/>
      </w:pPr>
      <w:r>
        <w:rPr>
          <w:b/>
        </w:rPr>
        <w:t>Phonetic Transcriptions Generated</w:t>
      </w:r>
      <w:r>
        <w:t>: 14</w:t>
      </w:r>
    </w:p>
    <w:p>
      <w:pPr>
        <w:pStyle w:val="SummaryText"/>
      </w:pPr>
      <w:r>
        <w:rPr>
          <w:b/>
        </w:rPr>
        <w:t>Ugaritic Parallels Reviewed</w:t>
      </w:r>
      <w:r>
        <w:t>: 2</w:t>
      </w:r>
    </w:p>
    <w:p>
      <w:pPr>
        <w:pStyle w:val="SummaryText"/>
      </w:pPr>
      <w:r>
        <w:rPr>
          <w:b/>
        </w:rPr>
        <w:t>Lexicon Entries (BDB/Klein) Reviewed</w:t>
      </w:r>
      <w:r>
        <w:t>: 39</w:t>
      </w:r>
    </w:p>
    <w:p>
      <w:pPr>
        <w:pStyle w:val="SummaryText"/>
      </w:pPr>
      <w:r>
        <w:rPr>
          <w:b/>
        </w:rPr>
        <w:t>Traditional Commentaries Reviewed</w:t>
      </w:r>
      <w:r>
        <w:t>: 82 (Ibn Ezra (15); Malbim (10); Meiri (14); Metzudat David (15); Radak (15); Rashi (11); Torah Temimah (2))</w:t>
      </w:r>
    </w:p>
    <w:p>
      <w:pPr>
        <w:pStyle w:val="SummaryText"/>
      </w:pPr>
      <w:r>
        <w:rPr>
          <w:b/>
        </w:rPr>
        <w:t>Concordance Entries Reviewed</w:t>
      </w:r>
      <w:r>
        <w:t>: 59</w:t>
      </w:r>
    </w:p>
    <w:p>
      <w:pPr>
        <w:pStyle w:val="SummaryText"/>
      </w:pPr>
      <w:r>
        <w:rPr>
          <w:b/>
        </w:rPr>
        <w:t>Figurative Concordance Matches Reviewed</w:t>
      </w:r>
      <w:r>
        <w:t>: 691 (army (50); devour (50); face (50); fortress (50); gather (2); gaze (50); head (50); house (50); light (50); lion (30); rock (50); shelter (50); shield (30); stumble (50); way (50); wing (29))</w:t>
      </w:r>
    </w:p>
    <w:p>
      <w:pPr>
        <w:pStyle w:val="SummaryText"/>
      </w:pPr>
      <w:r>
        <w:rPr>
          <w:b/>
        </w:rPr>
        <w:t>Rabbi Jonathan Sacks References Reviewed</w:t>
      </w:r>
      <w:r>
        <w:t>: 9</w:t>
      </w:r>
    </w:p>
    <w:p>
      <w:pPr>
        <w:pStyle w:val="SummaryText"/>
      </w:pPr>
      <w:r>
        <w:rPr>
          <w:b/>
        </w:rPr>
        <w:t>Similar Psalms Analyzed</w:t>
      </w:r>
      <w:r>
        <w:t>: 5 (Psalms 102, 78, 55, 13, 53)</w:t>
      </w:r>
    </w:p>
    <w:p>
      <w:pPr>
        <w:pStyle w:val="SummaryText"/>
      </w:pPr>
      <w:r>
        <w:rPr>
          <w:b/>
        </w:rPr>
        <w:t>Deep Web Research</w:t>
      </w:r>
      <w:r>
        <w:t>: Yes</w:t>
      </w:r>
    </w:p>
    <w:p>
      <w:pPr>
        <w:pStyle w:val="SummaryText"/>
      </w:pPr>
      <w:r>
        <w:rPr>
          <w:b/>
        </w:rPr>
        <w:t>Sections Trimmed for Context</w:t>
      </w:r>
      <w:r>
        <w:t>: None</w:t>
      </w:r>
    </w:p>
    <w:p>
      <w:pPr>
        <w:pStyle w:val="SummaryText"/>
      </w:pPr>
      <w:r>
        <w:rPr>
          <w:b/>
        </w:rPr>
        <w:t>Master Editor Prompt Size</w:t>
      </w:r>
      <w:r>
        <w:t>: 344,077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Liturgical Librarian</w:t>
      </w:r>
      <w:r>
        <w:t>: gemini-2.5-pro</w:t>
      </w:r>
    </w:p>
    <w:p>
      <w:pPr>
        <w:pStyle w:val="SummaryText"/>
      </w:pPr>
      <w:r>
        <w:rPr>
          <w:b/>
        </w:rPr>
        <w:t>Figurative Curator</w:t>
      </w:r>
      <w:r>
        <w:t>: gemini-3-pro-preview</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January 10,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