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Minimal Test: Problematic Paragraph</w:t>
      </w:r>
    </w:p>
    <w:p>
      <w:pPr>
        <w:pStyle w:val="Heading2"/>
      </w:pPr>
      <w:r>
        <w:t>Method 1: Single Paragraph via _add_paragraph_with_soft_breaks</w:t>
      </w:r>
    </w:p>
    <w:p>
      <w:pPr>
        <w:bidi w:val="0"/>
      </w:pPr>
      <w:r>
        <w:t>In the Psalter, bones are often the deepest register of a person's condition: "All my bones shall say, 'YHWH, who is like you?'" (Ps 35:10); "There is no wholeness in my bones because of my sin" (Ps 38:4); "I can count all my bones" (Ps 22:18). In Psalm 6, the fear runs to the frame. The next line intensifies the reach: "And my נֶפֶשׁ is deeply terrified" ‭(דאֹמְ הלָהֲבְנִ ישִׁפְנַוְ)‬. נֶפֶשׁ is not a detachable soul; it is the living self, breath and appetite. Terror has progressed from skeleton to self.</w:t>
      </w:r>
    </w:p>
    <w:p/>
    <w:p>
      <w:pPr>
        <w:pStyle w:val="Heading2"/>
      </w:pPr>
      <w:r>
        <w:t>Method 2: Via _add_paragraph_with_markdown Simulation</w:t>
      </w:r>
    </w:p>
    <w:p>
      <w:pPr>
        <w:bidi w:val="0"/>
      </w:pPr>
      <w:r>
        <w:t>In the Psalter, bones are often the deepest register of a person's condition: "All my bones shall say, 'YHWH, who is like you?'" (Ps 35:10); "There is no wholeness in my bones because of my sin" (Ps 38:4); "I can count all my bones" (Ps 22:18). In Psalm 6, the fear runs to the frame. The next line intensifies the reach: "And my נֶפֶשׁ is deeply terrified" ‭(דאֹמְ הלָהֲבְנִ ישִׁפְנַוְ)‬. נֶפֶשׁ is not a detachable soul; it is the living self, breath and appetite. Terror has progressed from skeleton to 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