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Bidi Test: Solution 1: Hebrew Ornate Parentheses (U+FD3E/FD3F)</w:t>
      </w:r>
    </w:p>
    <w:p>
      <w:r>
        <w:rPr>
          <w:b/>
        </w:rPr>
        <w:t xml:space="preserve">Expected: </w:t>
      </w:r>
      <w:r>
        <w:t xml:space="preserve">Parenthesized Hebrew should appear as </w:t>
      </w:r>
      <w:r>
        <w:rPr>
          <w:b/>
        </w:rPr>
        <w:t>(וְנַפְשִׁי נִבְהֲלָה מְאֹד)</w:t>
      </w:r>
      <w:r>
        <w:t xml:space="preserve"> with Hebrew reading right-to-left inside the parentheses.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﴾וְנַפְשִׁי נִבְהֲלָה מְאֹד﴿.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﴾אַשְׁרֵי הָאִישׁ﴿, and תְּהִלָּה (tehillah) means praise ﴾תְּהִלָּה לְדָוִד﴿.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﴾אַשְׁרֵי הָאִישׁ אֲשֶׁר﴿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﴾אַשְׁרֵי הָאִישׁ אֲשֶׁר לֹא הָלַךְ בַּעֲצַת רְשָׁעִים﴿ sets the tone for the psalm.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