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81001" w14:textId="77777777" w:rsidR="00072D7B" w:rsidRDefault="00E535E0">
      <w:pPr>
        <w:pStyle w:val="Heading1"/>
      </w:pPr>
      <w:r>
        <w:t>Commentary on Psalm 2</w:t>
      </w:r>
    </w:p>
    <w:p w14:paraId="2BDAB4C8" w14:textId="77777777" w:rsidR="00072D7B" w:rsidRDefault="00E535E0">
      <w:pPr>
        <w:pStyle w:val="Heading2"/>
      </w:pPr>
      <w:r>
        <w:t>Psalm 2</w:t>
      </w:r>
    </w:p>
    <w:tbl>
      <w:tblPr>
        <w:tblW w:w="0" w:type="auto"/>
        <w:tblLook w:val="04A0" w:firstRow="1" w:lastRow="0" w:firstColumn="1" w:lastColumn="0" w:noHBand="0" w:noVBand="1"/>
      </w:tblPr>
      <w:tblGrid>
        <w:gridCol w:w="4680"/>
        <w:gridCol w:w="4680"/>
      </w:tblGrid>
      <w:tr w:rsidR="00072D7B" w14:paraId="77DD4267" w14:textId="77777777">
        <w:tc>
          <w:tcPr>
            <w:tcW w:w="4680" w:type="dxa"/>
          </w:tcPr>
          <w:p w14:paraId="00561BE6" w14:textId="77777777" w:rsidR="00072D7B" w:rsidRDefault="00E535E0">
            <w:r>
              <w:rPr>
                <w:b/>
              </w:rPr>
              <w:t xml:space="preserve">1. </w:t>
            </w:r>
            <w:r>
              <w:rPr>
                <w:rtl/>
              </w:rPr>
              <w:t>לָ֭מָּה רָגְשׁ֣וּ גוֹיִ֑ם וּ֝לְאֻמִּ֗ים יֶהְגּוּ־רִֽיק׃</w:t>
            </w:r>
          </w:p>
        </w:tc>
        <w:tc>
          <w:tcPr>
            <w:tcW w:w="4680" w:type="dxa"/>
          </w:tcPr>
          <w:p w14:paraId="027905B9" w14:textId="77777777" w:rsidR="00072D7B" w:rsidRDefault="00E535E0">
            <w:r>
              <w:rPr>
                <w:rFonts w:ascii="Cambria" w:hAnsi="Cambria"/>
              </w:rPr>
              <w:t>Why do nations assemble,</w:t>
            </w:r>
            <w:r>
              <w:rPr>
                <w:rFonts w:ascii="Cambria" w:hAnsi="Cambria"/>
              </w:rPr>
              <w:br/>
              <w:t>and peoples plot vain things;</w:t>
            </w:r>
          </w:p>
        </w:tc>
      </w:tr>
      <w:tr w:rsidR="00072D7B" w14:paraId="044DB623" w14:textId="77777777">
        <w:tc>
          <w:tcPr>
            <w:tcW w:w="4680" w:type="dxa"/>
          </w:tcPr>
          <w:p w14:paraId="7E495A78" w14:textId="77777777" w:rsidR="00072D7B" w:rsidRDefault="00E535E0">
            <w:r>
              <w:rPr>
                <w:b/>
              </w:rPr>
              <w:t xml:space="preserve">2. </w:t>
            </w:r>
            <w:r>
              <w:rPr>
                <w:rtl/>
              </w:rPr>
              <w:t>יִ֥תְיַצְּב֨וּ ׀ מַלְכֵי־אֶ֗רֶץ וְרוֹזְנִ֥ים נֽוֹסְדוּ־יָ֑חַד עַל־ה׳ וְעַל־מְשִׁיחֽוֹ׃</w:t>
            </w:r>
          </w:p>
        </w:tc>
        <w:tc>
          <w:tcPr>
            <w:tcW w:w="4680" w:type="dxa"/>
          </w:tcPr>
          <w:p w14:paraId="5F20B1B1" w14:textId="77777777" w:rsidR="00072D7B" w:rsidRDefault="00E535E0">
            <w:r>
              <w:rPr>
                <w:rFonts w:ascii="Cambria" w:hAnsi="Cambria"/>
              </w:rPr>
              <w:t>kings of the earth take their stand,</w:t>
            </w:r>
            <w:r>
              <w:rPr>
                <w:rFonts w:ascii="Cambria" w:hAnsi="Cambria"/>
              </w:rPr>
              <w:br/>
              <w:t>and regents intrigue together</w:t>
            </w:r>
            <w:r>
              <w:rPr>
                <w:rFonts w:ascii="Cambria" w:hAnsi="Cambria"/>
              </w:rPr>
              <w:br/>
              <w:t>against the LORD and against His anointed?</w:t>
            </w:r>
          </w:p>
        </w:tc>
      </w:tr>
      <w:tr w:rsidR="00072D7B" w14:paraId="0B6755A4" w14:textId="77777777">
        <w:tc>
          <w:tcPr>
            <w:tcW w:w="4680" w:type="dxa"/>
          </w:tcPr>
          <w:p w14:paraId="3451003B" w14:textId="77777777" w:rsidR="00072D7B" w:rsidRDefault="00E535E0">
            <w:r>
              <w:rPr>
                <w:b/>
              </w:rPr>
              <w:t xml:space="preserve">3. </w:t>
            </w:r>
            <w:r>
              <w:rPr>
                <w:rtl/>
              </w:rPr>
              <w:t>נְֽ֭נַתְּקָה אֶת־מֽוֹסְרוֹתֵ֑ימוֹ וְנַשְׁלִ֖יכָה מִמֶּ֣נּוּ עֲבֹתֵֽימוֹ׃</w:t>
            </w:r>
          </w:p>
        </w:tc>
        <w:tc>
          <w:tcPr>
            <w:tcW w:w="4680" w:type="dxa"/>
          </w:tcPr>
          <w:p w14:paraId="2282B505" w14:textId="77777777" w:rsidR="00072D7B" w:rsidRDefault="00E535E0">
            <w:r>
              <w:rPr>
                <w:rFonts w:ascii="Cambria" w:hAnsi="Cambria"/>
              </w:rPr>
              <w:t>“Let us break the cords of their yoke,</w:t>
            </w:r>
            <w:r>
              <w:rPr>
                <w:rFonts w:ascii="Cambria" w:hAnsi="Cambria"/>
              </w:rPr>
              <w:br/>
              <w:t>shake off their ropes from us!”</w:t>
            </w:r>
          </w:p>
        </w:tc>
      </w:tr>
      <w:tr w:rsidR="00072D7B" w14:paraId="0984434D" w14:textId="77777777">
        <w:tc>
          <w:tcPr>
            <w:tcW w:w="4680" w:type="dxa"/>
          </w:tcPr>
          <w:p w14:paraId="164D195F" w14:textId="77777777" w:rsidR="00072D7B" w:rsidRDefault="00E535E0">
            <w:r>
              <w:rPr>
                <w:b/>
              </w:rPr>
              <w:t xml:space="preserve">4. </w:t>
            </w:r>
            <w:r>
              <w:rPr>
                <w:rtl/>
              </w:rPr>
              <w:t>יוֹשֵׁ֣ב בַּשָּׁמַ֣יִם יִשְׂחָ֑ק אֲ֝דֹנָ֗י יִלְעַג־לָֽמוֹ׃</w:t>
            </w:r>
          </w:p>
        </w:tc>
        <w:tc>
          <w:tcPr>
            <w:tcW w:w="4680" w:type="dxa"/>
          </w:tcPr>
          <w:p w14:paraId="26D30C1C" w14:textId="77777777" w:rsidR="00072D7B" w:rsidRDefault="00E535E0">
            <w:r>
              <w:rPr>
                <w:rFonts w:ascii="Cambria" w:hAnsi="Cambria"/>
              </w:rPr>
              <w:t>He who is enthroned in heaven laughs;</w:t>
            </w:r>
            <w:r>
              <w:rPr>
                <w:rFonts w:ascii="Cambria" w:hAnsi="Cambria"/>
              </w:rPr>
              <w:br/>
              <w:t>the Lord mocks at them.</w:t>
            </w:r>
          </w:p>
        </w:tc>
      </w:tr>
      <w:tr w:rsidR="00072D7B" w14:paraId="056D184F" w14:textId="77777777">
        <w:tc>
          <w:tcPr>
            <w:tcW w:w="4680" w:type="dxa"/>
          </w:tcPr>
          <w:p w14:paraId="32168C22" w14:textId="77777777" w:rsidR="00072D7B" w:rsidRDefault="00E535E0">
            <w:r>
              <w:rPr>
                <w:b/>
              </w:rPr>
              <w:t xml:space="preserve">5. </w:t>
            </w:r>
            <w:r>
              <w:rPr>
                <w:rtl/>
              </w:rPr>
              <w:t>אָ֤ז יְדַבֵּ֣ר אֵלֵ֣ימוֹ בְאַפּ֑וֹ וּֽבַחֲרוֹנ֥וֹ יְבַהֲלֵֽמוֹ׃</w:t>
            </w:r>
          </w:p>
        </w:tc>
        <w:tc>
          <w:tcPr>
            <w:tcW w:w="4680" w:type="dxa"/>
          </w:tcPr>
          <w:p w14:paraId="260ABFCE" w14:textId="77777777" w:rsidR="00072D7B" w:rsidRDefault="00E535E0">
            <w:r>
              <w:rPr>
                <w:rFonts w:ascii="Cambria" w:hAnsi="Cambria"/>
              </w:rPr>
              <w:t>Then He speaks to them in anger,</w:t>
            </w:r>
            <w:r>
              <w:rPr>
                <w:rFonts w:ascii="Cambria" w:hAnsi="Cambria"/>
              </w:rPr>
              <w:br/>
              <w:t>terrifying them in His rage,</w:t>
            </w:r>
          </w:p>
        </w:tc>
      </w:tr>
      <w:tr w:rsidR="00072D7B" w14:paraId="061AD4DC" w14:textId="77777777">
        <w:tc>
          <w:tcPr>
            <w:tcW w:w="4680" w:type="dxa"/>
          </w:tcPr>
          <w:p w14:paraId="454A3357" w14:textId="77777777" w:rsidR="00072D7B" w:rsidRDefault="00E535E0">
            <w:r>
              <w:rPr>
                <w:b/>
              </w:rPr>
              <w:t xml:space="preserve">6. </w:t>
            </w:r>
            <w:r>
              <w:rPr>
                <w:rtl/>
              </w:rPr>
              <w:t>וַ֭אֲנִי נָסַ֣כְתִּי מַלְכִּ֑י עַל־צִ֝יּ֗וֹן הַר־קׇדְשִֽׁי׃</w:t>
            </w:r>
          </w:p>
        </w:tc>
        <w:tc>
          <w:tcPr>
            <w:tcW w:w="4680" w:type="dxa"/>
          </w:tcPr>
          <w:p w14:paraId="4AA063A0" w14:textId="77777777" w:rsidR="00072D7B" w:rsidRDefault="00E535E0">
            <w:r>
              <w:rPr>
                <w:rFonts w:ascii="Cambria" w:hAnsi="Cambria"/>
              </w:rPr>
              <w:t>“But I have installed My king</w:t>
            </w:r>
            <w:r>
              <w:rPr>
                <w:rFonts w:ascii="Cambria" w:hAnsi="Cambria"/>
              </w:rPr>
              <w:br/>
              <w:t>on Zion, My holy mountain!”</w:t>
            </w:r>
          </w:p>
        </w:tc>
      </w:tr>
      <w:tr w:rsidR="00072D7B" w14:paraId="74328530" w14:textId="77777777">
        <w:tc>
          <w:tcPr>
            <w:tcW w:w="4680" w:type="dxa"/>
          </w:tcPr>
          <w:p w14:paraId="4E64A655" w14:textId="77777777" w:rsidR="00072D7B" w:rsidRDefault="00E535E0">
            <w:r>
              <w:rPr>
                <w:b/>
              </w:rPr>
              <w:t xml:space="preserve">7. </w:t>
            </w:r>
            <w:r>
              <w:rPr>
                <w:rtl/>
              </w:rPr>
              <w:t>אֲסַפְּרָ֗ה אֶֽ֫ל־חֹ֥ק ה׳ אָמַ֘ר־אֵלַ֥י בְּנִ֥י אַ֑תָּה אֲ֝נִ֗י הַיּ֥וֹם יְלִדְתִּֽיךָ׃</w:t>
            </w:r>
          </w:p>
        </w:tc>
        <w:tc>
          <w:tcPr>
            <w:tcW w:w="4680" w:type="dxa"/>
          </w:tcPr>
          <w:p w14:paraId="064DDD61" w14:textId="77777777" w:rsidR="00072D7B" w:rsidRDefault="00E535E0">
            <w:r>
              <w:rPr>
                <w:rFonts w:ascii="Cambria" w:hAnsi="Cambria"/>
              </w:rPr>
              <w:t>Let me tell of the decree:</w:t>
            </w:r>
            <w:r>
              <w:rPr>
                <w:rFonts w:ascii="Cambria" w:hAnsi="Cambria"/>
              </w:rPr>
              <w:br/>
              <w:t>the LORD said to me,</w:t>
            </w:r>
            <w:r>
              <w:rPr>
                <w:rFonts w:ascii="Cambria" w:hAnsi="Cambria"/>
              </w:rPr>
              <w:br/>
              <w:t>“You are My son,</w:t>
            </w:r>
            <w:r>
              <w:rPr>
                <w:rFonts w:ascii="Cambria" w:hAnsi="Cambria"/>
              </w:rPr>
              <w:br/>
              <w:t>I have fathered you this day.-b</w:t>
            </w:r>
          </w:p>
        </w:tc>
      </w:tr>
      <w:tr w:rsidR="00072D7B" w14:paraId="46627EA0" w14:textId="77777777">
        <w:tc>
          <w:tcPr>
            <w:tcW w:w="4680" w:type="dxa"/>
          </w:tcPr>
          <w:p w14:paraId="512C700F" w14:textId="77777777" w:rsidR="00072D7B" w:rsidRDefault="00E535E0">
            <w:r>
              <w:rPr>
                <w:b/>
              </w:rPr>
              <w:t xml:space="preserve">8. </w:t>
            </w:r>
            <w:r>
              <w:rPr>
                <w:rtl/>
              </w:rPr>
              <w:t>שְׁאַ֤ל מִמֶּ֗נִּי וְאֶתְּנָ֣ה ג֭וֹיִם נַחֲלָתֶ֑ךָ וַ֝אֲחֻזָּתְךָ֗ אַפְסֵי־אָֽרֶץ׃</w:t>
            </w:r>
          </w:p>
        </w:tc>
        <w:tc>
          <w:tcPr>
            <w:tcW w:w="4680" w:type="dxa"/>
          </w:tcPr>
          <w:p w14:paraId="30D3BF66" w14:textId="77777777" w:rsidR="00072D7B" w:rsidRDefault="00E535E0">
            <w:r>
              <w:rPr>
                <w:rFonts w:ascii="Cambria" w:hAnsi="Cambria"/>
              </w:rPr>
              <w:t>Ask it of Me,</w:t>
            </w:r>
            <w:r>
              <w:rPr>
                <w:rFonts w:ascii="Cambria" w:hAnsi="Cambria"/>
              </w:rPr>
              <w:br/>
            </w:r>
            <w:r>
              <w:rPr>
                <w:rFonts w:ascii="Cambria" w:hAnsi="Cambria"/>
              </w:rPr>
              <w:t>and I will make the nations your domain;</w:t>
            </w:r>
            <w:r>
              <w:rPr>
                <w:rFonts w:ascii="Cambria" w:hAnsi="Cambria"/>
              </w:rPr>
              <w:br/>
              <w:t>your estate, the limits of the earth.</w:t>
            </w:r>
          </w:p>
        </w:tc>
      </w:tr>
      <w:tr w:rsidR="00072D7B" w14:paraId="06895D69" w14:textId="77777777">
        <w:tc>
          <w:tcPr>
            <w:tcW w:w="4680" w:type="dxa"/>
          </w:tcPr>
          <w:p w14:paraId="4BA0A068" w14:textId="77777777" w:rsidR="00072D7B" w:rsidRDefault="00E535E0">
            <w:r>
              <w:rPr>
                <w:b/>
              </w:rPr>
              <w:t xml:space="preserve">9. </w:t>
            </w:r>
            <w:r>
              <w:rPr>
                <w:rtl/>
              </w:rPr>
              <w:t>תְּ֭רֹעֵם בְּשֵׁ֣בֶט בַּרְזֶ֑ל כִּכְלִ֖י יוֹצֵ֣ר תְּנַפְּצֵֽם׃</w:t>
            </w:r>
          </w:p>
        </w:tc>
        <w:tc>
          <w:tcPr>
            <w:tcW w:w="4680" w:type="dxa"/>
          </w:tcPr>
          <w:p w14:paraId="6C369F47" w14:textId="77777777" w:rsidR="00072D7B" w:rsidRDefault="00E535E0">
            <w:r>
              <w:rPr>
                <w:rFonts w:ascii="Cambria" w:hAnsi="Cambria"/>
              </w:rPr>
              <w:t>You can smash them with an iron mace,</w:t>
            </w:r>
            <w:r>
              <w:rPr>
                <w:rFonts w:ascii="Cambria" w:hAnsi="Cambria"/>
              </w:rPr>
              <w:br/>
              <w:t>shatter them like potter’s ware.”</w:t>
            </w:r>
          </w:p>
        </w:tc>
      </w:tr>
      <w:tr w:rsidR="00072D7B" w14:paraId="6F9EC684" w14:textId="77777777">
        <w:tc>
          <w:tcPr>
            <w:tcW w:w="4680" w:type="dxa"/>
          </w:tcPr>
          <w:p w14:paraId="5ED126F0" w14:textId="77777777" w:rsidR="00072D7B" w:rsidRDefault="00E535E0">
            <w:r>
              <w:rPr>
                <w:b/>
              </w:rPr>
              <w:t xml:space="preserve">10. </w:t>
            </w:r>
            <w:r>
              <w:rPr>
                <w:rtl/>
              </w:rPr>
              <w:t>וְ֭עַתָּה מְלָכִ֣ים הַשְׂכִּ֑ילוּ הִ֝וָּסְר֗וּ שֹׁ֣פְטֵי אָֽרֶץ׃</w:t>
            </w:r>
          </w:p>
        </w:tc>
        <w:tc>
          <w:tcPr>
            <w:tcW w:w="4680" w:type="dxa"/>
          </w:tcPr>
          <w:p w14:paraId="18CF9BF5" w14:textId="77777777" w:rsidR="00072D7B" w:rsidRDefault="00E535E0">
            <w:r>
              <w:rPr>
                <w:rFonts w:ascii="Cambria" w:hAnsi="Cambria"/>
              </w:rPr>
              <w:t>So now, O kings, be prudent;</w:t>
            </w:r>
            <w:r>
              <w:rPr>
                <w:rFonts w:ascii="Cambria" w:hAnsi="Cambria"/>
              </w:rPr>
              <w:br/>
              <w:t>accept discipline, you rulers of the earth!</w:t>
            </w:r>
          </w:p>
        </w:tc>
      </w:tr>
      <w:tr w:rsidR="00072D7B" w14:paraId="676E7648" w14:textId="77777777">
        <w:tc>
          <w:tcPr>
            <w:tcW w:w="4680" w:type="dxa"/>
          </w:tcPr>
          <w:p w14:paraId="39329EDA" w14:textId="77777777" w:rsidR="00072D7B" w:rsidRDefault="00E535E0">
            <w:r>
              <w:rPr>
                <w:b/>
              </w:rPr>
              <w:t xml:space="preserve">11. </w:t>
            </w:r>
            <w:r>
              <w:rPr>
                <w:rtl/>
              </w:rPr>
              <w:t>עִבְד֣וּ אֶת־ה׳ בְּיִרְאָ֑ה וְ֝גִ֗ילוּ בִּרְעָדָֽה׃</w:t>
            </w:r>
          </w:p>
        </w:tc>
        <w:tc>
          <w:tcPr>
            <w:tcW w:w="4680" w:type="dxa"/>
          </w:tcPr>
          <w:p w14:paraId="6604F66C" w14:textId="77777777" w:rsidR="00072D7B" w:rsidRDefault="00E535E0">
            <w:r>
              <w:rPr>
                <w:rFonts w:ascii="Cambria" w:hAnsi="Cambria"/>
              </w:rPr>
              <w:t>Serve the LORD in awe;</w:t>
            </w:r>
            <w:r>
              <w:rPr>
                <w:rFonts w:ascii="Cambria" w:hAnsi="Cambria"/>
              </w:rPr>
              <w:br/>
              <w:t>tremble with fright,-c</w:t>
            </w:r>
          </w:p>
        </w:tc>
      </w:tr>
      <w:tr w:rsidR="00072D7B" w14:paraId="1208B023" w14:textId="77777777">
        <w:tc>
          <w:tcPr>
            <w:tcW w:w="4680" w:type="dxa"/>
          </w:tcPr>
          <w:p w14:paraId="13BC9B53" w14:textId="77777777" w:rsidR="00072D7B" w:rsidRDefault="00E535E0">
            <w:r>
              <w:rPr>
                <w:b/>
              </w:rPr>
              <w:t xml:space="preserve">12. </w:t>
            </w:r>
            <w:r>
              <w:rPr>
                <w:rtl/>
              </w:rPr>
              <w:t>נַשְּׁקוּ־בַ֡ר פֶּן־יֶאֱנַ֤ף ׀ וְתֹ֬אבְדוּ דֶ֗רֶךְ כִּֽי־יִבְעַ֣ר כִּמְעַ֣ט אַפּ֑וֹ אַ֝שְׁרֵ֗י כׇּל־ח֥וֹסֵי בֽוֹ׃ {פ}</w:t>
            </w:r>
          </w:p>
        </w:tc>
        <w:tc>
          <w:tcPr>
            <w:tcW w:w="4680" w:type="dxa"/>
          </w:tcPr>
          <w:p w14:paraId="459F7999" w14:textId="77777777" w:rsidR="00072D7B" w:rsidRDefault="00E535E0">
            <w:r>
              <w:rPr>
                <w:rFonts w:ascii="Cambria" w:hAnsi="Cambria"/>
              </w:rPr>
              <w:t>pay homage in good faith,-d</w:t>
            </w:r>
            <w:r>
              <w:rPr>
                <w:rFonts w:ascii="Cambria" w:hAnsi="Cambria"/>
              </w:rPr>
              <w:br/>
              <w:t>lest He be angered, and your way be doomed</w:t>
            </w:r>
            <w:r>
              <w:rPr>
                <w:rFonts w:ascii="Cambria" w:hAnsi="Cambria"/>
              </w:rPr>
              <w:br/>
            </w:r>
            <w:r>
              <w:rPr>
                <w:rFonts w:ascii="Cambria" w:hAnsi="Cambria"/>
              </w:rPr>
              <w:lastRenderedPageBreak/>
              <w:t>in the mere flash of His anger.</w:t>
            </w:r>
            <w:r>
              <w:rPr>
                <w:rFonts w:ascii="Cambria" w:hAnsi="Cambria"/>
              </w:rPr>
              <w:br/>
              <w:t>Happy are all who take refuge in Him.</w:t>
            </w:r>
          </w:p>
        </w:tc>
      </w:tr>
    </w:tbl>
    <w:p w14:paraId="7259E21D" w14:textId="77777777" w:rsidR="00072D7B" w:rsidRDefault="00072D7B"/>
    <w:p w14:paraId="7D446399" w14:textId="77777777" w:rsidR="00072D7B" w:rsidRDefault="00E535E0">
      <w:r>
        <w:br w:type="page"/>
      </w:r>
    </w:p>
    <w:p w14:paraId="43ADE888" w14:textId="77777777" w:rsidR="00072D7B" w:rsidRDefault="00E535E0">
      <w:pPr>
        <w:pStyle w:val="Heading2"/>
      </w:pPr>
      <w:r>
        <w:lastRenderedPageBreak/>
        <w:t>Introduction</w:t>
      </w:r>
    </w:p>
    <w:p w14:paraId="01BE7E4E" w14:textId="77777777" w:rsidR="00072D7B" w:rsidRDefault="00E535E0">
      <w:pPr>
        <w:pStyle w:val="BodySans"/>
      </w:pPr>
      <w:r>
        <w:t>Psalm 2 is both pageant and polemic. It stages a world of noise—kings and counselors in conclave, peoples muttering schemes—set against a single, unhurried speech from heaven. Human power arrays itself in ranks; divine speech establishes a king. The psalm alternates voices and vantage points: narrator (vv. 1–2), the rebels’ own cry (v. 3), the heavenly court (vv. 4–6), the king’s report of a divine decree (v. 7), the promise of universal dominion (vv. 8–9), and, finally, a wisdom admonition to the very rule</w:t>
      </w:r>
      <w:r>
        <w:t>rs who began in revolt (vv. 10–12). It is a compact drama of political theology.</w:t>
      </w:r>
    </w:p>
    <w:p w14:paraId="04002219" w14:textId="77777777" w:rsidR="00072D7B" w:rsidRDefault="00E535E0">
      <w:pPr>
        <w:pStyle w:val="BodySans"/>
      </w:pPr>
      <w:r>
        <w:t>Two openings frame it. First, the poem’s own “Why?”—</w:t>
      </w:r>
      <w:r>
        <w:t>לָמָּה</w:t>
      </w:r>
      <w:r>
        <w:t xml:space="preserve"> </w:t>
      </w:r>
      <w:r>
        <w:t>רָגְשׁוּ</w:t>
      </w:r>
      <w:r>
        <w:t xml:space="preserve"> </w:t>
      </w:r>
      <w:r>
        <w:t>גוֹיִם</w:t>
      </w:r>
      <w:r>
        <w:t xml:space="preserve">, “Why do nations throng in tumult?” (v. 1). Second, the editorial seam: Psalms 1 and 2 are joined by “ashrei” (“happy/fortunate”). Psalm 1 opens, </w:t>
      </w:r>
      <w:r>
        <w:t>אַשְׁרֵי</w:t>
      </w:r>
      <w:r>
        <w:t xml:space="preserve"> </w:t>
      </w:r>
      <w:r>
        <w:t>הָאִישׁ</w:t>
      </w:r>
      <w:r>
        <w:t xml:space="preserve"> (“Happy is the one…”), and Psalm 2 ends, </w:t>
      </w:r>
      <w:r>
        <w:t>אַשְׁרֵי</w:t>
      </w:r>
      <w:r>
        <w:t xml:space="preserve"> </w:t>
      </w:r>
      <w:r>
        <w:t>כָּל־חֹוסֵי</w:t>
      </w:r>
      <w:r>
        <w:t xml:space="preserve"> </w:t>
      </w:r>
      <w:r>
        <w:t>בוֹ</w:t>
      </w:r>
      <w:r>
        <w:t xml:space="preserve"> (“Happy are all who take refuge in him,” v. 12). Ancient and medieval readers noticed; some even counted them as a single proem to the entire collection. Together they set a choice before the reader: either the way of instruction (Torah) that yields rootedness</w:t>
      </w:r>
      <w:r>
        <w:t xml:space="preserve"> (Ps 1), or the way of insurgency that ends in “perishing” (Ps 2:12; cf. 1:6). The editorial hinge turns the psalm’s politics into a wisdom problem.</w:t>
      </w:r>
    </w:p>
    <w:p w14:paraId="1428CF8F" w14:textId="77777777" w:rsidR="00072D7B" w:rsidRDefault="00E535E0">
      <w:pPr>
        <w:pStyle w:val="BodySans"/>
      </w:pPr>
      <w:r>
        <w:t xml:space="preserve">The opening line earns its incredulity. The rare verb </w:t>
      </w:r>
      <w:r>
        <w:t>רָגְשׁוּ</w:t>
      </w:r>
      <w:r>
        <w:t xml:space="preserve"> (ragshu) connotes a noisy throng or tumult; its only clear cognate in the Psalter is </w:t>
      </w:r>
      <w:r>
        <w:t>בְּרָגֶשׁ</w:t>
      </w:r>
      <w:r>
        <w:t xml:space="preserve"> (“throng”) in Psalm 55:15. The second colon uses </w:t>
      </w:r>
      <w:r>
        <w:t>יֶהְגּוּ־רִיק</w:t>
      </w:r>
      <w:r>
        <w:t xml:space="preserve">: </w:t>
      </w:r>
      <w:r>
        <w:t>הָגָה</w:t>
      </w:r>
      <w:r>
        <w:t xml:space="preserve"> can be the murmuring of devotion (Psalm 1:2) or the mutter of plotting; here it’s “emptiness.” Read aloud, the English can’t catch the undertone; the Hebrew can: </w:t>
      </w:r>
      <w:r>
        <w:t>יֶהְגּוּ־רִיק</w:t>
      </w:r>
      <w:r>
        <w:t xml:space="preserve"> suggests sotto voce scheming. The poet answers this undertone with a counter-sound from heaven: laughter (v. 4). Not delight but derision—precisely the response W</w:t>
      </w:r>
      <w:r>
        <w:t>isdom herself gives to folly in Proverbs 1:26: “I also will laugh at your calamity.” Psalm 59:9 has the same theology: “But You, O Lord, laugh at them; You scoff at all nations.” Laughter here is not therapy. It is judgment on pretension.</w:t>
      </w:r>
    </w:p>
    <w:p w14:paraId="7CAF6D70" w14:textId="77777777" w:rsidR="00072D7B" w:rsidRDefault="00E535E0">
      <w:pPr>
        <w:pStyle w:val="BodySans"/>
      </w:pPr>
      <w:r>
        <w:t>The content of the revolt is clear enough: “Let us break their bonds and cast off their ropes” (v. 3). The imagery is covenantal. Scripture uses these metaphors for rejecting a yoke, treaty, or discipline (</w:t>
      </w:r>
      <w:r>
        <w:t>מוֹסֵר</w:t>
      </w:r>
      <w:r>
        <w:t>/</w:t>
      </w:r>
      <w:r>
        <w:t>מוּסָר</w:t>
      </w:r>
      <w:r>
        <w:t>). Israel once tore off God’s “bonds” (Jeremiah 2:20; 5:5). The rebels of Psalm 2 seek to throw off both YHWH and “his anointed” (</w:t>
      </w:r>
      <w:r>
        <w:t>מְשִׁיחוֹ</w:t>
      </w:r>
      <w:r>
        <w:t>)—here, in the first place, a historical Davidic king, not yet the later technical “Messiah,” though later readers, Jewish and Christian, will hear that too. The psalm thus makes a political move: to set yourself against the Davidic king is to set yourself against Israel’s God.</w:t>
      </w:r>
    </w:p>
    <w:p w14:paraId="71066419" w14:textId="77777777" w:rsidR="00072D7B" w:rsidRDefault="00E535E0">
      <w:pPr>
        <w:pStyle w:val="BodySans"/>
      </w:pPr>
      <w:r>
        <w:t>God’s first response is not to hurl thunderbolts but to speak (v. 5). Divine speech in the Bible is performative; it does what it says. Here, the content of the speech is a completed act: “I have installed (</w:t>
      </w:r>
      <w:r>
        <w:t>נָסַכְתִּי</w:t>
      </w:r>
      <w:r>
        <w:t xml:space="preserve">) my king on Zion, my holy mountain” (v. 6). The verb nasakh can mean “pour a libation,” “cast metal,” or “install.” The lexicon’s range helps: royal </w:t>
      </w:r>
      <w:r>
        <w:lastRenderedPageBreak/>
        <w:t>installation is imagined as a consecration, even a libation, on a specific site. Zion is not an abstraction. It is a place where heaven’s word touches earth’s hill. The geography is theology.</w:t>
      </w:r>
    </w:p>
    <w:p w14:paraId="1D3B05CD" w14:textId="77777777" w:rsidR="00072D7B" w:rsidRDefault="00E535E0">
      <w:pPr>
        <w:pStyle w:val="BodySans"/>
      </w:pPr>
      <w:r>
        <w:t>The next voice is the king’s: “Let me declare the decree: YHWH said to me, ‘You are my son; today I have begotten you’” (v. 7). Ancient Near Eastern kings often bore the title “son of” a deity; Israel repurposes the idiom. The king is not divine by nature; he is adopted by declaration—on “today,” the day of enthronement. The language has close biblical cousins: “I will be a father to him, and he shall be a son to me” (2 Samuel 7:14). Ugaritic and Egyptian royal formulas speak similarly of divine sonship, bu</w:t>
      </w:r>
      <w:r>
        <w:t>t Psalm 2 draws a boundary line: adoption by speech, not ontology. Medieval Jewish commentators read this historically (David’s coronation) and typologically (the Messiah). The rabbinic tradition, too, heard an eschatological echo: “Ask of Me” (v. 8) becomes a dialogue between God and the messianic king (Sukkah 52a).</w:t>
      </w:r>
    </w:p>
    <w:p w14:paraId="7C5A408B" w14:textId="77777777" w:rsidR="00072D7B" w:rsidRDefault="00E535E0">
      <w:pPr>
        <w:pStyle w:val="BodySans"/>
      </w:pPr>
      <w:r>
        <w:t>Verse 8 is surprising in a coronation text: the extent of rule is granted—but by petition. “Ask of Me, and I will give nations as your inheritance, the ends of the earth as your possession.” This is a theology of dependence: kingship is not automatic, even now; it is relational and responsive. The promise’s scope is global, but its exercise is conditional on request. The Bible’s legal words for property (</w:t>
      </w:r>
      <w:r>
        <w:t>נַחֲלָה</w:t>
      </w:r>
      <w:r>
        <w:t xml:space="preserve">, “inheritance”; </w:t>
      </w:r>
      <w:r>
        <w:t>אֲחֻזָּה</w:t>
      </w:r>
      <w:r>
        <w:t>, “holding”) are repurposed here for empire.</w:t>
      </w:r>
    </w:p>
    <w:p w14:paraId="2D6B01BE" w14:textId="77777777" w:rsidR="00072D7B" w:rsidRDefault="00E535E0">
      <w:pPr>
        <w:pStyle w:val="BodySans"/>
      </w:pPr>
      <w:r>
        <w:t>Then co</w:t>
      </w:r>
      <w:r>
        <w:t>mes the poem’s sharpest crux. “You will break (</w:t>
      </w:r>
      <w:r>
        <w:t>תְּרֹעֵם</w:t>
      </w:r>
      <w:r>
        <w:t xml:space="preserve">) them with an iron rod; like a potter’s vessel you will shatter them” (v. 9). The Masoretic Text reads </w:t>
      </w:r>
      <w:r>
        <w:t>רעה</w:t>
      </w:r>
      <w:r>
        <w:t xml:space="preserve"> in a sense attested by BDB (“break, smash”: Job 34:24; Jeremiah 15:12). The Septuagint reads ποιμανε</w:t>
      </w:r>
      <w:r>
        <w:t>ῖ</w:t>
      </w:r>
      <w:r>
        <w:t>ς (“you will shepherd” or “rule”), turning the line from demolition to domination—harsh but pastoral. The New Testament adopts the Greek; hence Revelation 2:27, 12:5, 19:15: “he shall rule them with a rod of iron.” Both strands disclose something t</w:t>
      </w:r>
      <w:r>
        <w:t>rue about ancient kingship: legitimate rule disciplines; illegitimate revolt gets shattered. The second colon’s image is vivid across the prophets: pottery is useful but brittle; when a pot shatters, you don’t fix it (Isaiah 30:14; compare Jeremiah 19). Political might can be dashed to shards in an instant.</w:t>
      </w:r>
    </w:p>
    <w:p w14:paraId="7D2EA991" w14:textId="77777777" w:rsidR="00072D7B" w:rsidRDefault="00E535E0">
      <w:pPr>
        <w:pStyle w:val="BodySans"/>
      </w:pPr>
      <w:r>
        <w:t>The psalm saves its last word for counsel. “So now, O kings, be wise; accept discipline” (v. 10). The rhetoric shifts from decree to instruction, from enthronement to proverbs. Technical terms need a word here. Hebrew poetry is built from cola (singular colon), the parallel short lines that form each verse; their relationships often move by intensification (“A is so—and what’s more, B”). The last strophe of Psalm 2 works like a small wisdom poem: “Serve YHWH in awe, and rejoice with trembling” (v. 11). It i</w:t>
      </w:r>
      <w:r>
        <w:t xml:space="preserve">s an oxymoron on purpose. Joy without awe would be presumption; fear without joy would be servility. </w:t>
      </w:r>
      <w:r>
        <w:lastRenderedPageBreak/>
        <w:t>Mature religion holds both. Rabbis took this line as liturgical instruction: “In the place of rejoicing, there should be trembling” (Berakhot 30b).</w:t>
      </w:r>
    </w:p>
    <w:p w14:paraId="022C0DD3" w14:textId="77777777" w:rsidR="00072D7B" w:rsidRDefault="00E535E0">
      <w:pPr>
        <w:pStyle w:val="BodySans"/>
      </w:pPr>
      <w:r>
        <w:t xml:space="preserve">Finally, the notorious v. 12. The Masoretic reading, </w:t>
      </w:r>
      <w:r>
        <w:t>נַשְּׁקוּ־בַר</w:t>
      </w:r>
      <w:r>
        <w:t>, taken at face value, is Aramaic/Hebrew for “kiss the son”: a gesture of homage to the king, elegantly answering v. 2’s “against YHWH and against his anointed.” The LXX has a different text: δράξασθε παιδείας, “grasp discipline,” which many modern translations follow as “embrace correction.” Traditional Jewish voices split: Ibn Ezra supports “bar = son,” citing Proverbs 31:2 and the inclusio with “You are my son” (v. 7); Radak entertains “bar = purity” (Ps 24:4; 73:1) and reads the line as “ki</w:t>
      </w:r>
      <w:r>
        <w:t xml:space="preserve">ss in purity”—an idiom for sincere homage. Either way, the closing beatitude rings with the Psalter’s key: </w:t>
      </w:r>
      <w:r>
        <w:t>אַשְׁרֵי</w:t>
      </w:r>
      <w:r>
        <w:t xml:space="preserve"> </w:t>
      </w:r>
      <w:r>
        <w:t>כָּל־חֹוסֵי</w:t>
      </w:r>
      <w:r>
        <w:t xml:space="preserve"> </w:t>
      </w:r>
      <w:r>
        <w:t>בוֹ</w:t>
      </w:r>
      <w:r>
        <w:t>, “Happy are all who take refuge in him.” Who is “him”? The ambiguity is deliberate. To seek refuge in YHWH and to submit to his king come to the same thing in this poem. Which is the point.</w:t>
      </w:r>
    </w:p>
    <w:p w14:paraId="6F1B0BBA" w14:textId="1B73C4B9" w:rsidR="00072D7B" w:rsidRDefault="00E535E0">
      <w:pPr>
        <w:pStyle w:val="BodySans"/>
      </w:pPr>
      <w:r>
        <w:t xml:space="preserve">A word on terms. “Inclusio” is a framing device: the same word/phrase brackets a unit (here, ashrei in Psalms 1–2). A “colon” (plural cola) is one line of Hebrew poetry; cola pair to form parallel lines. </w:t>
      </w:r>
      <w:r>
        <w:t>“MT” denotes the Masoretic Text, the standard Hebrew text; “LXX” is the Septuagint, the ancient Greek translation. Knowing these gives us leverage where the poem’s meanings hinge on a letter or a line break.</w:t>
      </w:r>
    </w:p>
    <w:p w14:paraId="7B9DC1A0" w14:textId="77777777" w:rsidR="00072D7B" w:rsidRDefault="00E535E0">
      <w:pPr>
        <w:pStyle w:val="BodySans"/>
      </w:pPr>
      <w:r>
        <w:t>What Psalm 2 offers, finally, is a political wisdom: sovereignty belongs to God; kings recognized by God act under discipline; rebellion against the moral structure of the world is brittle; the door remains open—“so now”—to turn, to serve with awe, and to find refuge.</w:t>
      </w:r>
    </w:p>
    <w:p w14:paraId="6E1A0CFC" w14:textId="77777777" w:rsidR="00072D7B" w:rsidRDefault="00E535E0">
      <w:pPr>
        <w:pStyle w:val="Heading2"/>
      </w:pPr>
      <w:r>
        <w:t>Modern Jewish Liturgical Use</w:t>
      </w:r>
    </w:p>
    <w:p w14:paraId="7871151B" w14:textId="77777777" w:rsidR="00072D7B" w:rsidRDefault="00E535E0">
      <w:pPr>
        <w:pStyle w:val="Heading4"/>
      </w:pPr>
      <w:r>
        <w:t>Full psalm</w:t>
      </w:r>
    </w:p>
    <w:p w14:paraId="2543ACDD" w14:textId="77777777" w:rsidR="00072D7B" w:rsidRDefault="00E535E0">
      <w:pPr>
        <w:pStyle w:val="BodySans"/>
      </w:pPr>
      <w:r>
        <w:t>Many communities recite the whole psalm at Yom K</w:t>
      </w:r>
      <w:r>
        <w:t>ippur Maariv as a prelude to the service (Ashkenazic and Edot HaMizrach). Its themes—sovereignty, judgment, refuge—set the tone of the day. Placed at the threshold of the holiest night, the poem’s dramatic arc, from revolt to instruction to beatitude, becomes an invitation to move from defiance to submission and trust.</w:t>
      </w:r>
    </w:p>
    <w:p w14:paraId="304B5E19" w14:textId="77777777" w:rsidR="00072D7B" w:rsidRDefault="00E535E0">
      <w:pPr>
        <w:pStyle w:val="Heading4"/>
      </w:pPr>
      <w:r>
        <w:t>Key verses</w:t>
      </w:r>
    </w:p>
    <w:p w14:paraId="5665A751" w14:textId="77777777" w:rsidR="00072D7B" w:rsidRDefault="00E535E0">
      <w:pPr>
        <w:pStyle w:val="ListBullet"/>
      </w:pPr>
      <w:r>
        <w:rPr>
          <w:rFonts w:ascii="Aptos" w:hAnsi="Aptos"/>
        </w:rPr>
        <w:t xml:space="preserve">Psalm 2:7, </w:t>
      </w:r>
      <w:r>
        <w:rPr>
          <w:rFonts w:ascii="Aptos" w:hAnsi="Aptos"/>
        </w:rPr>
        <w:t>אֲסַפְּּרָה</w:t>
      </w:r>
      <w:r>
        <w:rPr>
          <w:rFonts w:ascii="Aptos" w:hAnsi="Aptos"/>
        </w:rPr>
        <w:t xml:space="preserve"> </w:t>
      </w:r>
      <w:r>
        <w:rPr>
          <w:rFonts w:ascii="Aptos" w:hAnsi="Aptos"/>
        </w:rPr>
        <w:t>אֶל־חֹק</w:t>
      </w:r>
      <w:r>
        <w:rPr>
          <w:rFonts w:ascii="Aptos" w:hAnsi="Aptos"/>
        </w:rPr>
        <w:t xml:space="preserve"> (“I shall declare the decree”). In the Yom Kippur Musaf repetition, this line often appears in antiphonal form: “</w:t>
      </w:r>
      <w:r>
        <w:rPr>
          <w:rFonts w:ascii="Aptos" w:hAnsi="Aptos"/>
        </w:rPr>
        <w:t>חזָן</w:t>
      </w:r>
      <w:r>
        <w:rPr>
          <w:rFonts w:ascii="Aptos" w:hAnsi="Aptos"/>
        </w:rPr>
        <w:t xml:space="preserve">: </w:t>
      </w:r>
      <w:r>
        <w:rPr>
          <w:rFonts w:ascii="Aptos" w:hAnsi="Aptos"/>
        </w:rPr>
        <w:t>אֲסַפְּרָה</w:t>
      </w:r>
      <w:r>
        <w:rPr>
          <w:rFonts w:ascii="Aptos" w:hAnsi="Aptos"/>
        </w:rPr>
        <w:t xml:space="preserve"> </w:t>
      </w:r>
      <w:r>
        <w:rPr>
          <w:rFonts w:ascii="Aptos" w:hAnsi="Aptos"/>
        </w:rPr>
        <w:t>אֶל</w:t>
      </w:r>
      <w:r>
        <w:rPr>
          <w:rFonts w:ascii="Aptos" w:hAnsi="Aptos"/>
        </w:rPr>
        <w:t xml:space="preserve"> </w:t>
      </w:r>
      <w:r>
        <w:rPr>
          <w:rFonts w:ascii="Aptos" w:hAnsi="Aptos"/>
        </w:rPr>
        <w:t>חֹק</w:t>
      </w:r>
      <w:r>
        <w:rPr>
          <w:rFonts w:ascii="Aptos" w:hAnsi="Aptos"/>
        </w:rPr>
        <w:t xml:space="preserve">. </w:t>
      </w:r>
      <w:r>
        <w:rPr>
          <w:rFonts w:ascii="Aptos" w:hAnsi="Aptos"/>
        </w:rPr>
        <w:t>מִסֻּכּוֹ</w:t>
      </w:r>
      <w:r>
        <w:rPr>
          <w:rFonts w:ascii="Aptos" w:hAnsi="Aptos"/>
        </w:rPr>
        <w:t xml:space="preserve"> </w:t>
      </w:r>
      <w:r>
        <w:rPr>
          <w:rFonts w:ascii="Aptos" w:hAnsi="Aptos"/>
        </w:rPr>
        <w:t>בְּלִי</w:t>
      </w:r>
      <w:r>
        <w:rPr>
          <w:rFonts w:ascii="Aptos" w:hAnsi="Aptos"/>
        </w:rPr>
        <w:t xml:space="preserve"> </w:t>
      </w:r>
      <w:r>
        <w:rPr>
          <w:rFonts w:ascii="Aptos" w:hAnsi="Aptos"/>
        </w:rPr>
        <w:t>לִרְחֹק</w:t>
      </w:r>
      <w:r>
        <w:rPr>
          <w:rFonts w:ascii="Aptos" w:hAnsi="Aptos"/>
        </w:rPr>
        <w:t xml:space="preserve">. </w:t>
      </w:r>
      <w:r>
        <w:rPr>
          <w:rFonts w:ascii="Aptos" w:hAnsi="Aptos"/>
        </w:rPr>
        <w:t>קָהָל</w:t>
      </w:r>
      <w:r>
        <w:rPr>
          <w:rFonts w:ascii="Aptos" w:hAnsi="Aptos"/>
        </w:rPr>
        <w:t xml:space="preserve">: </w:t>
      </w:r>
      <w:r>
        <w:rPr>
          <w:rFonts w:ascii="Aptos" w:hAnsi="Aptos"/>
        </w:rPr>
        <w:t>חַיִּים</w:t>
      </w:r>
      <w:r>
        <w:rPr>
          <w:rFonts w:ascii="Aptos" w:hAnsi="Aptos"/>
        </w:rPr>
        <w:t xml:space="preserve"> </w:t>
      </w:r>
      <w:r>
        <w:rPr>
          <w:rFonts w:ascii="Aptos" w:hAnsi="Aptos"/>
        </w:rPr>
        <w:t>לִי</w:t>
      </w:r>
      <w:r>
        <w:rPr>
          <w:rFonts w:ascii="Aptos" w:hAnsi="Aptos"/>
        </w:rPr>
        <w:t xml:space="preserve"> </w:t>
      </w:r>
      <w:r>
        <w:rPr>
          <w:rFonts w:ascii="Aptos" w:hAnsi="Aptos"/>
        </w:rPr>
        <w:t>לָחֹק</w:t>
      </w:r>
      <w:r>
        <w:rPr>
          <w:rFonts w:ascii="Aptos" w:hAnsi="Aptos"/>
        </w:rPr>
        <w:t>.” Here the royal “decree” becomes a communal confession that life itself rests on God’s statute, a subtle post-monarchic re-appropriation of enthronement language.</w:t>
      </w:r>
    </w:p>
    <w:p w14:paraId="14D0BE26" w14:textId="77777777" w:rsidR="00072D7B" w:rsidRDefault="00E535E0">
      <w:pPr>
        <w:pStyle w:val="Heading4"/>
      </w:pPr>
      <w:r>
        <w:lastRenderedPageBreak/>
        <w:t>Phrases</w:t>
      </w:r>
    </w:p>
    <w:p w14:paraId="60EFA656" w14:textId="77777777" w:rsidR="00072D7B" w:rsidRDefault="00E535E0">
      <w:pPr>
        <w:pStyle w:val="ListBullet"/>
      </w:pPr>
      <w:r>
        <w:rPr>
          <w:rFonts w:ascii="Aptos" w:hAnsi="Aptos"/>
        </w:rPr>
        <w:t xml:space="preserve">Psalm 2:4, </w:t>
      </w:r>
      <w:r>
        <w:rPr>
          <w:rFonts w:ascii="Aptos" w:hAnsi="Aptos"/>
        </w:rPr>
        <w:t>יוֹשֵׁב</w:t>
      </w:r>
      <w:r>
        <w:rPr>
          <w:rFonts w:ascii="Aptos" w:hAnsi="Aptos"/>
        </w:rPr>
        <w:t xml:space="preserve"> </w:t>
      </w:r>
      <w:r>
        <w:rPr>
          <w:rFonts w:ascii="Aptos" w:hAnsi="Aptos"/>
        </w:rPr>
        <w:t>בַשָּׁמַיִם</w:t>
      </w:r>
      <w:r>
        <w:rPr>
          <w:rFonts w:ascii="Aptos" w:hAnsi="Aptos"/>
        </w:rPr>
        <w:t xml:space="preserve"> (“He who sits in the heavens”). In Edot HaMizrach Selichot for Asarah b’Tevet, a piyyut pleads: “</w:t>
      </w:r>
      <w:r>
        <w:rPr>
          <w:rFonts w:ascii="Aptos" w:hAnsi="Aptos"/>
        </w:rPr>
        <w:t>יוֹשֵׁב</w:t>
      </w:r>
      <w:r>
        <w:rPr>
          <w:rFonts w:ascii="Aptos" w:hAnsi="Aptos"/>
        </w:rPr>
        <w:t xml:space="preserve"> </w:t>
      </w:r>
      <w:r>
        <w:rPr>
          <w:rFonts w:ascii="Aptos" w:hAnsi="Aptos"/>
        </w:rPr>
        <w:t>בַשָּׁמַיִם</w:t>
      </w:r>
      <w:r>
        <w:rPr>
          <w:rFonts w:ascii="Aptos" w:hAnsi="Aptos"/>
        </w:rPr>
        <w:t xml:space="preserve">, </w:t>
      </w:r>
      <w:r>
        <w:rPr>
          <w:rFonts w:ascii="Aptos" w:hAnsi="Aptos"/>
        </w:rPr>
        <w:t>שְׁעֵה</w:t>
      </w:r>
      <w:r>
        <w:rPr>
          <w:rFonts w:ascii="Aptos" w:hAnsi="Aptos"/>
        </w:rPr>
        <w:t xml:space="preserve"> </w:t>
      </w:r>
      <w:r>
        <w:rPr>
          <w:rFonts w:ascii="Aptos" w:hAnsi="Aptos"/>
        </w:rPr>
        <w:t>בָּאֵי</w:t>
      </w:r>
      <w:r>
        <w:rPr>
          <w:rFonts w:ascii="Aptos" w:hAnsi="Aptos"/>
        </w:rPr>
        <w:t xml:space="preserve"> </w:t>
      </w:r>
      <w:r>
        <w:rPr>
          <w:rFonts w:ascii="Aptos" w:hAnsi="Aptos"/>
        </w:rPr>
        <w:t>בָאֵשׁ</w:t>
      </w:r>
      <w:r>
        <w:rPr>
          <w:rFonts w:ascii="Aptos" w:hAnsi="Aptos"/>
        </w:rPr>
        <w:t xml:space="preserve"> </w:t>
      </w:r>
      <w:r>
        <w:rPr>
          <w:rFonts w:ascii="Aptos" w:hAnsi="Aptos"/>
        </w:rPr>
        <w:t>וּבַמָּיִם</w:t>
      </w:r>
      <w:r>
        <w:rPr>
          <w:rFonts w:ascii="Aptos" w:hAnsi="Aptos"/>
        </w:rPr>
        <w:t>,” transforming derisive laughter into an address for mercy from the heavenly throne.</w:t>
      </w:r>
    </w:p>
    <w:p w14:paraId="64CD2022" w14:textId="77777777" w:rsidR="00072D7B" w:rsidRDefault="00E535E0">
      <w:pPr>
        <w:pStyle w:val="BodySans"/>
      </w:pPr>
      <w:r>
        <w:t>The liturgical uses are interpretive: Psalm 2 is not mere royal propaganda; it is a standing lesson in sovereignty and refuge. On Yom Kippur, the “decree” is the decree of life; in fast-day penitence, the one “who sits in the heavens” is implored to listen; in daily prayer, human tumult is set before the God who answers.</w:t>
      </w:r>
    </w:p>
    <w:p w14:paraId="2C56B1F6" w14:textId="77777777" w:rsidR="00072D7B" w:rsidRDefault="00E535E0">
      <w:pPr>
        <w:pStyle w:val="Heading2"/>
      </w:pPr>
      <w:r>
        <w:t>Verse-by-Verse Commentary</w:t>
      </w:r>
    </w:p>
    <w:p w14:paraId="14F5FCA4" w14:textId="77777777" w:rsidR="00072D7B" w:rsidRDefault="00E535E0">
      <w:pPr>
        <w:pStyle w:val="Heading3"/>
      </w:pPr>
      <w:r>
        <w:t>Verse 1</w:t>
      </w:r>
    </w:p>
    <w:p w14:paraId="3BE9E3FD" w14:textId="77777777" w:rsidR="00072D7B" w:rsidRDefault="00E535E0">
      <w:pPr>
        <w:pStyle w:val="BodySans"/>
        <w:jc w:val="right"/>
      </w:pPr>
      <w:r>
        <w:rPr>
          <w:rFonts w:cs="Aptos"/>
          <w:szCs w:val="24"/>
          <w:rtl/>
        </w:rPr>
        <w:t>לָ֭מָּה רָגְשׁ֣וּ גוֹיִ֑ם וּ֝לְאֻמִּ֗ים יֶהְגּוּ־רִֽיק׃</w:t>
      </w:r>
    </w:p>
    <w:p w14:paraId="16DC3488" w14:textId="77777777" w:rsidR="00072D7B" w:rsidRDefault="00E535E0">
      <w:pPr>
        <w:pStyle w:val="BodySans"/>
      </w:pPr>
      <w:r>
        <w:t>The double “Why?”—</w:t>
      </w:r>
      <w:r>
        <w:t>לָמָּה</w:t>
      </w:r>
      <w:r>
        <w:t xml:space="preserve"> </w:t>
      </w:r>
      <w:r>
        <w:t>רָגְשׁוּ</w:t>
      </w:r>
      <w:r>
        <w:t xml:space="preserve"> </w:t>
      </w:r>
      <w:r>
        <w:t>גוֹיִם</w:t>
      </w:r>
      <w:r>
        <w:t xml:space="preserve"> // </w:t>
      </w:r>
      <w:r>
        <w:t>וּלְאֻמִּים</w:t>
      </w:r>
      <w:r>
        <w:t xml:space="preserve"> </w:t>
      </w:r>
      <w:r>
        <w:t>יֶהְגּוּ־רִיק</w:t>
      </w:r>
      <w:r>
        <w:t xml:space="preserve">—announces incredulity, not inquiry. </w:t>
      </w:r>
      <w:r>
        <w:t>רָגְשׁוּ</w:t>
      </w:r>
      <w:r>
        <w:t xml:space="preserve"> (ragshu) is a rare verb for turbulent assembling (cf. Ps 55:15 </w:t>
      </w:r>
      <w:r>
        <w:t>בְּרָגֶשׁ</w:t>
      </w:r>
      <w:r>
        <w:t xml:space="preserve">, “throng”). The parallel verb </w:t>
      </w:r>
      <w:r>
        <w:t>הָגָה</w:t>
      </w:r>
      <w:r>
        <w:t xml:space="preserve"> (here </w:t>
      </w:r>
      <w:r>
        <w:t>יֶהְגּוּ</w:t>
      </w:r>
      <w:r>
        <w:t xml:space="preserve">) usually marks murmuring meditation (Ps 1:2), but with </w:t>
      </w:r>
      <w:r>
        <w:t>רִיק</w:t>
      </w:r>
      <w:r>
        <w:t xml:space="preserve"> (“emptiness, vanity”) it becomes the susurrus of conspiracy. Read aloud, the murmuring is audible; the cola enact a contrast between the noisy crowd (“ragshu”) and sotto voce plotting (“yehgu-riq”). The scope widens from </w:t>
      </w:r>
      <w:r>
        <w:t>גוֹיִם</w:t>
      </w:r>
      <w:r>
        <w:t xml:space="preserve"> (“n</w:t>
      </w:r>
      <w:r>
        <w:t xml:space="preserve">ations,” political units) to </w:t>
      </w:r>
      <w:r>
        <w:t>לְאֻמִּים</w:t>
      </w:r>
      <w:r>
        <w:t xml:space="preserve"> (“peoples,” ethnic/cultural groupings), a classic synonymous parallelism that expands the field.</w:t>
      </w:r>
    </w:p>
    <w:p w14:paraId="18D81429" w14:textId="77777777" w:rsidR="00072D7B" w:rsidRDefault="00E535E0">
      <w:pPr>
        <w:pStyle w:val="BodySans"/>
      </w:pPr>
      <w:r>
        <w:t>Biblical figurative patterns sharpen the verse’s charge. The “raging” of peoples is frequently likened to a stormy sea God alone can still (Psalm 65:8: “He stills the roaring of seas… and the tumult of peoples”), making the opening line a moralized meteorology: human unrest as chaos. The rabbinic imagination takes it eschatologically. In Avodah Zarah 3a the nations, having toyed with commandments, mutter precisely these words when the messianic reality dawns—and are met with divine laughter. Medieval Jewish</w:t>
      </w:r>
      <w:r>
        <w:t xml:space="preserve"> interpreters also allow a nearer horizon: David’s early reign, with Philistine coalitions massing (2 Samuel 5:17–25), fits the scene.</w:t>
      </w:r>
    </w:p>
    <w:p w14:paraId="348A18B3" w14:textId="77777777" w:rsidR="00072D7B" w:rsidRDefault="00E535E0">
      <w:pPr>
        <w:pStyle w:val="BodySans"/>
      </w:pPr>
      <w:r>
        <w:t>Stylistically, the line models the dynamics of Hebrew parallelism (“A is so—and what’s more, B”). The second colon intensifies and specifies the first: from visible tumult to calculated scheming, and from vague unrest to the judgment “emptiness.” The poet’s rhetoric turns “Why?” into a verdict: such plotting is not only doomed; it is vacuous.</w:t>
      </w:r>
    </w:p>
    <w:p w14:paraId="30E26086" w14:textId="77777777" w:rsidR="00072D7B" w:rsidRDefault="00E535E0">
      <w:pPr>
        <w:pStyle w:val="BodySans"/>
      </w:pPr>
      <w:r>
        <w:t xml:space="preserve">Finally, Psalm 2’s first word, “Why,” answers Psalm 1’s confident opening, </w:t>
      </w:r>
      <w:r>
        <w:t>אַשְׁרֵי</w:t>
      </w:r>
      <w:r>
        <w:t xml:space="preserve"> (“Happy”). One path is thick with counsel and yields fruit in season; the other is full of muttering and </w:t>
      </w:r>
      <w:r>
        <w:lastRenderedPageBreak/>
        <w:t>ends in windblown chaff. The editorial seam between Psalms 1–2 makes v. 1 a wisdom test disguised as geopolitics.</w:t>
      </w:r>
    </w:p>
    <w:p w14:paraId="779DB1D1" w14:textId="77777777" w:rsidR="00072D7B" w:rsidRDefault="00E535E0">
      <w:pPr>
        <w:pStyle w:val="BodySans"/>
      </w:pPr>
      <w:r>
        <w:t>—</w:t>
      </w:r>
    </w:p>
    <w:p w14:paraId="77BBA784" w14:textId="77777777" w:rsidR="00072D7B" w:rsidRDefault="00E535E0">
      <w:pPr>
        <w:pStyle w:val="Heading3"/>
      </w:pPr>
      <w:r>
        <w:t>Verse 2</w:t>
      </w:r>
    </w:p>
    <w:p w14:paraId="7516783F" w14:textId="77777777" w:rsidR="00072D7B" w:rsidRDefault="00E535E0">
      <w:pPr>
        <w:pStyle w:val="BodySans"/>
        <w:jc w:val="right"/>
      </w:pPr>
      <w:r>
        <w:rPr>
          <w:rFonts w:cs="Aptos"/>
          <w:szCs w:val="24"/>
          <w:rtl/>
        </w:rPr>
        <w:t>יִ֥תְיַצְּב֨וּ ׀ מַלְכֵי־אֶ֗רֶץ וְרוֹזְנִ֥ים נֽוֹסְדוּ־יָ֑חַד עַל־ה׳ וְעַל־מְשִׁיחֽוֹ׃</w:t>
      </w:r>
    </w:p>
    <w:p w14:paraId="7A100E7B" w14:textId="77777777" w:rsidR="00072D7B" w:rsidRDefault="00E535E0">
      <w:pPr>
        <w:pStyle w:val="BodySans"/>
      </w:pPr>
      <w:r>
        <w:t>יִתְיַצְּבוּ</w:t>
      </w:r>
      <w:r>
        <w:t xml:space="preserve"> </w:t>
      </w:r>
      <w:r>
        <w:t>מַלְכֵי־אֶרֶץ</w:t>
      </w:r>
      <w:r>
        <w:t xml:space="preserve"> // </w:t>
      </w:r>
      <w:r>
        <w:t>וְרוֹזְנִים</w:t>
      </w:r>
      <w:r>
        <w:t xml:space="preserve"> </w:t>
      </w:r>
      <w:r>
        <w:t>נוֹסְדוּ־יָחַד</w:t>
      </w:r>
      <w:r>
        <w:t xml:space="preserve">: the leaders’ posture and process are telling. </w:t>
      </w:r>
      <w:r>
        <w:t>יִתְיַצְּבוּ</w:t>
      </w:r>
      <w:r>
        <w:t xml:space="preserve"> (“take their stand”) evokes formal battle array (cf. 1 Sam 17:16). </w:t>
      </w:r>
      <w:r>
        <w:t>רוֹזְנִים</w:t>
      </w:r>
      <w:r>
        <w:t xml:space="preserve"> (“regents/nobles”) is a title of weight (cf. Prov 8:15; Isaiah 40:23), and </w:t>
      </w:r>
      <w:r>
        <w:t>נוֹסְדוּ</w:t>
      </w:r>
      <w:r>
        <w:t xml:space="preserve"> (Niphal of </w:t>
      </w:r>
      <w:r>
        <w:t>יסד</w:t>
      </w:r>
      <w:r>
        <w:t xml:space="preserve">) likely plays on </w:t>
      </w:r>
      <w:r>
        <w:t>סוֹד</w:t>
      </w:r>
      <w:r>
        <w:t xml:space="preserve"> (“counsel, secret council”): “they are founded together” becomes “they conspire together,” a dark parody of constitution-making. The target is doubled: </w:t>
      </w:r>
      <w:r>
        <w:t>עַל־ה׳</w:t>
      </w:r>
      <w:r>
        <w:t xml:space="preserve"> </w:t>
      </w:r>
      <w:r>
        <w:t>וְעַל־מְשִׁיחוֹ</w:t>
      </w:r>
      <w:r>
        <w:t>—“against YHWH and against his anoi</w:t>
      </w:r>
      <w:r>
        <w:t>nted.” The parallel prepositions make the theology explicit: to resist the Davidic king is to resist the God who installed him.</w:t>
      </w:r>
    </w:p>
    <w:p w14:paraId="55087FCA" w14:textId="77777777" w:rsidR="00072D7B" w:rsidRDefault="00E535E0">
      <w:pPr>
        <w:pStyle w:val="BodySans"/>
      </w:pPr>
      <w:r>
        <w:t xml:space="preserve">Tradition puts flesh on the line. Rashi takes the verse historically, as the Philistine “satraps” posturing as kings in their own pride; Radak notes the same. Ibn Ezra reads “nosdu” from </w:t>
      </w:r>
      <w:r>
        <w:t>סוֹד</w:t>
      </w:r>
      <w:r>
        <w:t>, reinforcing the picture of a clandestine caucus. The Talmud (Avodah Zarah 3a) globalizes the scene: the nations’ last act before judgment is to coordinate rebellion “against YHWH and against his anointed.”</w:t>
      </w:r>
    </w:p>
    <w:p w14:paraId="421B5302" w14:textId="77777777" w:rsidR="00072D7B" w:rsidRDefault="00E535E0">
      <w:pPr>
        <w:pStyle w:val="BodySans"/>
      </w:pPr>
      <w:r>
        <w:t>Theologically, “his anointed” (</w:t>
      </w:r>
      <w:r>
        <w:rPr>
          <w:rFonts w:cs="Aptos"/>
          <w:szCs w:val="24"/>
          <w:rtl/>
        </w:rPr>
        <w:t>מְשִׁיחוֹ</w:t>
      </w:r>
      <w:r>
        <w:t>) is a royal, not yet eschatological, term: the king anointed by a prophet (cf. 1 Sam 16). Later Jewish and Christian readings will hear more; the psalm’s own rhetoric insists first on the political point that the monarchy is a theological institution. The “merism” (nations/peoples → kings/regents) creates totality: revolt is comprehensive—from street to palace.</w:t>
      </w:r>
    </w:p>
    <w:p w14:paraId="2D4C3969" w14:textId="77777777" w:rsidR="00072D7B" w:rsidRDefault="00E535E0">
      <w:pPr>
        <w:pStyle w:val="BodySans"/>
      </w:pPr>
      <w:r>
        <w:t>Poetically, the colon-pair moves from stance to strategy, from public posture to secret plotting. The “A is so—and what’s more, B” rhythm sets up a contrast with the divine response in vv. 4–6: while human rulers “stand” and “found” their plans, the enthroned One simply “sits” and speaks. Their posture is readiness; His is sovereign repose.</w:t>
      </w:r>
    </w:p>
    <w:p w14:paraId="60434822" w14:textId="77777777" w:rsidR="00072D7B" w:rsidRDefault="00E535E0">
      <w:pPr>
        <w:pStyle w:val="BodySans"/>
      </w:pPr>
      <w:r>
        <w:t>—</w:t>
      </w:r>
    </w:p>
    <w:p w14:paraId="10333C23" w14:textId="77777777" w:rsidR="00072D7B" w:rsidRDefault="00E535E0">
      <w:pPr>
        <w:pStyle w:val="Heading3"/>
      </w:pPr>
      <w:r>
        <w:t>Verse 3</w:t>
      </w:r>
    </w:p>
    <w:p w14:paraId="1896C0E4" w14:textId="77777777" w:rsidR="00072D7B" w:rsidRDefault="00E535E0">
      <w:pPr>
        <w:pStyle w:val="BodySans"/>
        <w:jc w:val="right"/>
      </w:pPr>
      <w:r>
        <w:rPr>
          <w:rFonts w:cs="Aptos"/>
          <w:szCs w:val="24"/>
          <w:rtl/>
        </w:rPr>
        <w:t>נְֽ֭נַתְּקָה אֶת־מֽוֹסְרוֹתֵ֑ימוֹ וְנַשְׁלִ֖יכָה מִמֶּ֣נּוּ עֲבֹתֵֽימוֹ׃</w:t>
      </w:r>
    </w:p>
    <w:p w14:paraId="6A72AAD1" w14:textId="77777777" w:rsidR="00072D7B" w:rsidRDefault="00E535E0">
      <w:pPr>
        <w:pStyle w:val="BodySans"/>
      </w:pPr>
      <w:r>
        <w:t>נְּנַתְּקָה</w:t>
      </w:r>
      <w:r>
        <w:t xml:space="preserve"> </w:t>
      </w:r>
      <w:r>
        <w:t>אֶת־מוֹסְרוֹתֵימוֹ</w:t>
      </w:r>
      <w:r>
        <w:t xml:space="preserve"> // </w:t>
      </w:r>
      <w:r>
        <w:t>וְנַשְׁלִיכָה</w:t>
      </w:r>
      <w:r>
        <w:t xml:space="preserve"> </w:t>
      </w:r>
      <w:r>
        <w:t>מִמֶּנּוּ</w:t>
      </w:r>
      <w:r>
        <w:t xml:space="preserve"> </w:t>
      </w:r>
      <w:r>
        <w:t>עֲבֹתֵימוֹ</w:t>
      </w:r>
      <w:r>
        <w:t xml:space="preserve">: the rebels’ own chant exposes the heart of revolt. The cohortatives (“let us break… let us throw”) carry volition. The nouns are doublets: </w:t>
      </w:r>
      <w:r>
        <w:t>מוֹסְרוֹת</w:t>
      </w:r>
      <w:r>
        <w:t xml:space="preserve"> (from </w:t>
      </w:r>
      <w:r>
        <w:t>מוּסָר</w:t>
      </w:r>
      <w:r>
        <w:t xml:space="preserve">, “discipline, bonds”) and </w:t>
      </w:r>
      <w:r>
        <w:t>עֲבֹתוֹת</w:t>
      </w:r>
      <w:r>
        <w:t xml:space="preserve"> (“thick ropes”). This is hendiadys: two near-synonyms intensify one idea—cast off all constraint. Scripture </w:t>
      </w:r>
      <w:r>
        <w:lastRenderedPageBreak/>
        <w:t>regularly uses these images for covenant violation. Israel once “broke” these bonds (Jeremiah 2:20; 5:5); here the nations dramatize the same impuls</w:t>
      </w:r>
      <w:r>
        <w:t>e. The metaphor spills from treaty law into morality: rejecting instruction (</w:t>
      </w:r>
      <w:r>
        <w:rPr>
          <w:rFonts w:cs="Aptos"/>
          <w:szCs w:val="24"/>
          <w:rtl/>
        </w:rPr>
        <w:t>מוּסָר</w:t>
      </w:r>
      <w:r>
        <w:t>) is indistinguishable from cutting a political yoke.</w:t>
      </w:r>
    </w:p>
    <w:p w14:paraId="4C0FF269" w14:textId="77777777" w:rsidR="00072D7B" w:rsidRDefault="00E535E0">
      <w:pPr>
        <w:pStyle w:val="BodySans"/>
      </w:pPr>
      <w:r>
        <w:t>Medieval readers hear both dimensions. Radak ties the “bonds” to Israel’s unity under David; Malbim distinguishes “reasonable commandments” and “supra-rational decrees,” imagining the rebels determined to throw off both. The figurative-language pattern is wider: an “iron yoke” (Deut 28:48) denotes crushing oppression; “break the yoke” (Gen 27:40; Lev 26:13) means emancipation. Psalm 2 turns that stock figure on its head: the yoke they seek to shed is not tyranny but the just order of God’s rule.</w:t>
      </w:r>
    </w:p>
    <w:p w14:paraId="1AD381DC" w14:textId="77777777" w:rsidR="00072D7B" w:rsidRDefault="00E535E0">
      <w:pPr>
        <w:pStyle w:val="BodySans"/>
      </w:pPr>
      <w:r>
        <w:t>The rhetoric also prepares the pivot in v. 10. “Break the bonds” (</w:t>
      </w:r>
      <w:r>
        <w:rPr>
          <w:rFonts w:cs="Aptos"/>
          <w:szCs w:val="24"/>
          <w:rtl/>
        </w:rPr>
        <w:t>מוֹסְרוֹת</w:t>
      </w:r>
      <w:r>
        <w:t>) will be answered by “accept discipline” (</w:t>
      </w:r>
      <w:r>
        <w:t>הִוָּסְרוּ</w:t>
      </w:r>
      <w:r>
        <w:t xml:space="preserve">; Niphal of </w:t>
      </w:r>
      <w:r>
        <w:t>יסר</w:t>
      </w:r>
      <w:r>
        <w:t>) in the wisdom appeal. The same root that the rebels reject becomes their only hope. This is one of the psalm’s artful symmetries: political counsel escalates into covenant pedagogy—or it ends in shards.</w:t>
      </w:r>
    </w:p>
    <w:p w14:paraId="3F2994FC" w14:textId="77777777" w:rsidR="00072D7B" w:rsidRDefault="00E535E0">
      <w:pPr>
        <w:pStyle w:val="BodySans"/>
      </w:pPr>
      <w:r>
        <w:t>—</w:t>
      </w:r>
    </w:p>
    <w:p w14:paraId="39456D00" w14:textId="77777777" w:rsidR="00072D7B" w:rsidRDefault="00E535E0">
      <w:pPr>
        <w:pStyle w:val="Heading3"/>
      </w:pPr>
      <w:r>
        <w:t>Verse 4</w:t>
      </w:r>
    </w:p>
    <w:p w14:paraId="37737098" w14:textId="77777777" w:rsidR="00072D7B" w:rsidRDefault="00E535E0">
      <w:pPr>
        <w:pStyle w:val="BodySans"/>
        <w:jc w:val="right"/>
      </w:pPr>
      <w:r>
        <w:rPr>
          <w:rFonts w:cs="Aptos"/>
          <w:szCs w:val="24"/>
          <w:rtl/>
        </w:rPr>
        <w:t>יוֹשֵׁ֣ב בַּשָּׁמַ֣יִם יִשְׂחָ֑ק אֲ֝דֹנָ֗י יִלְעַג־לָֽמוֹ׃</w:t>
      </w:r>
    </w:p>
    <w:p w14:paraId="62B337A8" w14:textId="77777777" w:rsidR="00072D7B" w:rsidRDefault="00E535E0">
      <w:pPr>
        <w:pStyle w:val="BodySans"/>
      </w:pPr>
      <w:r>
        <w:t>יוֹשֵׁב</w:t>
      </w:r>
      <w:r>
        <w:t xml:space="preserve"> </w:t>
      </w:r>
      <w:r>
        <w:t>בַשָּׁמַיִם</w:t>
      </w:r>
      <w:r>
        <w:t xml:space="preserve"> </w:t>
      </w:r>
      <w:r>
        <w:t>יִשְׂחָק</w:t>
      </w:r>
      <w:r>
        <w:t xml:space="preserve"> // </w:t>
      </w:r>
      <w:r>
        <w:t>אֲדֹנָי</w:t>
      </w:r>
      <w:r>
        <w:t xml:space="preserve"> </w:t>
      </w:r>
      <w:r>
        <w:t>יִלְעַג־לָמוֹ</w:t>
      </w:r>
      <w:r>
        <w:t>. The psalm models spatial theology. While kings “stand” (v. 2), God “sits” (</w:t>
      </w:r>
      <w:r>
        <w:rPr>
          <w:rFonts w:cs="Aptos"/>
          <w:szCs w:val="24"/>
          <w:rtl/>
        </w:rPr>
        <w:t>יושב</w:t>
      </w:r>
      <w:r>
        <w:t xml:space="preserve">) in the heavens—judicial poise rather than panic. Then, laughter. Not delight but scorn. The verb pair amplifies: </w:t>
      </w:r>
      <w:r>
        <w:t>שׂחק</w:t>
      </w:r>
      <w:r>
        <w:t xml:space="preserve"> (“laugh”) broadens to </w:t>
      </w:r>
      <w:r>
        <w:t>לָעַג</w:t>
      </w:r>
      <w:r>
        <w:t xml:space="preserve"> (“mock, deride”), the response Wisdom reserves for fools (Prov 1:26). Psalm 59:9 uses the same lexicon for divine superiority over the nations. This anthropomorphism troubled some readers; Radak already explains it “by way of metaphor,” </w:t>
      </w:r>
      <w:r>
        <w:t>as the human response to an opponent beneath contempt.</w:t>
      </w:r>
    </w:p>
    <w:p w14:paraId="106B09F7" w14:textId="77777777" w:rsidR="00072D7B" w:rsidRDefault="00E535E0">
      <w:pPr>
        <w:pStyle w:val="BodySans"/>
      </w:pPr>
      <w:r>
        <w:t>The function is rhetorical and theological. Rhetorically, it punctures the rebels’ gravitas; the laughter does what a syllogism cannot. Theologically, it affirms that no conspiracy can alter the created and covenantal order. Ancient Near Eastern texts occasionally depict divine laughter at defeated chaos; Israel’s psalm takes that trope into politics: it is not only cosmic monsters but human empires that are laughable when they shake the fist at heaven.</w:t>
      </w:r>
    </w:p>
    <w:p w14:paraId="756A0BB7" w14:textId="77777777" w:rsidR="00072D7B" w:rsidRDefault="00E535E0">
      <w:pPr>
        <w:pStyle w:val="BodySans"/>
      </w:pPr>
      <w:r>
        <w:t>Liturgically, later tradition sometimes recasts the tone (e.g., in fasting-day Selichot: “</w:t>
      </w:r>
      <w:r>
        <w:t>יוֹשֵׁב</w:t>
      </w:r>
      <w:r>
        <w:t xml:space="preserve"> </w:t>
      </w:r>
      <w:r>
        <w:t>בַשָּׁמַיִם</w:t>
      </w:r>
      <w:r>
        <w:t xml:space="preserve">, </w:t>
      </w:r>
      <w:r>
        <w:t>שְׁעֵה</w:t>
      </w:r>
      <w:r>
        <w:t xml:space="preserve"> </w:t>
      </w:r>
      <w:r>
        <w:t>בָּאֵי</w:t>
      </w:r>
      <w:r>
        <w:t xml:space="preserve"> </w:t>
      </w:r>
      <w:r>
        <w:t>בָאֵשׁ</w:t>
      </w:r>
      <w:r>
        <w:t xml:space="preserve"> </w:t>
      </w:r>
      <w:r>
        <w:t>וּבַמָּיִם</w:t>
      </w:r>
      <w:r>
        <w:t>”), turning the enthroned laughter into a plea for attention. That reuse is itself a midrash: the One who scoffs at hubris listens to distress.</w:t>
      </w:r>
    </w:p>
    <w:p w14:paraId="00505429" w14:textId="77777777" w:rsidR="00072D7B" w:rsidRDefault="00E535E0">
      <w:pPr>
        <w:pStyle w:val="BodySans"/>
      </w:pPr>
      <w:r>
        <w:t>—</w:t>
      </w:r>
    </w:p>
    <w:p w14:paraId="24B952EE" w14:textId="77777777" w:rsidR="00072D7B" w:rsidRDefault="00E535E0">
      <w:pPr>
        <w:pStyle w:val="Heading3"/>
      </w:pPr>
      <w:r>
        <w:lastRenderedPageBreak/>
        <w:t>Verse 5</w:t>
      </w:r>
    </w:p>
    <w:p w14:paraId="74AF4A7A" w14:textId="77777777" w:rsidR="00072D7B" w:rsidRDefault="00E535E0">
      <w:pPr>
        <w:pStyle w:val="BodySans"/>
        <w:jc w:val="right"/>
      </w:pPr>
      <w:r>
        <w:rPr>
          <w:rFonts w:cs="Aptos"/>
          <w:szCs w:val="24"/>
          <w:rtl/>
        </w:rPr>
        <w:t>אָ֤ז יְדַבֵּ֣ר אֵלֵ֣ימוֹ בְאַפּ֑וֹ וּֽבַחֲרוֹנ֥וֹ יְבַהֲלֵֽמוֹ׃</w:t>
      </w:r>
    </w:p>
    <w:p w14:paraId="03C926A1" w14:textId="77777777" w:rsidR="00072D7B" w:rsidRDefault="00E535E0">
      <w:pPr>
        <w:pStyle w:val="BodySans"/>
      </w:pPr>
      <w:r>
        <w:t>אָז</w:t>
      </w:r>
      <w:r>
        <w:t xml:space="preserve"> </w:t>
      </w:r>
      <w:r>
        <w:t>יְדַבֵּר</w:t>
      </w:r>
      <w:r>
        <w:t xml:space="preserve"> </w:t>
      </w:r>
      <w:r>
        <w:t>אֵלֵימוֹ</w:t>
      </w:r>
      <w:r>
        <w:t xml:space="preserve"> </w:t>
      </w:r>
      <w:r>
        <w:t>בְאַפּוֹ</w:t>
      </w:r>
      <w:r>
        <w:t xml:space="preserve"> // </w:t>
      </w:r>
      <w:r>
        <w:t>וּבַחֲרוֹנוֹ</w:t>
      </w:r>
      <w:r>
        <w:t xml:space="preserve"> </w:t>
      </w:r>
      <w:r>
        <w:t>יְבַהֲלֵמוֹ</w:t>
      </w:r>
      <w:r>
        <w:t xml:space="preserve">. “Then he speaks to them in his anger; in his wrath he terrifies them.” The adverb </w:t>
      </w:r>
      <w:r>
        <w:t>אָז</w:t>
      </w:r>
      <w:r>
        <w:t xml:space="preserve"> marks the pivot from scorn to speech, and the result of the speech is terror. Some medievals (citing 2 Kgs 11:1; Hos 13:14) read </w:t>
      </w:r>
      <w:r>
        <w:t>יְדַבֵּר</w:t>
      </w:r>
      <w:r>
        <w:t xml:space="preserve"> as “he will destroy” (from </w:t>
      </w:r>
      <w:r>
        <w:t>דֶּבֶר</w:t>
      </w:r>
      <w:r>
        <w:t>, plague), but the parallelism favors literal “speak”: God’s word is itself an act. “Anger” (</w:t>
      </w:r>
      <w:r>
        <w:t>אַף</w:t>
      </w:r>
      <w:r>
        <w:t>, lit. nose) and “wrath” (</w:t>
      </w:r>
      <w:r>
        <w:t>חָרוֹן</w:t>
      </w:r>
      <w:r>
        <w:t xml:space="preserve">, burning) form a hendiadys—two terms for one consuming response. The </w:t>
      </w:r>
      <w:r>
        <w:t xml:space="preserve">effect verb, </w:t>
      </w:r>
      <w:r>
        <w:t>יְבַהֲלֵם</w:t>
      </w:r>
      <w:r>
        <w:t xml:space="preserve"> (piel of </w:t>
      </w:r>
      <w:r>
        <w:t>בהל</w:t>
      </w:r>
      <w:r>
        <w:t>), means to panic, dismay, or throw into confusion.</w:t>
      </w:r>
    </w:p>
    <w:p w14:paraId="56DBAF26" w14:textId="77777777" w:rsidR="00072D7B" w:rsidRDefault="00E535E0">
      <w:pPr>
        <w:pStyle w:val="BodySans"/>
      </w:pPr>
      <w:r>
        <w:t>The chiastic flow underlines the performative force of divine speech: word → anger → terror → blazing wrath. What word terrifies? The content is disclosed in v. 6: installation. The nations’ attempt to “cast off” becomes the occasion for God to “set in place.” The psalm’s theology of language is simple and profound: the God who speaks worlds into being enthrones kings by declaration—and unmakes conspiracies with a sentence.</w:t>
      </w:r>
    </w:p>
    <w:p w14:paraId="44DB3BA4" w14:textId="77777777" w:rsidR="00072D7B" w:rsidRDefault="00E535E0">
      <w:pPr>
        <w:pStyle w:val="BodySans"/>
      </w:pPr>
      <w:r>
        <w:t>—</w:t>
      </w:r>
    </w:p>
    <w:p w14:paraId="298BDF91" w14:textId="77777777" w:rsidR="00072D7B" w:rsidRDefault="00E535E0">
      <w:pPr>
        <w:pStyle w:val="Heading3"/>
      </w:pPr>
      <w:r>
        <w:t>Verse 6</w:t>
      </w:r>
    </w:p>
    <w:p w14:paraId="760C811C" w14:textId="77777777" w:rsidR="00072D7B" w:rsidRDefault="00E535E0">
      <w:pPr>
        <w:pStyle w:val="BodySans"/>
        <w:jc w:val="right"/>
      </w:pPr>
      <w:r>
        <w:rPr>
          <w:rFonts w:cs="Aptos"/>
          <w:szCs w:val="24"/>
          <w:rtl/>
        </w:rPr>
        <w:t>וַ֭אֲנִי נָסַ֣כְתִּי מַלְכִּ֑י עַל־צִ֝יּ֗וֹן הַר־קׇדְשִֽׁי׃</w:t>
      </w:r>
    </w:p>
    <w:p w14:paraId="58C1FB4B" w14:textId="77777777" w:rsidR="00072D7B" w:rsidRDefault="00E535E0">
      <w:pPr>
        <w:pStyle w:val="BodySans"/>
      </w:pPr>
      <w:r>
        <w:t>וַאֲנִי</w:t>
      </w:r>
      <w:r>
        <w:t xml:space="preserve"> </w:t>
      </w:r>
      <w:r>
        <w:t>נָסַכְתִּי</w:t>
      </w:r>
      <w:r>
        <w:t xml:space="preserve"> </w:t>
      </w:r>
      <w:r>
        <w:t>מַלְכִּי</w:t>
      </w:r>
      <w:r>
        <w:t xml:space="preserve"> // </w:t>
      </w:r>
      <w:r>
        <w:t>עַל־צִיּוֹן</w:t>
      </w:r>
      <w:r>
        <w:t xml:space="preserve"> </w:t>
      </w:r>
      <w:r>
        <w:t>הַר־קׇדְשִׁי</w:t>
      </w:r>
      <w:r>
        <w:t>. The emphatic pronoun (</w:t>
      </w:r>
      <w:r>
        <w:t>ואני</w:t>
      </w:r>
      <w:r>
        <w:t xml:space="preserve">, “But I”) stands over against “they”: their stance is council; His is appointment. The verb </w:t>
      </w:r>
      <w:r>
        <w:t>נָסַכְתִּי</w:t>
      </w:r>
      <w:r>
        <w:t xml:space="preserve"> is a jewel. In BDB and cognates it can mean “pour a libation,” “cast metal,” or “install.” The resonance is liturgical: enthronement is consecration, perhaps even imagined as poured-out oil (cf. the iconography of anointing). “My king” is possessive: the monarchy is not autonomous; it is divine property and agency.</w:t>
      </w:r>
    </w:p>
    <w:p w14:paraId="24D24A48" w14:textId="77777777" w:rsidR="00072D7B" w:rsidRDefault="00E535E0">
      <w:pPr>
        <w:pStyle w:val="BodySans"/>
      </w:pPr>
      <w:r>
        <w:t>“Zion, my holy mountain” anchors the installation in place. This is theological geography: the cosmic decree is local in Jerusalem. Psalm 3:5 will echo, “He answers me from his holy mountain.” The mountain is not magic; it is the point where earthly worship and divine kingship meet. Radak’s comment is exact: “How can they think to uproot the kingdom from the house of David when I have made him king and installed him!”</w:t>
      </w:r>
    </w:p>
    <w:p w14:paraId="3278846C" w14:textId="77777777" w:rsidR="00072D7B" w:rsidRDefault="00E535E0">
      <w:pPr>
        <w:pStyle w:val="BodySans"/>
      </w:pPr>
      <w:r>
        <w:t>Ancient parallels help: Mesopotamian texts celebrate divine appointment of kings; Psalm 2 adds specificity—Zion—and restraint—adoption, not apotheosis. The claim is high but bounded: this king is God’s; therefore, opposition to him is opposition to God; therefore, the king is accountable to God’s word.</w:t>
      </w:r>
    </w:p>
    <w:p w14:paraId="547CFC06" w14:textId="77777777" w:rsidR="00072D7B" w:rsidRDefault="00E535E0">
      <w:pPr>
        <w:pStyle w:val="BodySans"/>
      </w:pPr>
      <w:r>
        <w:t>—</w:t>
      </w:r>
    </w:p>
    <w:p w14:paraId="59DD5562" w14:textId="77777777" w:rsidR="00072D7B" w:rsidRDefault="00E535E0">
      <w:pPr>
        <w:pStyle w:val="Heading3"/>
      </w:pPr>
      <w:r>
        <w:lastRenderedPageBreak/>
        <w:t>Verse 7</w:t>
      </w:r>
    </w:p>
    <w:p w14:paraId="1B217D53" w14:textId="77777777" w:rsidR="00072D7B" w:rsidRDefault="00E535E0">
      <w:pPr>
        <w:pStyle w:val="BodySans"/>
        <w:jc w:val="right"/>
      </w:pPr>
      <w:r>
        <w:rPr>
          <w:rFonts w:cs="Aptos"/>
          <w:szCs w:val="24"/>
          <w:rtl/>
        </w:rPr>
        <w:t>אֲסַפְּרָ֗ה אֶֽ֫ל־חֹ֥ק ה׳ אָמַ֘ר־אֵלַ֥י בְּנִ֥י אַ֑תָּה אֲ֝נִ֗י הַיּ֥וֹם יְלִדְתִּֽיךָ׃</w:t>
      </w:r>
    </w:p>
    <w:p w14:paraId="6ED1A221" w14:textId="77777777" w:rsidR="00072D7B" w:rsidRDefault="00E535E0">
      <w:pPr>
        <w:pStyle w:val="BodySans"/>
      </w:pPr>
      <w:r>
        <w:t>אֲסַפְּרָה</w:t>
      </w:r>
      <w:r>
        <w:t xml:space="preserve"> </w:t>
      </w:r>
      <w:r>
        <w:t>אֶל־חֹק</w:t>
      </w:r>
      <w:r>
        <w:t xml:space="preserve"> // </w:t>
      </w:r>
      <w:r>
        <w:t>ה׳</w:t>
      </w:r>
      <w:r>
        <w:t xml:space="preserve"> </w:t>
      </w:r>
      <w:r>
        <w:t>אָמַר</w:t>
      </w:r>
      <w:r>
        <w:t xml:space="preserve"> </w:t>
      </w:r>
      <w:r>
        <w:t>אֵלַי</w:t>
      </w:r>
      <w:r>
        <w:t xml:space="preserve">: </w:t>
      </w:r>
      <w:r>
        <w:t>בְּנִי</w:t>
      </w:r>
      <w:r>
        <w:t xml:space="preserve"> </w:t>
      </w:r>
      <w:r>
        <w:t>אַתָּה</w:t>
      </w:r>
      <w:r>
        <w:t xml:space="preserve">, </w:t>
      </w:r>
      <w:r>
        <w:t>אֲנִי</w:t>
      </w:r>
      <w:r>
        <w:t xml:space="preserve"> </w:t>
      </w:r>
      <w:r>
        <w:t>הַיּוֹם</w:t>
      </w:r>
      <w:r>
        <w:t xml:space="preserve"> </w:t>
      </w:r>
      <w:r>
        <w:t>יְלִדְתִּיךָ</w:t>
      </w:r>
      <w:r>
        <w:t>. The speaker changes: the king reports a “decree” (</w:t>
      </w:r>
      <w:r>
        <w:rPr>
          <w:rFonts w:cs="Aptos"/>
          <w:szCs w:val="24"/>
          <w:rtl/>
        </w:rPr>
        <w:t>חֹק</w:t>
      </w:r>
      <w:r>
        <w:t>), a fixed statute. “I will declare the decree” is as close as the Bible gets to a coronation formula. The content is adoption: “You are my son; today I have begotten you.” In Israel’s idiom, this is covenantal, not biological. Compare 2 Samuel 7:14 (“I will be a father to him”) and Psalm 89:27–28. The temporal “today” locates sonship at enthronement, not eternity; the king becomes “so</w:t>
      </w:r>
      <w:r>
        <w:t>n” by office and obedience.</w:t>
      </w:r>
    </w:p>
    <w:p w14:paraId="7B45C90A" w14:textId="77777777" w:rsidR="00072D7B" w:rsidRDefault="00E535E0">
      <w:pPr>
        <w:pStyle w:val="BodySans"/>
      </w:pPr>
      <w:r>
        <w:t>Medieval commentators already keep both horizons in view. Rashi takes it as Davidic and general (“head over Israel, who are called ‘my firstborn’”); Ibn Ezra observes that the line could also stretch toward the Messiah. The Talmud (Sukkah 52a) imagines a conversation in which God invites the messianic son of David: “Ask of Me,” aligning vv. 7–8 into a single divine-human exchange.</w:t>
      </w:r>
    </w:p>
    <w:p w14:paraId="3F3E8AFB" w14:textId="77777777" w:rsidR="00072D7B" w:rsidRDefault="00E535E0">
      <w:pPr>
        <w:pStyle w:val="BodySans"/>
      </w:pPr>
      <w:r>
        <w:t>Note the editorial effect: vv. 6–7 are a double speech. In v. 6 God declares; in v. 7 the king quotes God declaring. The repetition is a legal strategy. Two witnesses establish the enthronement: the enthroner and the enthroned.</w:t>
      </w:r>
    </w:p>
    <w:p w14:paraId="5D668CE2" w14:textId="77777777" w:rsidR="00072D7B" w:rsidRDefault="00E535E0">
      <w:pPr>
        <w:pStyle w:val="BodySans"/>
      </w:pPr>
      <w:r>
        <w:t>—</w:t>
      </w:r>
    </w:p>
    <w:p w14:paraId="4237A1CD" w14:textId="77777777" w:rsidR="00072D7B" w:rsidRDefault="00E535E0">
      <w:pPr>
        <w:pStyle w:val="Heading3"/>
      </w:pPr>
      <w:r>
        <w:t>Verse 8</w:t>
      </w:r>
    </w:p>
    <w:p w14:paraId="6B471E4C" w14:textId="77777777" w:rsidR="00072D7B" w:rsidRDefault="00E535E0">
      <w:pPr>
        <w:pStyle w:val="BodySans"/>
        <w:jc w:val="right"/>
      </w:pPr>
      <w:r>
        <w:rPr>
          <w:rFonts w:cs="Aptos"/>
          <w:szCs w:val="24"/>
          <w:rtl/>
        </w:rPr>
        <w:t>שְׁאַ֤ל מִמֶּ֗נִּי וְאֶתְּנָ֣ה ג֭וֹיִם נַחֲלָתֶ֑ךָ וַ֝אֲחֻזָּתְךָ֗ אַפְסֵי־אָֽרֶץ׃</w:t>
      </w:r>
    </w:p>
    <w:p w14:paraId="226227DF" w14:textId="77777777" w:rsidR="00072D7B" w:rsidRDefault="00E535E0">
      <w:pPr>
        <w:pStyle w:val="BodySans"/>
      </w:pPr>
      <w:r>
        <w:t>שְׁאַל</w:t>
      </w:r>
      <w:r>
        <w:t xml:space="preserve"> </w:t>
      </w:r>
      <w:r>
        <w:t>מִמֶּנִּי</w:t>
      </w:r>
      <w:r>
        <w:t xml:space="preserve"> // </w:t>
      </w:r>
      <w:r>
        <w:t>וְאֶתְּנָה</w:t>
      </w:r>
      <w:r>
        <w:t xml:space="preserve"> </w:t>
      </w:r>
      <w:r>
        <w:t>גוֹיִם</w:t>
      </w:r>
      <w:r>
        <w:t xml:space="preserve"> </w:t>
      </w:r>
      <w:r>
        <w:t>נַחֲלָתֶךָ</w:t>
      </w:r>
      <w:r>
        <w:t xml:space="preserve"> // </w:t>
      </w:r>
      <w:r>
        <w:t>וַאֲחֻזָּתְךָ</w:t>
      </w:r>
      <w:r>
        <w:t xml:space="preserve"> </w:t>
      </w:r>
      <w:r>
        <w:t>אַפְסֵי־אָרֶץ</w:t>
      </w:r>
      <w:r>
        <w:t xml:space="preserve">. The imperative “Ask” is the hinge between gift and dependence. The royal grant uses legal property terms: </w:t>
      </w:r>
      <w:r>
        <w:t>נַחֲלָה</w:t>
      </w:r>
      <w:r>
        <w:t xml:space="preserve"> (hereditary portion) and </w:t>
      </w:r>
      <w:r>
        <w:t>אֲחֻזָּה</w:t>
      </w:r>
      <w:r>
        <w:t xml:space="preserve"> (secure holding). The promised scope, “the ends of the earth,” is a merism for totality. Medievals read the line historically (David’s conquests; cf. 2 Sam 8 and 1 Chr 14:17) and theologically (God remains the giver; the king remains petitioner).</w:t>
      </w:r>
    </w:p>
    <w:p w14:paraId="2AA05CF8" w14:textId="77777777" w:rsidR="00072D7B" w:rsidRDefault="00E535E0">
      <w:pPr>
        <w:pStyle w:val="BodySans"/>
      </w:pPr>
      <w:r>
        <w:t>In biblical patterning, “ask… and I will give” is the grammar of prayer, not only of kingship (cf. Ps 2’s echo in Ps 21:5; and the rabbinic application in Sukkah 52a, where the Messiah asks only for “life,” and the answer cites “</w:t>
      </w:r>
      <w:r>
        <w:t>חַיִּים</w:t>
      </w:r>
      <w:r>
        <w:t xml:space="preserve"> </w:t>
      </w:r>
      <w:r>
        <w:t>שָׁאַל</w:t>
      </w:r>
      <w:r>
        <w:t xml:space="preserve"> </w:t>
      </w:r>
      <w:r>
        <w:t>מִמֶּךָ</w:t>
      </w:r>
      <w:r>
        <w:t xml:space="preserve">, </w:t>
      </w:r>
      <w:r>
        <w:t>נָתַתָּה</w:t>
      </w:r>
      <w:r>
        <w:t xml:space="preserve"> </w:t>
      </w:r>
      <w:r>
        <w:t>לוֹ</w:t>
      </w:r>
      <w:r>
        <w:t>”). Psalm 2 universalizes royal petition: the extent of rule is subordinate to God’s will and invites prayerful dependence. The politics of the psalm is thus Deuteronomic at heart: blessed extension under obedience; collapse under presumption.</w:t>
      </w:r>
    </w:p>
    <w:p w14:paraId="651B7075" w14:textId="77777777" w:rsidR="00072D7B" w:rsidRDefault="00E535E0">
      <w:pPr>
        <w:pStyle w:val="BodySans"/>
      </w:pPr>
      <w:r>
        <w:t>—</w:t>
      </w:r>
    </w:p>
    <w:p w14:paraId="68B61497" w14:textId="77777777" w:rsidR="00072D7B" w:rsidRDefault="00E535E0">
      <w:pPr>
        <w:pStyle w:val="Heading3"/>
      </w:pPr>
      <w:r>
        <w:t>Verse 9</w:t>
      </w:r>
    </w:p>
    <w:p w14:paraId="2C40C7C3" w14:textId="77777777" w:rsidR="00072D7B" w:rsidRDefault="00E535E0">
      <w:pPr>
        <w:pStyle w:val="BodySans"/>
        <w:jc w:val="right"/>
      </w:pPr>
      <w:r>
        <w:rPr>
          <w:rFonts w:cs="Aptos"/>
          <w:szCs w:val="24"/>
          <w:rtl/>
        </w:rPr>
        <w:t>תְּ֭רֹעֵם בְּשֵׁ֣בֶט בַּרְזֶ֑ל כִּכְלִ֖י יוֹצֵ֣ר תְּנַפְּצֵֽם׃</w:t>
      </w:r>
    </w:p>
    <w:p w14:paraId="4C3C54B0" w14:textId="77777777" w:rsidR="00072D7B" w:rsidRDefault="00E535E0">
      <w:pPr>
        <w:pStyle w:val="BodySans"/>
      </w:pPr>
      <w:r>
        <w:lastRenderedPageBreak/>
        <w:t>תְּרֹעֵם</w:t>
      </w:r>
      <w:r>
        <w:t xml:space="preserve"> </w:t>
      </w:r>
      <w:r>
        <w:t>בְּשֵׁבֶט</w:t>
      </w:r>
      <w:r>
        <w:t xml:space="preserve"> </w:t>
      </w:r>
      <w:r>
        <w:t>בַּרְזֶל</w:t>
      </w:r>
      <w:r>
        <w:t xml:space="preserve"> // </w:t>
      </w:r>
      <w:r>
        <w:t>כִּכְלִי</w:t>
      </w:r>
      <w:r>
        <w:t xml:space="preserve"> </w:t>
      </w:r>
      <w:r>
        <w:t>יוֹצֵר</w:t>
      </w:r>
      <w:r>
        <w:t xml:space="preserve"> </w:t>
      </w:r>
      <w:r>
        <w:t>תְּנַפְּצֵם</w:t>
      </w:r>
      <w:r>
        <w:t xml:space="preserve">. The MT’s </w:t>
      </w:r>
      <w:r>
        <w:t>תְּרֹעֵם</w:t>
      </w:r>
      <w:r>
        <w:t xml:space="preserve"> (from </w:t>
      </w:r>
      <w:r>
        <w:t>רָעַע</w:t>
      </w:r>
      <w:r>
        <w:t>/</w:t>
      </w:r>
      <w:r>
        <w:t>רעה</w:t>
      </w:r>
      <w:r>
        <w:t xml:space="preserve"> in the rare sense “break/shatter”) is the straightforward sense in context (note the parallel verb </w:t>
      </w:r>
      <w:r>
        <w:t>תְּנַפְּצֵם</w:t>
      </w:r>
      <w:r>
        <w:t>, “you will smash/scatter”). BDB cites this verse along with Job 34:24 and Jeremiah 15:12 for the “break” meaning. The rod (</w:t>
      </w:r>
      <w:r>
        <w:rPr>
          <w:rFonts w:cs="Aptos"/>
          <w:szCs w:val="24"/>
          <w:rtl/>
        </w:rPr>
        <w:t>שֵׁבֶט</w:t>
      </w:r>
      <w:r>
        <w:t xml:space="preserve">) can be both scepter and cudgel; “iron” signals unyielding strength (cf. Deut 28:48; Ps 107:16). The potter’s-vessel simile is common and pointed: pottery is useful but brittle (Isaiah </w:t>
      </w:r>
      <w:r>
        <w:t>30:14; Jeremiah 19). Once shattered, it becomes shards; it cannot be put back together.</w:t>
      </w:r>
    </w:p>
    <w:p w14:paraId="4189BD67" w14:textId="77777777" w:rsidR="00072D7B" w:rsidRDefault="00E535E0">
      <w:pPr>
        <w:pStyle w:val="BodySans"/>
      </w:pPr>
      <w:r>
        <w:t>The LXX famously reads ποιμανε</w:t>
      </w:r>
      <w:r>
        <w:t>ῖ</w:t>
      </w:r>
      <w:r>
        <w:t xml:space="preserve">ς (“you will shepherd/rule”) in the first colon, a meaning that the Greek may have derived from a different vocalization or simply from the more common sense of </w:t>
      </w:r>
      <w:r>
        <w:t>רעה</w:t>
      </w:r>
      <w:r>
        <w:t xml:space="preserve"> (“shepherd”). The result shifts the image from destruction to harsh governance—still with the iron rod, still with shattering results. The New Testament quotes the LXX (Rev 2:27; 12:5; 19:15), making this verse a classic example of how textual traditions shape reception. The MT and LXX need not be enemies; they offer two facets of royal authori</w:t>
      </w:r>
      <w:r>
        <w:t>ty: legitimate rule disciplines; stubborn revolt breaks.</w:t>
      </w:r>
    </w:p>
    <w:p w14:paraId="5C33ED9C" w14:textId="77777777" w:rsidR="00072D7B" w:rsidRDefault="00E535E0">
      <w:pPr>
        <w:pStyle w:val="BodySans"/>
      </w:pPr>
      <w:r>
        <w:t>The psalm’s rhetoric aims the image back at v. 3. Those who would smash the “bonds” will be smashed like clay. It is a sobering symmetry.</w:t>
      </w:r>
    </w:p>
    <w:p w14:paraId="4F2F67AA" w14:textId="77777777" w:rsidR="00072D7B" w:rsidRDefault="00E535E0">
      <w:pPr>
        <w:pStyle w:val="BodySans"/>
      </w:pPr>
      <w:r>
        <w:t>—</w:t>
      </w:r>
    </w:p>
    <w:p w14:paraId="68A8D779" w14:textId="77777777" w:rsidR="00072D7B" w:rsidRDefault="00E535E0">
      <w:pPr>
        <w:pStyle w:val="Heading3"/>
      </w:pPr>
      <w:r>
        <w:t>Verse 10</w:t>
      </w:r>
    </w:p>
    <w:p w14:paraId="305F1A52" w14:textId="77777777" w:rsidR="00072D7B" w:rsidRDefault="00E535E0">
      <w:pPr>
        <w:pStyle w:val="BodySans"/>
        <w:jc w:val="right"/>
      </w:pPr>
      <w:r>
        <w:rPr>
          <w:rFonts w:cs="Aptos"/>
          <w:szCs w:val="24"/>
          <w:rtl/>
        </w:rPr>
        <w:t>וְ֭עַתָּה מְלָכִ֣ים הַשְׂכִּ֑ילוּ הִ֝וָּסְר֗וּ שֹׁ֣פְטֵי אָֽרֶץ׃</w:t>
      </w:r>
    </w:p>
    <w:p w14:paraId="4B817BB4" w14:textId="77777777" w:rsidR="00072D7B" w:rsidRDefault="00E535E0">
      <w:pPr>
        <w:pStyle w:val="BodySans"/>
      </w:pPr>
      <w:r>
        <w:t>וְעַתָּה</w:t>
      </w:r>
      <w:r>
        <w:t xml:space="preserve"> </w:t>
      </w:r>
      <w:r>
        <w:t>מְלָכִים</w:t>
      </w:r>
      <w:r>
        <w:t xml:space="preserve"> </w:t>
      </w:r>
      <w:r>
        <w:t>הַשְׂכִּילוּ</w:t>
      </w:r>
      <w:r>
        <w:t xml:space="preserve"> // </w:t>
      </w:r>
      <w:r>
        <w:t>הִוָּסְרוּ</w:t>
      </w:r>
      <w:r>
        <w:t xml:space="preserve"> </w:t>
      </w:r>
      <w:r>
        <w:t>שֹׁפְטֵי</w:t>
      </w:r>
      <w:r>
        <w:t xml:space="preserve"> </w:t>
      </w:r>
      <w:r>
        <w:t>אָרֶץ</w:t>
      </w:r>
      <w:r>
        <w:t>. A sharp genre-shift: enthronement becomes wisdom exhortation. “And now, O kings, be prudent; accept discipline, judges of the earth.” “Be wise” (</w:t>
      </w:r>
      <w:r>
        <w:rPr>
          <w:rFonts w:cs="Aptos"/>
          <w:szCs w:val="24"/>
          <w:rtl/>
        </w:rPr>
        <w:t>הַשְׂכִּילוּ</w:t>
      </w:r>
      <w:r>
        <w:t xml:space="preserve">) is the verb of practical intelligence; “accept discipline” (Niphal of </w:t>
      </w:r>
      <w:r>
        <w:t>יסר</w:t>
      </w:r>
      <w:r>
        <w:t>) answers “let us break the bonds” (</w:t>
      </w:r>
      <w:r>
        <w:t>מוֹסְרוֹת</w:t>
      </w:r>
      <w:r>
        <w:t>, v. 3) with a verbal echo. The ones who sought to throw off instruction are invited to receive it instead.</w:t>
      </w:r>
    </w:p>
    <w:p w14:paraId="41737FE8" w14:textId="77777777" w:rsidR="00072D7B" w:rsidRDefault="00E535E0">
      <w:pPr>
        <w:pStyle w:val="BodySans"/>
      </w:pPr>
      <w:r>
        <w:t>Rashi hears the prophet’s mercy: Israel’s prophets reprove even the nations for their good. Radak, speaking as David, insists on realism: you cannot nullify God’s work; therefore, learn and be instructed. The rhetoric turns the scene inward. Political rebellion is finally a pedagogical problem; the remedy is not annihilation but instruction—if it will be accepted.</w:t>
      </w:r>
    </w:p>
    <w:p w14:paraId="06FEC71E" w14:textId="77777777" w:rsidR="00072D7B" w:rsidRDefault="00E535E0">
      <w:pPr>
        <w:pStyle w:val="BodySans"/>
      </w:pPr>
      <w:r>
        <w:t>The colon structure (A-B // B′-A′) creates a tiny chiasm: “kings… be wise // be admonished… judges.” The mirrored order brings the exhortation close to the addressees, as if to say, “This is for you.” And the temporal “And now” insists: there is still a window.</w:t>
      </w:r>
    </w:p>
    <w:p w14:paraId="77298996" w14:textId="77777777" w:rsidR="00072D7B" w:rsidRDefault="00E535E0">
      <w:pPr>
        <w:pStyle w:val="BodySans"/>
      </w:pPr>
      <w:r>
        <w:t>—</w:t>
      </w:r>
    </w:p>
    <w:p w14:paraId="0F902878" w14:textId="77777777" w:rsidR="00072D7B" w:rsidRDefault="00E535E0">
      <w:pPr>
        <w:pStyle w:val="Heading3"/>
      </w:pPr>
      <w:r>
        <w:lastRenderedPageBreak/>
        <w:t>Verse 11</w:t>
      </w:r>
    </w:p>
    <w:p w14:paraId="286D4981" w14:textId="77777777" w:rsidR="00072D7B" w:rsidRDefault="00E535E0">
      <w:pPr>
        <w:pStyle w:val="BodySans"/>
        <w:jc w:val="right"/>
      </w:pPr>
      <w:r>
        <w:rPr>
          <w:rFonts w:cs="Aptos"/>
          <w:szCs w:val="24"/>
          <w:rtl/>
        </w:rPr>
        <w:t>עִבְד֣וּ אֶת־ה׳ בְּיִרְאָ֑ה וְ֝גִ֗ילוּ בִּרְעָדָֽה׃</w:t>
      </w:r>
    </w:p>
    <w:p w14:paraId="03A99F67" w14:textId="77777777" w:rsidR="00072D7B" w:rsidRDefault="00E535E0">
      <w:pPr>
        <w:pStyle w:val="BodySans"/>
      </w:pPr>
      <w:r>
        <w:t>עִבְדוּ</w:t>
      </w:r>
      <w:r>
        <w:t xml:space="preserve"> </w:t>
      </w:r>
      <w:r>
        <w:t>אֶת־ה׳</w:t>
      </w:r>
      <w:r>
        <w:t xml:space="preserve"> </w:t>
      </w:r>
      <w:r>
        <w:t>בְּיִרְאָה</w:t>
      </w:r>
      <w:r>
        <w:t xml:space="preserve"> // </w:t>
      </w:r>
      <w:r>
        <w:t>וְגִילוּ</w:t>
      </w:r>
      <w:r>
        <w:t xml:space="preserve"> </w:t>
      </w:r>
      <w:r>
        <w:t>בִּרְעָדָה</w:t>
      </w:r>
      <w:r>
        <w:t>. The paradox is intentional. “Serve YHWH in awe” names the basic covenant posture—service and reverence. “Rejoice with trembling” yokes exuberance to fear. Medievals resolve the tension not by choosing but by holding both: rejoice that God’s rule is good; tremble at his judgment (Radak). Rabbinic practice quotes this line to regulate prayer: “In the place of joy, trembling” (Berakhot 30b). The line’s emotional intelligence is theological: joy without awe devolves in</w:t>
      </w:r>
      <w:r>
        <w:t>to glibness; awe without joy curdles into dread.</w:t>
      </w:r>
    </w:p>
    <w:p w14:paraId="1D54D51D" w14:textId="77777777" w:rsidR="00072D7B" w:rsidRDefault="00E535E0">
      <w:pPr>
        <w:pStyle w:val="BodySans"/>
      </w:pPr>
      <w:r>
        <w:t>Poetically, the second colon intensifies and complicates the first in the classic “A—and what’s more, B” pattern. The verb pair “serve/rejoice” is balanced by the noun pair “awe/trembling.” The result is a compact spirituality: obedient service; glad gravity.</w:t>
      </w:r>
    </w:p>
    <w:p w14:paraId="5A8070D5" w14:textId="77777777" w:rsidR="00072D7B" w:rsidRDefault="00E535E0">
      <w:pPr>
        <w:pStyle w:val="BodySans"/>
      </w:pPr>
      <w:r>
        <w:t>—</w:t>
      </w:r>
    </w:p>
    <w:p w14:paraId="0C75772B" w14:textId="77777777" w:rsidR="00072D7B" w:rsidRDefault="00E535E0">
      <w:pPr>
        <w:pStyle w:val="Heading3"/>
      </w:pPr>
      <w:r>
        <w:t>Verse 12</w:t>
      </w:r>
    </w:p>
    <w:p w14:paraId="116973A8" w14:textId="77777777" w:rsidR="00072D7B" w:rsidRDefault="00E535E0">
      <w:pPr>
        <w:pStyle w:val="BodySans"/>
        <w:jc w:val="right"/>
      </w:pPr>
      <w:r>
        <w:rPr>
          <w:rFonts w:cs="Aptos"/>
          <w:szCs w:val="24"/>
          <w:rtl/>
        </w:rPr>
        <w:t>נַשְּׁקוּ־בַ֡ר פֶּן־יֶאֱנַ֤ף ׀ וְתֹ֬אבְדוּ דֶ֗רֶךְ כִּֽי־יִבְעַ֣ר כִּמְעַ֣ט אַפּ֑וֹ אַ֝שְׁרֵ֗י כׇּל־ח֥וֹסֵי בֽוֹ׃ {פ}</w:t>
      </w:r>
    </w:p>
    <w:p w14:paraId="1586AF01" w14:textId="77777777" w:rsidR="00072D7B" w:rsidRDefault="00E535E0">
      <w:pPr>
        <w:pStyle w:val="BodySans"/>
      </w:pPr>
      <w:r>
        <w:t>נַשְּׁקוּ־בַר</w:t>
      </w:r>
      <w:r>
        <w:t xml:space="preserve"> </w:t>
      </w:r>
      <w:r>
        <w:t>פֶּן־יֶאֱנַף</w:t>
      </w:r>
      <w:r>
        <w:t xml:space="preserve"> // </w:t>
      </w:r>
      <w:r>
        <w:t>וְתֹאבְדוּ</w:t>
      </w:r>
      <w:r>
        <w:t xml:space="preserve"> </w:t>
      </w:r>
      <w:r>
        <w:t>דֶּרֶךְ</w:t>
      </w:r>
      <w:r>
        <w:t xml:space="preserve"> // </w:t>
      </w:r>
      <w:r>
        <w:t>כִּי־יִבְעַר</w:t>
      </w:r>
      <w:r>
        <w:t xml:space="preserve"> </w:t>
      </w:r>
      <w:r>
        <w:t>כִּמְעַט</w:t>
      </w:r>
      <w:r>
        <w:t xml:space="preserve"> </w:t>
      </w:r>
      <w:r>
        <w:t>אַפּוֹ</w:t>
      </w:r>
      <w:r>
        <w:t xml:space="preserve"> // </w:t>
      </w:r>
      <w:r>
        <w:t>אַשְׁרֵי</w:t>
      </w:r>
      <w:r>
        <w:t xml:space="preserve"> </w:t>
      </w:r>
      <w:r>
        <w:t>כָּל־חֹוסֵי</w:t>
      </w:r>
      <w:r>
        <w:t xml:space="preserve"> </w:t>
      </w:r>
      <w:r>
        <w:t>בוֹ</w:t>
      </w:r>
      <w:r>
        <w:t xml:space="preserve">. The textual crux is in the first two words. Read as MT: “Kiss the son,” i.e., pay homage to the king (cf. 1 Sam 10:1; Gen 41:40–43 for court gestures; Prov 31:2 for “bar = son”). This neatly answers v. 2’s revolt “against his anointed,” and forms an inclusio with v. 7 (“You are my son”). Alternative MT-based readings take </w:t>
      </w:r>
      <w:r>
        <w:t>בַר</w:t>
      </w:r>
      <w:r>
        <w:t xml:space="preserve"> as “purity” (Ps 24:4; 73:1), yielding “kiss in purity” or “embrace purity,” i.e., since</w:t>
      </w:r>
      <w:r>
        <w:t>re homage. The LXX diverges: δράξασθε παιδείας, “grasp discipline,” which harmonizes with the wisdom turn of vv. 10–11. Each path yields coherent sense; the Aramaic Targum paraphrases, “Receive instruction,” revealing an early Jewish instinct to moralize the verse rather than nationalize it.</w:t>
      </w:r>
    </w:p>
    <w:p w14:paraId="6AF46AF7" w14:textId="77777777" w:rsidR="00072D7B" w:rsidRDefault="00E535E0">
      <w:pPr>
        <w:pStyle w:val="BodySans"/>
      </w:pPr>
      <w:r>
        <w:t>The warning is compressed: “lest he be angry and you perish in the way.” “Perish” (</w:t>
      </w:r>
      <w:r>
        <w:rPr>
          <w:rFonts w:cs="Aptos"/>
          <w:szCs w:val="24"/>
          <w:rtl/>
        </w:rPr>
        <w:t>אבד</w:t>
      </w:r>
      <w:r>
        <w:t>) recalls Psalm 1’s “the way of the wicked will perish,” tying the proem together. “When his anger burns but a little” (</w:t>
      </w:r>
      <w:r>
        <w:rPr>
          <w:rFonts w:cs="Aptos"/>
          <w:szCs w:val="24"/>
          <w:rtl/>
        </w:rPr>
        <w:t>כִּמְעַט</w:t>
      </w:r>
      <w:r>
        <w:t>) insists that even a short flare of wrath suffices to undo a path. The beatitude then rounds the circle: “Happy are all who take refuge in him.” Refuge (</w:t>
      </w:r>
      <w:r>
        <w:rPr>
          <w:rFonts w:cs="Aptos"/>
          <w:szCs w:val="24"/>
          <w:rtl/>
        </w:rPr>
        <w:t>חסה</w:t>
      </w:r>
      <w:r>
        <w:t>)</w:t>
      </w:r>
      <w:r>
        <w:t xml:space="preserve"> is one of the Psalter’s master metaphors for trust. The pronoun “in him” is deliberately ambiguous; it likely points to YHWH, but the literary design allows the inference that to find refuge in God includes loyal submission to the king He has installed.</w:t>
      </w:r>
    </w:p>
    <w:p w14:paraId="3DB86903" w14:textId="77777777" w:rsidR="00072D7B" w:rsidRDefault="00E535E0">
      <w:pPr>
        <w:pStyle w:val="BodySans"/>
      </w:pPr>
      <w:r>
        <w:t xml:space="preserve">Liturgically and canonically, the ashrei here answers the ashrei of Psalm 1. The two psalms open the book by assigning us a posture: meditate on instruction (Ps 1); refuse proud counsel and take refuge in God’s appointed order (Ps 2). Between muttering emptiness </w:t>
      </w:r>
      <w:r>
        <w:lastRenderedPageBreak/>
        <w:t>and blessed refuge lies the work of turning—and the psalm gives us the words for it: “So now… be wise… be instructed.”</w:t>
      </w:r>
    </w:p>
    <w:p w14:paraId="66A1657D" w14:textId="77777777" w:rsidR="00072D7B" w:rsidRDefault="00E535E0">
      <w:r>
        <w:br w:type="page"/>
      </w:r>
    </w:p>
    <w:p w14:paraId="58BF5E9A" w14:textId="77777777" w:rsidR="00072D7B" w:rsidRDefault="00E535E0">
      <w:pPr>
        <w:pStyle w:val="Heading2"/>
      </w:pPr>
      <w:r>
        <w:lastRenderedPageBreak/>
        <w:t>Methodological &amp; Bibliographical Summary</w:t>
      </w:r>
    </w:p>
    <w:p w14:paraId="409D0CE4" w14:textId="77777777" w:rsidR="00072D7B" w:rsidRDefault="00E535E0">
      <w:pPr>
        <w:pStyle w:val="Heading3"/>
      </w:pPr>
      <w:r>
        <w:t>Research &amp; Data Inputs</w:t>
      </w:r>
    </w:p>
    <w:p w14:paraId="64046396" w14:textId="77777777" w:rsidR="00072D7B" w:rsidRDefault="00E535E0">
      <w:pPr>
        <w:pStyle w:val="SummaryText"/>
      </w:pPr>
      <w:r>
        <w:rPr>
          <w:b/>
        </w:rPr>
        <w:t>Psalm Verses Analyzed</w:t>
      </w:r>
      <w:r>
        <w:t>: 12</w:t>
      </w:r>
    </w:p>
    <w:p w14:paraId="176D6CC1" w14:textId="77777777" w:rsidR="00072D7B" w:rsidRDefault="00E535E0">
      <w:pPr>
        <w:pStyle w:val="SummaryText"/>
      </w:pPr>
      <w:r>
        <w:rPr>
          <w:b/>
        </w:rPr>
        <w:t>LXX (Septuagint) Texts Reviewed</w:t>
      </w:r>
      <w:r>
        <w:t>: 12</w:t>
      </w:r>
    </w:p>
    <w:p w14:paraId="5BF1D3DF" w14:textId="77777777" w:rsidR="00072D7B" w:rsidRDefault="00E535E0">
      <w:pPr>
        <w:pStyle w:val="SummaryText"/>
      </w:pPr>
      <w:r>
        <w:rPr>
          <w:b/>
        </w:rPr>
        <w:t>Phonetic Transcriptions Generated</w:t>
      </w:r>
      <w:r>
        <w:t>: 12</w:t>
      </w:r>
    </w:p>
    <w:p w14:paraId="6759EED9" w14:textId="77777777" w:rsidR="00072D7B" w:rsidRDefault="00E535E0">
      <w:pPr>
        <w:pStyle w:val="SummaryText"/>
      </w:pPr>
      <w:r>
        <w:rPr>
          <w:b/>
        </w:rPr>
        <w:t>Ugaritic Parallels Reviewed</w:t>
      </w:r>
      <w:r>
        <w:t>: 1</w:t>
      </w:r>
    </w:p>
    <w:p w14:paraId="002CD6B3" w14:textId="77777777" w:rsidR="00072D7B" w:rsidRDefault="00E535E0">
      <w:pPr>
        <w:pStyle w:val="SummaryText"/>
      </w:pPr>
      <w:r>
        <w:rPr>
          <w:b/>
        </w:rPr>
        <w:t>Lexicon Entries (BDB/Klein) Reviewed</w:t>
      </w:r>
      <w:r>
        <w:t>: 41</w:t>
      </w:r>
    </w:p>
    <w:p w14:paraId="533538AA" w14:textId="77777777" w:rsidR="00072D7B" w:rsidRDefault="00E535E0">
      <w:pPr>
        <w:pStyle w:val="SummaryText"/>
      </w:pPr>
      <w:r>
        <w:rPr>
          <w:b/>
        </w:rPr>
        <w:t>Traditional Commentaries Reviewed</w:t>
      </w:r>
      <w:r>
        <w:t>: 72 (Ibn Ezra (11); Malbim (7); Meiri (12); Metzudat David (12); Radak (12); Rashi (12); Torah Temimah (6))</w:t>
      </w:r>
    </w:p>
    <w:p w14:paraId="3BCBAEF8" w14:textId="77777777" w:rsidR="00072D7B" w:rsidRDefault="00E535E0">
      <w:pPr>
        <w:pStyle w:val="SummaryText"/>
      </w:pPr>
      <w:r>
        <w:rPr>
          <w:b/>
        </w:rPr>
        <w:t>Concordance Entries Reviewed</w:t>
      </w:r>
      <w:r>
        <w:t>: 7</w:t>
      </w:r>
    </w:p>
    <w:p w14:paraId="100446D3" w14:textId="77777777" w:rsidR="00072D7B" w:rsidRDefault="00E535E0">
      <w:pPr>
        <w:pStyle w:val="SummaryText"/>
      </w:pPr>
      <w:r>
        <w:rPr>
          <w:b/>
        </w:rPr>
        <w:t>Figurative Language Instances Reviewed</w:t>
      </w:r>
      <w:r>
        <w:t>: 228</w:t>
      </w:r>
    </w:p>
    <w:p w14:paraId="0F1DC141" w14:textId="77777777" w:rsidR="00072D7B" w:rsidRDefault="00E535E0">
      <w:pPr>
        <w:pStyle w:val="SummaryText"/>
      </w:pPr>
      <w:r>
        <w:rPr>
          <w:b/>
        </w:rPr>
        <w:t>Master Editor Prompt Size</w:t>
      </w:r>
      <w:r>
        <w:t>: 243,687 characters</w:t>
      </w:r>
    </w:p>
    <w:p w14:paraId="038BA1B9" w14:textId="77777777" w:rsidR="00072D7B" w:rsidRDefault="00E535E0">
      <w:pPr>
        <w:pStyle w:val="Heading3"/>
      </w:pPr>
      <w:r>
        <w:t>Models Used</w:t>
      </w:r>
    </w:p>
    <w:p w14:paraId="1EC7F825" w14:textId="77777777" w:rsidR="00072D7B" w:rsidRDefault="00E535E0">
      <w:pPr>
        <w:pStyle w:val="SummaryText"/>
      </w:pPr>
      <w:r>
        <w:rPr>
          <w:b/>
        </w:rPr>
        <w:t>Structural Analysis (Macro)</w:t>
      </w:r>
      <w:r>
        <w:t>: claude-sonnet-4-20250514</w:t>
      </w:r>
    </w:p>
    <w:p w14:paraId="78877748" w14:textId="77777777" w:rsidR="00072D7B" w:rsidRDefault="00E535E0">
      <w:pPr>
        <w:pStyle w:val="SummaryText"/>
      </w:pPr>
      <w:r>
        <w:rPr>
          <w:b/>
        </w:rPr>
        <w:t>Verse Discovery (Micro)</w:t>
      </w:r>
      <w:r>
        <w:t>: claude-sonnet-4-20250514</w:t>
      </w:r>
    </w:p>
    <w:p w14:paraId="7FF80F2C" w14:textId="77777777" w:rsidR="00072D7B" w:rsidRDefault="00E535E0">
      <w:pPr>
        <w:pStyle w:val="SummaryText"/>
      </w:pPr>
      <w:r>
        <w:rPr>
          <w:b/>
        </w:rPr>
        <w:t>Commentary Synthesis</w:t>
      </w:r>
      <w:r>
        <w:t>: claude-sonnet-4-20250514</w:t>
      </w:r>
    </w:p>
    <w:p w14:paraId="6A6AFB4D" w14:textId="77777777" w:rsidR="00072D7B" w:rsidRDefault="00E535E0">
      <w:pPr>
        <w:pStyle w:val="SummaryText"/>
      </w:pPr>
      <w:r>
        <w:rPr>
          <w:b/>
        </w:rPr>
        <w:t>Editorial Review</w:t>
      </w:r>
      <w:r>
        <w:t>: gpt-5</w:t>
      </w:r>
    </w:p>
    <w:p w14:paraId="25379D9A" w14:textId="77777777" w:rsidR="00072D7B" w:rsidRDefault="00E535E0">
      <w:pPr>
        <w:pStyle w:val="Heading3"/>
      </w:pPr>
      <w:r>
        <w:t>Date Produced</w:t>
      </w:r>
    </w:p>
    <w:p w14:paraId="61A5F49C" w14:textId="77777777" w:rsidR="00072D7B" w:rsidRDefault="00E535E0">
      <w:pPr>
        <w:pStyle w:val="SummaryText"/>
      </w:pPr>
      <w:r>
        <w:t>November 02, 2025</w:t>
      </w:r>
    </w:p>
    <w:sectPr w:rsidR="00072D7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343D5" w14:textId="77777777" w:rsidR="00E535E0" w:rsidRDefault="00E535E0">
      <w:pPr>
        <w:spacing w:after="0" w:line="240" w:lineRule="auto"/>
      </w:pPr>
      <w:r>
        <w:separator/>
      </w:r>
    </w:p>
  </w:endnote>
  <w:endnote w:type="continuationSeparator" w:id="0">
    <w:p w14:paraId="53EB4B20" w14:textId="77777777" w:rsidR="00E535E0" w:rsidRDefault="00E535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057BA" w14:textId="3A01C9AF" w:rsidR="00072D7B" w:rsidRDefault="00E535E0">
    <w:pPr>
      <w:pStyle w:val="Footer"/>
      <w:jc w:val="right"/>
    </w:pPr>
    <w:r>
      <w:fldChar w:fldCharType="begin"/>
    </w:r>
    <w:r>
      <w:instrText>PAGE</w:instrText>
    </w:r>
    <w:r w:rsidR="00016B20">
      <w:fldChar w:fldCharType="separate"/>
    </w:r>
    <w:r w:rsidR="00016B2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54217" w14:textId="77777777" w:rsidR="00E535E0" w:rsidRDefault="00E535E0">
      <w:pPr>
        <w:spacing w:after="0" w:line="240" w:lineRule="auto"/>
      </w:pPr>
      <w:r>
        <w:separator/>
      </w:r>
    </w:p>
  </w:footnote>
  <w:footnote w:type="continuationSeparator" w:id="0">
    <w:p w14:paraId="2E45F297" w14:textId="77777777" w:rsidR="00E535E0" w:rsidRDefault="00E535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0208113">
    <w:abstractNumId w:val="8"/>
  </w:num>
  <w:num w:numId="2" w16cid:durableId="1511915625">
    <w:abstractNumId w:val="6"/>
  </w:num>
  <w:num w:numId="3" w16cid:durableId="663707006">
    <w:abstractNumId w:val="5"/>
  </w:num>
  <w:num w:numId="4" w16cid:durableId="751316339">
    <w:abstractNumId w:val="4"/>
  </w:num>
  <w:num w:numId="5" w16cid:durableId="314530446">
    <w:abstractNumId w:val="7"/>
  </w:num>
  <w:num w:numId="6" w16cid:durableId="1742946841">
    <w:abstractNumId w:val="3"/>
  </w:num>
  <w:num w:numId="7" w16cid:durableId="1571966008">
    <w:abstractNumId w:val="2"/>
  </w:num>
  <w:num w:numId="8" w16cid:durableId="1599483248">
    <w:abstractNumId w:val="1"/>
  </w:num>
  <w:num w:numId="9" w16cid:durableId="1224213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B20"/>
    <w:rsid w:val="00034616"/>
    <w:rsid w:val="0006063C"/>
    <w:rsid w:val="00072D7B"/>
    <w:rsid w:val="0015074B"/>
    <w:rsid w:val="0029639D"/>
    <w:rsid w:val="00326F90"/>
    <w:rsid w:val="00AA1D8D"/>
    <w:rsid w:val="00B47730"/>
    <w:rsid w:val="00BE2A09"/>
    <w:rsid w:val="00C72CB7"/>
    <w:rsid w:val="00CB0664"/>
    <w:rsid w:val="00E535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FC1CA16-634E-485B-AB1C-5C84A0E91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4312</Words>
  <Characters>24580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3</cp:revision>
  <dcterms:created xsi:type="dcterms:W3CDTF">2025-11-03T14:49:00Z</dcterms:created>
  <dcterms:modified xsi:type="dcterms:W3CDTF">2025-11-03T14:56:00Z</dcterms:modified>
  <cp:category/>
</cp:coreProperties>
</file>