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Kissan Fresh Wallet and Partial Refund Strategy</w:t>
      </w:r>
    </w:p>
    <w:p>
      <w:r>
        <w:t>Product decision, legal guardrails, financial design, security controls, technical architecture, edge cases, and rollout plan for the customer app and operations dashboard.</w:t>
      </w:r>
    </w:p>
    <w:p>
      <w:r>
        <w:t>The main conclusion is to implement item-level partial refunds, but not a compulsory wallet. Online payments should return to the original payment method by default. Customers may explicitly choose immediate Kissan Fresh store credit where the legal operating model permits it. Cash on Delivery orders should have their payable amount reduced before collection; post-delivery COD refunds need a separate verified payout or opt-in store-credit flow.</w:t>
      </w:r>
    </w:p>
    <w:p>
      <w:r>
        <w:t>This report is tailored to the audited Kissan Fresh architecture: Flutter consumer app, Next.js operations dashboard, Firebase Auth and Firestore, Cloud Functions, and Razorpay.</w:t>
      </w:r>
    </w:p>
    <w:p>
      <w:pPr>
        <w:pStyle w:val="Heading1"/>
      </w:pPr>
      <w:r>
        <w:t>Decision at a glance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624"/>
      </w:tblGrid>
      <w:tr>
        <w:trPr>
          <w:tblHeader w:val="true"/>
          <w:cantSplit/>
        </w:trPr>
        <w:tc>
          <w:tcPr>
            <w:tcW w:type="dxa" w:w="3168"/>
            <w:shd w:fill="17365D"/>
            <w:vAlign w:val="center"/>
            <w:tcMar>
              <w:top w:w="100" w:type="dxa"/>
              <w:start w:w="120" w:type="dxa"/>
              <w:bottom w:w="100" w:type="dxa"/>
              <w:end w:w="120" w:type="dxa"/>
            </w:tcMar>
          </w:tcPr>
          <w:p>
            <w:pPr>
              <w:spacing w:line="240" w:lineRule="auto"/>
              <w:jc w:val="center"/>
            </w:pPr>
            <w:r>
              <w:rPr>
                <w:b/>
                <w:color w:val="FFFFFF"/>
                <w:sz w:val="16"/>
              </w:rPr>
              <w:t>Question</w:t>
            </w:r>
          </w:p>
        </w:tc>
        <w:tc>
          <w:tcPr>
            <w:tcW w:type="dxa" w:w="6624"/>
            <w:shd w:fill="17365D"/>
            <w:vAlign w:val="center"/>
            <w:tcMar>
              <w:top w:w="100" w:type="dxa"/>
              <w:start w:w="120" w:type="dxa"/>
              <w:bottom w:w="100" w:type="dxa"/>
              <w:end w:w="120" w:type="dxa"/>
            </w:tcMar>
          </w:tcPr>
          <w:p>
            <w:pPr>
              <w:spacing w:line="240" w:lineRule="auto"/>
              <w:jc w:val="center"/>
            </w:pPr>
            <w:r>
              <w:rPr>
                <w:b/>
                <w:color w:val="FFFFFF"/>
                <w:sz w:val="16"/>
              </w:rPr>
              <w:t>Decision</w:t>
            </w:r>
          </w:p>
        </w:tc>
      </w:tr>
      <w:tr>
        <w:trPr>
          <w:cantSplit/>
        </w:trPr>
        <w:tc>
          <w:tcPr>
            <w:tcW w:type="dxa" w:w="3168"/>
            <w:vAlign w:val="center"/>
            <w:tcMar>
              <w:top w:w="100" w:type="dxa"/>
              <w:start w:w="120" w:type="dxa"/>
              <w:bottom w:w="100" w:type="dxa"/>
              <w:end w:w="120" w:type="dxa"/>
            </w:tcMar>
          </w:tcPr>
          <w:p>
            <w:pPr>
              <w:spacing w:after="0" w:line="240" w:lineRule="auto"/>
            </w:pPr>
            <w:r>
              <w:rPr>
                <w:color w:val="000000"/>
                <w:sz w:val="16"/>
              </w:rPr>
              <w:t>Should partial refunds be implemented?</w:t>
            </w:r>
          </w:p>
        </w:tc>
        <w:tc>
          <w:tcPr>
            <w:tcW w:type="dxa" w:w="6624"/>
            <w:vAlign w:val="center"/>
            <w:tcMar>
              <w:top w:w="100" w:type="dxa"/>
              <w:start w:w="120" w:type="dxa"/>
              <w:bottom w:w="100" w:type="dxa"/>
              <w:end w:w="120" w:type="dxa"/>
            </w:tcMar>
          </w:tcPr>
          <w:p>
            <w:pPr>
              <w:spacing w:after="0" w:line="240" w:lineRule="auto"/>
            </w:pPr>
            <w:r>
              <w:rPr>
                <w:color w:val="000000"/>
                <w:sz w:val="16"/>
              </w:rPr>
              <w:t>Yes. They solve a real grocery fulfillment problem and are safer than cancelling the whole order.</w:t>
            </w:r>
          </w:p>
        </w:tc>
      </w:tr>
      <w:tr>
        <w:trPr>
          <w:cantSplit/>
        </w:trPr>
        <w:tc>
          <w:tcPr>
            <w:tcW w:type="dxa" w:w="3168"/>
            <w:shd w:fill="F5F7FA"/>
            <w:vAlign w:val="center"/>
            <w:tcMar>
              <w:top w:w="100" w:type="dxa"/>
              <w:start w:w="120" w:type="dxa"/>
              <w:bottom w:w="100" w:type="dxa"/>
              <w:end w:w="120" w:type="dxa"/>
            </w:tcMar>
          </w:tcPr>
          <w:p>
            <w:pPr>
              <w:spacing w:after="0" w:line="240" w:lineRule="auto"/>
            </w:pPr>
            <w:r>
              <w:rPr>
                <w:color w:val="000000"/>
                <w:sz w:val="16"/>
              </w:rPr>
              <w:t>Should wallet credit be mandatory?</w:t>
            </w:r>
          </w:p>
        </w:tc>
        <w:tc>
          <w:tcPr>
            <w:tcW w:type="dxa" w:w="6624"/>
            <w:shd w:fill="F5F7FA"/>
            <w:vAlign w:val="center"/>
            <w:tcMar>
              <w:top w:w="100" w:type="dxa"/>
              <w:start w:w="120" w:type="dxa"/>
              <w:bottom w:w="100" w:type="dxa"/>
              <w:end w:w="120" w:type="dxa"/>
            </w:tcMar>
          </w:tcPr>
          <w:p>
            <w:pPr>
              <w:spacing w:after="0" w:line="240" w:lineRule="auto"/>
            </w:pPr>
            <w:r>
              <w:rPr>
                <w:color w:val="000000"/>
                <w:sz w:val="16"/>
              </w:rPr>
              <w:t>No. Default to the original payment source; wallet/store credit must be a clear, affirmative choice.</w:t>
            </w:r>
          </w:p>
        </w:tc>
      </w:tr>
      <w:tr>
        <w:trPr>
          <w:cantSplit/>
        </w:trPr>
        <w:tc>
          <w:tcPr>
            <w:tcW w:type="dxa" w:w="3168"/>
            <w:vAlign w:val="center"/>
            <w:tcMar>
              <w:top w:w="100" w:type="dxa"/>
              <w:start w:w="120" w:type="dxa"/>
              <w:bottom w:w="100" w:type="dxa"/>
              <w:end w:w="120" w:type="dxa"/>
            </w:tcMar>
          </w:tcPr>
          <w:p>
            <w:pPr>
              <w:spacing w:after="0" w:line="240" w:lineRule="auto"/>
            </w:pPr>
            <w:r>
              <w:rPr>
                <w:color w:val="000000"/>
                <w:sz w:val="16"/>
              </w:rPr>
              <w:t>Should customers add or withdraw wallet funds?</w:t>
            </w:r>
          </w:p>
        </w:tc>
        <w:tc>
          <w:tcPr>
            <w:tcW w:type="dxa" w:w="6624"/>
            <w:vAlign w:val="center"/>
            <w:tcMar>
              <w:top w:w="100" w:type="dxa"/>
              <w:start w:w="120" w:type="dxa"/>
              <w:bottom w:w="100" w:type="dxa"/>
              <w:end w:w="120" w:type="dxa"/>
            </w:tcMar>
          </w:tcPr>
          <w:p>
            <w:pPr>
              <w:spacing w:after="0" w:line="240" w:lineRule="auto"/>
            </w:pPr>
            <w:r>
              <w:rPr>
                <w:color w:val="000000"/>
                <w:sz w:val="16"/>
              </w:rPr>
              <w:t>No in the first release. Keep it refund-only, non-transferable, non-cashable, and usable only for goods sold by the same legal entity.</w:t>
            </w:r>
          </w:p>
        </w:tc>
      </w:tr>
      <w:tr>
        <w:trPr>
          <w:cantSplit/>
        </w:trPr>
        <w:tc>
          <w:tcPr>
            <w:tcW w:type="dxa" w:w="3168"/>
            <w:shd w:fill="F5F7FA"/>
            <w:vAlign w:val="center"/>
            <w:tcMar>
              <w:top w:w="100" w:type="dxa"/>
              <w:start w:w="120" w:type="dxa"/>
              <w:bottom w:w="100" w:type="dxa"/>
              <w:end w:w="120" w:type="dxa"/>
            </w:tcMar>
          </w:tcPr>
          <w:p>
            <w:pPr>
              <w:spacing w:after="0" w:line="240" w:lineRule="auto"/>
            </w:pPr>
            <w:r>
              <w:rPr>
                <w:color w:val="000000"/>
                <w:sz w:val="16"/>
              </w:rPr>
              <w:t>What ships first?</w:t>
            </w:r>
          </w:p>
        </w:tc>
        <w:tc>
          <w:tcPr>
            <w:tcW w:type="dxa" w:w="6624"/>
            <w:shd w:fill="F5F7FA"/>
            <w:vAlign w:val="center"/>
            <w:tcMar>
              <w:top w:w="100" w:type="dxa"/>
              <w:start w:w="120" w:type="dxa"/>
              <w:bottom w:w="100" w:type="dxa"/>
              <w:end w:w="120" w:type="dxa"/>
            </w:tcMar>
          </w:tcPr>
          <w:p>
            <w:pPr>
              <w:spacing w:after="0" w:line="240" w:lineRule="auto"/>
            </w:pPr>
            <w:r>
              <w:rPr>
                <w:color w:val="000000"/>
                <w:sz w:val="16"/>
              </w:rPr>
              <w:t>Server-authoritative payments and pricing, item adjustment workflow, Razorpay partial refunds, immutable ledger, reconciliation, and customer status tracking.</w:t>
            </w:r>
          </w:p>
        </w:tc>
      </w:tr>
      <w:tr>
        <w:trPr>
          <w:cantSplit/>
        </w:trPr>
        <w:tc>
          <w:tcPr>
            <w:tcW w:type="dxa" w:w="3168"/>
            <w:vAlign w:val="center"/>
            <w:tcMar>
              <w:top w:w="100" w:type="dxa"/>
              <w:start w:w="120" w:type="dxa"/>
              <w:bottom w:w="100" w:type="dxa"/>
              <w:end w:w="120" w:type="dxa"/>
            </w:tcMar>
          </w:tcPr>
          <w:p>
            <w:pPr>
              <w:spacing w:after="0" w:line="240" w:lineRule="auto"/>
            </w:pPr>
            <w:r>
              <w:rPr>
                <w:color w:val="000000"/>
                <w:sz w:val="16"/>
              </w:rPr>
              <w:t>What ships later?</w:t>
            </w:r>
          </w:p>
        </w:tc>
        <w:tc>
          <w:tcPr>
            <w:tcW w:type="dxa" w:w="6624"/>
            <w:vAlign w:val="center"/>
            <w:tcMar>
              <w:top w:w="100" w:type="dxa"/>
              <w:start w:w="120" w:type="dxa"/>
              <w:bottom w:w="100" w:type="dxa"/>
              <w:end w:w="120" w:type="dxa"/>
            </w:tcMar>
          </w:tcPr>
          <w:p>
            <w:pPr>
              <w:spacing w:after="0" w:line="240" w:lineRule="auto"/>
            </w:pPr>
            <w:r>
              <w:rPr>
                <w:color w:val="000000"/>
                <w:sz w:val="16"/>
              </w:rPr>
              <w:t>Optional store credit after legal/accounting review, then wallet checkout and split-tender refunds.</w:t>
            </w:r>
          </w:p>
        </w:tc>
      </w:tr>
    </w:tbl>
    <w:p>
      <w:pPr>
        <w:spacing w:after="20"/>
      </w:pPr>
    </w:p>
    <w:p>
      <w:pPr>
        <w:pStyle w:val="Heading2"/>
      </w:pPr>
      <w:r>
        <w:t>Scope and assumptions</w:t>
      </w:r>
    </w:p>
    <w:p>
      <w:pPr>
        <w:spacing w:after="50"/>
        <w:ind w:left="403" w:hanging="259"/>
      </w:pPr>
      <w:r>
        <w:t xml:space="preserve">• </w:t>
      </w:r>
      <w:r>
        <w:t>India is the primary jurisdiction and INR is the only currency.</w:t>
      </w:r>
    </w:p>
    <w:p>
      <w:pPr>
        <w:spacing w:after="50"/>
        <w:ind w:left="403" w:hanging="259"/>
      </w:pPr>
      <w:r>
        <w:t xml:space="preserve">• </w:t>
      </w:r>
      <w:r>
        <w:t>Kissan Fresh is the merchant of record for grocery orders. The Home Food model must be separately classified as inventory-led or marketplace before wallet credit is shared across sellers.</w:t>
      </w:r>
    </w:p>
    <w:p>
      <w:pPr>
        <w:spacing w:after="50"/>
        <w:ind w:left="403" w:hanging="259"/>
      </w:pPr>
      <w:r>
        <w:t xml:space="preserve">• </w:t>
      </w:r>
      <w:r>
        <w:t>The report is implementation guidance, not a substitute for advice from an Indian payments lawyer and chartered accountant.</w:t>
      </w:r>
    </w:p>
    <w:p>
      <w:r>
        <w:br w:type="page"/>
      </w:r>
    </w:p>
    <w:p>
      <w:pPr>
        <w:pStyle w:val="Heading1"/>
      </w:pPr>
      <w:r>
        <w:t>1 Executive recommendation</w:t>
      </w:r>
    </w:p>
    <w:p>
      <w:r>
        <w:t>Implement partial refunds as a controlled financial adjustment system, not as an editable order field. The admin selects the unavailable or damaged units and a reason; the server computes the amount, records an immutable case, obtains any required approval, and posts exactly one refund or wallet credit using an idempotency key.</w:t>
      </w:r>
    </w:p>
    <w:p>
      <w:r>
        <w:t>The best customer policy is a choice at the point a refund is approved: (1) refund to the original payment method, or (2) receive immediate Kissan Fresh credit. The first option should be preselected or presented first, while the second requires an explicit tap and a concise explanation that the credit is not cash, cannot be transferred, and can be used only in the permitted Kissan Fresh channel. Do not silently divert money into a wallet.</w:t>
      </w:r>
    </w:p>
    <w:p>
      <w:pPr>
        <w:pStyle w:val="Heading2"/>
      </w:pPr>
      <w:r>
        <w:t>Why this is the strongest design</w:t>
      </w:r>
    </w:p>
    <w:p>
      <w:pPr>
        <w:spacing w:after="50"/>
        <w:ind w:left="403" w:hanging="259"/>
      </w:pPr>
      <w:r>
        <w:t xml:space="preserve">• </w:t>
      </w:r>
      <w:r>
        <w:t>Trust: customers generally expect a failed supply to be returned to the instrument they used.</w:t>
      </w:r>
    </w:p>
    <w:p>
      <w:pPr>
        <w:spacing w:after="50"/>
        <w:ind w:left="403" w:hanging="259"/>
      </w:pPr>
      <w:r>
        <w:t xml:space="preserve">• </w:t>
      </w:r>
      <w:r>
        <w:t>Speed choice: wallet credit can be instant while bank or UPI refunds can take several working days.</w:t>
      </w:r>
    </w:p>
    <w:p>
      <w:pPr>
        <w:spacing w:after="50"/>
        <w:ind w:left="403" w:hanging="259"/>
      </w:pPr>
      <w:r>
        <w:t xml:space="preserve">• </w:t>
      </w:r>
      <w:r>
        <w:t>Retention without coercion: customers who intend to reorder can choose credit, while others retain a cash-equivalent remedy.</w:t>
      </w:r>
    </w:p>
    <w:p>
      <w:pPr>
        <w:spacing w:after="50"/>
        <w:ind w:left="403" w:hanging="259"/>
      </w:pPr>
      <w:r>
        <w:t xml:space="preserve">• </w:t>
      </w:r>
      <w:r>
        <w:t>Lower regulatory scope: a tightly limited, single-merchant store credit is easier to defend than a reloadable, transferable, cashable, or multi-merchant wallet.</w:t>
      </w:r>
    </w:p>
    <w:p>
      <w:pPr>
        <w:spacing w:after="50"/>
        <w:ind w:left="403" w:hanging="259"/>
      </w:pPr>
      <w:r>
        <w:t xml:space="preserve">• </w:t>
      </w:r>
      <w:r>
        <w:t>Operational correctness: item-level cases preserve the delivered portion of an order, inventory history, tax records, and payment reconciliation.</w:t>
      </w:r>
    </w:p>
    <w:p>
      <w:pPr>
        <w:pStyle w:val="Heading2"/>
      </w:pPr>
      <w:r>
        <w:t>Build conditions before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464"/>
        <w:gridCol w:w="3600"/>
      </w:tblGrid>
      <w:tr>
        <w:trPr>
          <w:tblHeader w:val="true"/>
          <w:cantSplit/>
        </w:trPr>
        <w:tc>
          <w:tcPr>
            <w:tcW w:type="dxa" w:w="1728"/>
            <w:shd w:fill="17365D"/>
            <w:vAlign w:val="center"/>
            <w:tcMar>
              <w:top w:w="100" w:type="dxa"/>
              <w:start w:w="120" w:type="dxa"/>
              <w:bottom w:w="100" w:type="dxa"/>
              <w:end w:w="120" w:type="dxa"/>
            </w:tcMar>
          </w:tcPr>
          <w:p>
            <w:pPr>
              <w:spacing w:line="240" w:lineRule="auto"/>
              <w:jc w:val="center"/>
            </w:pPr>
            <w:r>
              <w:rPr>
                <w:b/>
                <w:color w:val="FFFFFF"/>
                <w:sz w:val="16"/>
              </w:rPr>
              <w:t>Gate</w:t>
            </w:r>
          </w:p>
        </w:tc>
        <w:tc>
          <w:tcPr>
            <w:tcW w:type="dxa" w:w="4464"/>
            <w:shd w:fill="17365D"/>
            <w:vAlign w:val="center"/>
            <w:tcMar>
              <w:top w:w="100" w:type="dxa"/>
              <w:start w:w="120" w:type="dxa"/>
              <w:bottom w:w="100" w:type="dxa"/>
              <w:end w:w="120" w:type="dxa"/>
            </w:tcMar>
          </w:tcPr>
          <w:p>
            <w:pPr>
              <w:spacing w:line="240" w:lineRule="auto"/>
              <w:jc w:val="center"/>
            </w:pPr>
            <w:r>
              <w:rPr>
                <w:b/>
                <w:color w:val="FFFFFF"/>
                <w:sz w:val="16"/>
              </w:rPr>
              <w:t>Required condition</w:t>
            </w:r>
          </w:p>
        </w:tc>
        <w:tc>
          <w:tcPr>
            <w:tcW w:type="dxa" w:w="3600"/>
            <w:shd w:fill="17365D"/>
            <w:vAlign w:val="center"/>
            <w:tcMar>
              <w:top w:w="100" w:type="dxa"/>
              <w:start w:w="120" w:type="dxa"/>
              <w:bottom w:w="100" w:type="dxa"/>
              <w:end w:w="120" w:type="dxa"/>
            </w:tcMar>
          </w:tcPr>
          <w:p>
            <w:pPr>
              <w:spacing w:line="240" w:lineRule="auto"/>
              <w:jc w:val="center"/>
            </w:pPr>
            <w:r>
              <w:rPr>
                <w:b/>
                <w:color w:val="FFFFFF"/>
                <w:sz w:val="16"/>
              </w:rPr>
              <w:t>Why it matters</w:t>
            </w:r>
          </w:p>
        </w:tc>
      </w:tr>
      <w:tr>
        <w:trPr>
          <w:cantSplit/>
        </w:trPr>
        <w:tc>
          <w:tcPr>
            <w:tcW w:type="dxa" w:w="1728"/>
            <w:vAlign w:val="center"/>
            <w:tcMar>
              <w:top w:w="100" w:type="dxa"/>
              <w:start w:w="120" w:type="dxa"/>
              <w:bottom w:w="100" w:type="dxa"/>
              <w:end w:w="120" w:type="dxa"/>
            </w:tcMar>
          </w:tcPr>
          <w:p>
            <w:pPr>
              <w:spacing w:after="0" w:line="240" w:lineRule="auto"/>
            </w:pPr>
            <w:r>
              <w:rPr>
                <w:color w:val="000000"/>
                <w:sz w:val="16"/>
              </w:rPr>
              <w:t>Payment trust</w:t>
            </w:r>
          </w:p>
        </w:tc>
        <w:tc>
          <w:tcPr>
            <w:tcW w:type="dxa" w:w="4464"/>
            <w:vAlign w:val="center"/>
            <w:tcMar>
              <w:top w:w="100" w:type="dxa"/>
              <w:start w:w="120" w:type="dxa"/>
              <w:bottom w:w="100" w:type="dxa"/>
              <w:end w:w="120" w:type="dxa"/>
            </w:tcMar>
          </w:tcPr>
          <w:p>
            <w:pPr>
              <w:spacing w:after="0" w:line="240" w:lineRule="auto"/>
            </w:pPr>
            <w:r>
              <w:rPr>
                <w:color w:val="000000"/>
                <w:sz w:val="16"/>
              </w:rPr>
              <w:t>Server creates the Razorpay order, recomputes totals, verifies checkout signature, and consumes verified webhooks.</w:t>
            </w:r>
          </w:p>
        </w:tc>
        <w:tc>
          <w:tcPr>
            <w:tcW w:type="dxa" w:w="3600"/>
            <w:vAlign w:val="center"/>
            <w:tcMar>
              <w:top w:w="100" w:type="dxa"/>
              <w:start w:w="120" w:type="dxa"/>
              <w:bottom w:w="100" w:type="dxa"/>
              <w:end w:w="120" w:type="dxa"/>
            </w:tcMar>
          </w:tcPr>
          <w:p>
            <w:pPr>
              <w:spacing w:after="0" w:line="240" w:lineRule="auto"/>
            </w:pPr>
            <w:r>
              <w:rPr>
                <w:color w:val="000000"/>
                <w:sz w:val="16"/>
              </w:rPr>
              <w:t>The current mobile callback and client-supplied totals are not a sufficient financial authority.</w:t>
            </w:r>
          </w:p>
        </w:tc>
      </w:tr>
      <w:tr>
        <w:trPr>
          <w:cantSplit/>
        </w:trPr>
        <w:tc>
          <w:tcPr>
            <w:tcW w:type="dxa" w:w="1728"/>
            <w:shd w:fill="F5F7FA"/>
            <w:vAlign w:val="center"/>
            <w:tcMar>
              <w:top w:w="100" w:type="dxa"/>
              <w:start w:w="120" w:type="dxa"/>
              <w:bottom w:w="100" w:type="dxa"/>
              <w:end w:w="120" w:type="dxa"/>
            </w:tcMar>
          </w:tcPr>
          <w:p>
            <w:pPr>
              <w:spacing w:after="0" w:line="240" w:lineRule="auto"/>
            </w:pPr>
            <w:r>
              <w:rPr>
                <w:color w:val="000000"/>
                <w:sz w:val="16"/>
              </w:rPr>
              <w:t>Money representation</w:t>
            </w:r>
          </w:p>
        </w:tc>
        <w:tc>
          <w:tcPr>
            <w:tcW w:type="dxa" w:w="4464"/>
            <w:shd w:fill="F5F7FA"/>
            <w:vAlign w:val="center"/>
            <w:tcMar>
              <w:top w:w="100" w:type="dxa"/>
              <w:start w:w="120" w:type="dxa"/>
              <w:bottom w:w="100" w:type="dxa"/>
              <w:end w:w="120" w:type="dxa"/>
            </w:tcMar>
          </w:tcPr>
          <w:p>
            <w:pPr>
              <w:spacing w:after="0" w:line="240" w:lineRule="auto"/>
            </w:pPr>
            <w:r>
              <w:rPr>
                <w:color w:val="000000"/>
                <w:sz w:val="16"/>
              </w:rPr>
              <w:t>All monetary values use integer paise.</w:t>
            </w:r>
          </w:p>
        </w:tc>
        <w:tc>
          <w:tcPr>
            <w:tcW w:type="dxa" w:w="3600"/>
            <w:shd w:fill="F5F7FA"/>
            <w:vAlign w:val="center"/>
            <w:tcMar>
              <w:top w:w="100" w:type="dxa"/>
              <w:start w:w="120" w:type="dxa"/>
              <w:bottom w:w="100" w:type="dxa"/>
              <w:end w:w="120" w:type="dxa"/>
            </w:tcMar>
          </w:tcPr>
          <w:p>
            <w:pPr>
              <w:spacing w:after="0" w:line="240" w:lineRule="auto"/>
            </w:pPr>
            <w:r>
              <w:rPr>
                <w:color w:val="000000"/>
                <w:sz w:val="16"/>
              </w:rPr>
              <w:t>Floating-point amounts can over- or under-refund.</w:t>
            </w:r>
          </w:p>
        </w:tc>
      </w:tr>
      <w:tr>
        <w:trPr>
          <w:cantSplit/>
        </w:trPr>
        <w:tc>
          <w:tcPr>
            <w:tcW w:type="dxa" w:w="1728"/>
            <w:vAlign w:val="center"/>
            <w:tcMar>
              <w:top w:w="100" w:type="dxa"/>
              <w:start w:w="120" w:type="dxa"/>
              <w:bottom w:w="100" w:type="dxa"/>
              <w:end w:w="120" w:type="dxa"/>
            </w:tcMar>
          </w:tcPr>
          <w:p>
            <w:pPr>
              <w:spacing w:after="0" w:line="240" w:lineRule="auto"/>
            </w:pPr>
            <w:r>
              <w:rPr>
                <w:color w:val="000000"/>
                <w:sz w:val="16"/>
              </w:rPr>
              <w:t>Idempotency</w:t>
            </w:r>
          </w:p>
        </w:tc>
        <w:tc>
          <w:tcPr>
            <w:tcW w:type="dxa" w:w="4464"/>
            <w:vAlign w:val="center"/>
            <w:tcMar>
              <w:top w:w="100" w:type="dxa"/>
              <w:start w:w="120" w:type="dxa"/>
              <w:bottom w:w="100" w:type="dxa"/>
              <w:end w:w="120" w:type="dxa"/>
            </w:tcMar>
          </w:tcPr>
          <w:p>
            <w:pPr>
              <w:spacing w:after="0" w:line="240" w:lineRule="auto"/>
            </w:pPr>
            <w:r>
              <w:rPr>
                <w:color w:val="000000"/>
                <w:sz w:val="16"/>
              </w:rPr>
              <w:t>Every checkout, adjustment, refund, webhook, and wallet posting has a unique key.</w:t>
            </w:r>
          </w:p>
        </w:tc>
        <w:tc>
          <w:tcPr>
            <w:tcW w:type="dxa" w:w="3600"/>
            <w:vAlign w:val="center"/>
            <w:tcMar>
              <w:top w:w="100" w:type="dxa"/>
              <w:start w:w="120" w:type="dxa"/>
              <w:bottom w:w="100" w:type="dxa"/>
              <w:end w:w="120" w:type="dxa"/>
            </w:tcMar>
          </w:tcPr>
          <w:p>
            <w:pPr>
              <w:spacing w:after="0" w:line="240" w:lineRule="auto"/>
            </w:pPr>
            <w:r>
              <w:rPr>
                <w:color w:val="000000"/>
                <w:sz w:val="16"/>
              </w:rPr>
              <w:t>Retries must never create duplicate money movement.</w:t>
            </w:r>
          </w:p>
        </w:tc>
      </w:tr>
      <w:tr>
        <w:trPr>
          <w:cantSplit/>
        </w:trPr>
        <w:tc>
          <w:tcPr>
            <w:tcW w:type="dxa" w:w="1728"/>
            <w:shd w:fill="F5F7FA"/>
            <w:vAlign w:val="center"/>
            <w:tcMar>
              <w:top w:w="100" w:type="dxa"/>
              <w:start w:w="120" w:type="dxa"/>
              <w:bottom w:w="100" w:type="dxa"/>
              <w:end w:w="120" w:type="dxa"/>
            </w:tcMar>
          </w:tcPr>
          <w:p>
            <w:pPr>
              <w:spacing w:after="0" w:line="240" w:lineRule="auto"/>
            </w:pPr>
            <w:r>
              <w:rPr>
                <w:color w:val="000000"/>
                <w:sz w:val="16"/>
              </w:rPr>
              <w:t>Ledger</w:t>
            </w:r>
          </w:p>
        </w:tc>
        <w:tc>
          <w:tcPr>
            <w:tcW w:type="dxa" w:w="4464"/>
            <w:shd w:fill="F5F7FA"/>
            <w:vAlign w:val="center"/>
            <w:tcMar>
              <w:top w:w="100" w:type="dxa"/>
              <w:start w:w="120" w:type="dxa"/>
              <w:bottom w:w="100" w:type="dxa"/>
              <w:end w:w="120" w:type="dxa"/>
            </w:tcMar>
          </w:tcPr>
          <w:p>
            <w:pPr>
              <w:spacing w:after="0" w:line="240" w:lineRule="auto"/>
            </w:pPr>
            <w:r>
              <w:rPr>
                <w:color w:val="000000"/>
                <w:sz w:val="16"/>
              </w:rPr>
              <w:t>Refund and wallet entries are immutable; balances are derived or transactionally maintained.</w:t>
            </w:r>
          </w:p>
        </w:tc>
        <w:tc>
          <w:tcPr>
            <w:tcW w:type="dxa" w:w="3600"/>
            <w:shd w:fill="F5F7FA"/>
            <w:vAlign w:val="center"/>
            <w:tcMar>
              <w:top w:w="100" w:type="dxa"/>
              <w:start w:w="120" w:type="dxa"/>
              <w:bottom w:w="100" w:type="dxa"/>
              <w:end w:w="120" w:type="dxa"/>
            </w:tcMar>
          </w:tcPr>
          <w:p>
            <w:pPr>
              <w:spacing w:after="0" w:line="240" w:lineRule="auto"/>
            </w:pPr>
            <w:r>
              <w:rPr>
                <w:color w:val="000000"/>
                <w:sz w:val="16"/>
              </w:rPr>
              <w:t>Editable balances are unauditable and easy to abuse.</w:t>
            </w:r>
          </w:p>
        </w:tc>
      </w:tr>
      <w:tr>
        <w:trPr>
          <w:cantSplit/>
        </w:trPr>
        <w:tc>
          <w:tcPr>
            <w:tcW w:type="dxa" w:w="1728"/>
            <w:vAlign w:val="center"/>
            <w:tcMar>
              <w:top w:w="100" w:type="dxa"/>
              <w:start w:w="120" w:type="dxa"/>
              <w:bottom w:w="100" w:type="dxa"/>
              <w:end w:w="120" w:type="dxa"/>
            </w:tcMar>
          </w:tcPr>
          <w:p>
            <w:pPr>
              <w:spacing w:after="0" w:line="240" w:lineRule="auto"/>
            </w:pPr>
            <w:r>
              <w:rPr>
                <w:color w:val="000000"/>
                <w:sz w:val="16"/>
              </w:rPr>
              <w:t>Authorization</w:t>
            </w:r>
          </w:p>
        </w:tc>
        <w:tc>
          <w:tcPr>
            <w:tcW w:type="dxa" w:w="4464"/>
            <w:vAlign w:val="center"/>
            <w:tcMar>
              <w:top w:w="100" w:type="dxa"/>
              <w:start w:w="120" w:type="dxa"/>
              <w:bottom w:w="100" w:type="dxa"/>
              <w:end w:w="120" w:type="dxa"/>
            </w:tcMar>
          </w:tcPr>
          <w:p>
            <w:pPr>
              <w:spacing w:after="0" w:line="240" w:lineRule="auto"/>
            </w:pPr>
            <w:r>
              <w:rPr>
                <w:color w:val="000000"/>
                <w:sz w:val="16"/>
              </w:rPr>
              <w:t>Financial functions run only on the server; permissions are separated by role and approval threshold.</w:t>
            </w:r>
          </w:p>
        </w:tc>
        <w:tc>
          <w:tcPr>
            <w:tcW w:type="dxa" w:w="3600"/>
            <w:vAlign w:val="center"/>
            <w:tcMar>
              <w:top w:w="100" w:type="dxa"/>
              <w:start w:w="120" w:type="dxa"/>
              <w:bottom w:w="100" w:type="dxa"/>
              <w:end w:w="120" w:type="dxa"/>
            </w:tcMar>
          </w:tcPr>
          <w:p>
            <w:pPr>
              <w:spacing w:after="0" w:line="240" w:lineRule="auto"/>
            </w:pPr>
            <w:r>
              <w:rPr>
                <w:color w:val="000000"/>
                <w:sz w:val="16"/>
              </w:rPr>
              <w:t>The dashboard currently updates order status directly from the client.</w:t>
            </w:r>
          </w:p>
        </w:tc>
      </w:tr>
      <w:tr>
        <w:trPr>
          <w:cantSplit/>
        </w:trPr>
        <w:tc>
          <w:tcPr>
            <w:tcW w:type="dxa" w:w="1728"/>
            <w:shd w:fill="F5F7FA"/>
            <w:vAlign w:val="center"/>
            <w:tcMar>
              <w:top w:w="100" w:type="dxa"/>
              <w:start w:w="120" w:type="dxa"/>
              <w:bottom w:w="100" w:type="dxa"/>
              <w:end w:w="120" w:type="dxa"/>
            </w:tcMar>
          </w:tcPr>
          <w:p>
            <w:pPr>
              <w:spacing w:after="0" w:line="240" w:lineRule="auto"/>
            </w:pPr>
            <w:r>
              <w:rPr>
                <w:color w:val="000000"/>
                <w:sz w:val="16"/>
              </w:rPr>
              <w:t>Reconciliation</w:t>
            </w:r>
          </w:p>
        </w:tc>
        <w:tc>
          <w:tcPr>
            <w:tcW w:type="dxa" w:w="4464"/>
            <w:shd w:fill="F5F7FA"/>
            <w:vAlign w:val="center"/>
            <w:tcMar>
              <w:top w:w="100" w:type="dxa"/>
              <w:start w:w="120" w:type="dxa"/>
              <w:bottom w:w="100" w:type="dxa"/>
              <w:end w:w="120" w:type="dxa"/>
            </w:tcMar>
          </w:tcPr>
          <w:p>
            <w:pPr>
              <w:spacing w:after="0" w:line="240" w:lineRule="auto"/>
            </w:pPr>
            <w:r>
              <w:rPr>
                <w:color w:val="000000"/>
                <w:sz w:val="16"/>
              </w:rPr>
              <w:t>Daily comparison among orders, ledger entries, Razorpay refunds, settlements, and accounting records.</w:t>
            </w:r>
          </w:p>
        </w:tc>
        <w:tc>
          <w:tcPr>
            <w:tcW w:type="dxa" w:w="3600"/>
            <w:shd w:fill="F5F7FA"/>
            <w:vAlign w:val="center"/>
            <w:tcMar>
              <w:top w:w="100" w:type="dxa"/>
              <w:start w:w="120" w:type="dxa"/>
              <w:bottom w:w="100" w:type="dxa"/>
              <w:end w:w="120" w:type="dxa"/>
            </w:tcMar>
          </w:tcPr>
          <w:p>
            <w:pPr>
              <w:spacing w:after="0" w:line="240" w:lineRule="auto"/>
            </w:pPr>
            <w:r>
              <w:rPr>
                <w:color w:val="000000"/>
                <w:sz w:val="16"/>
              </w:rPr>
              <w:t>A successful API response is not always the final bank outcome.</w:t>
            </w:r>
          </w:p>
        </w:tc>
      </w:tr>
    </w:tbl>
    <w:p>
      <w:pPr>
        <w:spacing w:after="20"/>
      </w:pPr>
    </w:p>
    <w:p>
      <w:pPr>
        <w:pStyle w:val="Heading2"/>
      </w:pPr>
      <w:r>
        <w:t>Go or no go</w:t>
      </w:r>
    </w:p>
    <w:p>
      <w:r>
        <w:t>Go for partial source refunds after the payment-hardening gates are met. Make the optional credit wallet a second phase. Do not launch a wallet that supports customer top-ups, transfers, withdrawal, third-party sellers, or promotional cash equivalents until specialist counsel confirms the RBI and accounting treatment.</w:t>
      </w:r>
    </w:p>
    <w:p>
      <w:r>
        <w:br w:type="page"/>
      </w:r>
    </w:p>
    <w:p>
      <w:pPr>
        <w:pStyle w:val="Heading1"/>
      </w:pPr>
      <w:r>
        <w:t>2 Current system assessment</w:t>
      </w:r>
    </w:p>
    <w:p>
      <w:r>
        <w:t>Kissan Fresh already has a useful foundation: order creation is a callable Cloud Function; inventory, coupon count, delivery slot, rider capacity, and order creation are committed in a Firestore transaction; online checkout uses Razorpay; and a failed-order trigger can issue a full refund when payment succeeded but order creation failed.</w:t>
      </w:r>
    </w:p>
    <w:p>
      <w:pPr>
        <w:pStyle w:val="Heading2"/>
      </w:pPr>
      <w:r>
        <w:t>Important gaps for this feature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104"/>
      </w:tblGrid>
      <w:tr>
        <w:trPr>
          <w:tblHeader w:val="true"/>
          <w:cantSplit/>
        </w:trPr>
        <w:tc>
          <w:tcPr>
            <w:tcW w:type="dxa" w:w="1800"/>
            <w:shd w:fill="17365D"/>
            <w:vAlign w:val="center"/>
            <w:tcMar>
              <w:top w:w="100" w:type="dxa"/>
              <w:start w:w="120" w:type="dxa"/>
              <w:bottom w:w="100" w:type="dxa"/>
              <w:end w:w="120" w:type="dxa"/>
            </w:tcMar>
          </w:tcPr>
          <w:p>
            <w:pPr>
              <w:spacing w:line="240" w:lineRule="auto"/>
              <w:jc w:val="center"/>
            </w:pPr>
            <w:r>
              <w:rPr>
                <w:b/>
                <w:color w:val="FFFFFF"/>
                <w:sz w:val="16"/>
              </w:rPr>
              <w:t>Area</w:t>
            </w:r>
          </w:p>
        </w:tc>
        <w:tc>
          <w:tcPr>
            <w:tcW w:type="dxa" w:w="3888"/>
            <w:shd w:fill="17365D"/>
            <w:vAlign w:val="center"/>
            <w:tcMar>
              <w:top w:w="100" w:type="dxa"/>
              <w:start w:w="120" w:type="dxa"/>
              <w:bottom w:w="100" w:type="dxa"/>
              <w:end w:w="120" w:type="dxa"/>
            </w:tcMar>
          </w:tcPr>
          <w:p>
            <w:pPr>
              <w:spacing w:line="240" w:lineRule="auto"/>
              <w:jc w:val="center"/>
            </w:pPr>
            <w:r>
              <w:rPr>
                <w:b/>
                <w:color w:val="FFFFFF"/>
                <w:sz w:val="16"/>
              </w:rPr>
              <w:t>Current behavior</w:t>
            </w:r>
          </w:p>
        </w:tc>
        <w:tc>
          <w:tcPr>
            <w:tcW w:type="dxa" w:w="4104"/>
            <w:shd w:fill="17365D"/>
            <w:vAlign w:val="center"/>
            <w:tcMar>
              <w:top w:w="100" w:type="dxa"/>
              <w:start w:w="120" w:type="dxa"/>
              <w:bottom w:w="100" w:type="dxa"/>
              <w:end w:w="120" w:type="dxa"/>
            </w:tcMar>
          </w:tcPr>
          <w:p>
            <w:pPr>
              <w:spacing w:line="240" w:lineRule="auto"/>
              <w:jc w:val="center"/>
            </w:pPr>
            <w:r>
              <w:rPr>
                <w:b/>
                <w:color w:val="FFFFFF"/>
                <w:sz w:val="16"/>
              </w:rPr>
              <w:t>Gap introduced by partial refunds</w:t>
            </w:r>
          </w:p>
        </w:tc>
      </w:tr>
      <w:tr>
        <w:trPr>
          <w:cantSplit/>
        </w:trPr>
        <w:tc>
          <w:tcPr>
            <w:tcW w:type="dxa" w:w="1800"/>
            <w:vAlign w:val="center"/>
            <w:tcMar>
              <w:top w:w="100" w:type="dxa"/>
              <w:start w:w="120" w:type="dxa"/>
              <w:bottom w:w="100" w:type="dxa"/>
              <w:end w:w="120" w:type="dxa"/>
            </w:tcMar>
          </w:tcPr>
          <w:p>
            <w:pPr>
              <w:spacing w:after="0" w:line="240" w:lineRule="auto"/>
            </w:pPr>
            <w:r>
              <w:rPr>
                <w:color w:val="000000"/>
                <w:sz w:val="16"/>
              </w:rPr>
              <w:t>Order items</w:t>
            </w:r>
          </w:p>
        </w:tc>
        <w:tc>
          <w:tcPr>
            <w:tcW w:type="dxa" w:w="3888"/>
            <w:vAlign w:val="center"/>
            <w:tcMar>
              <w:top w:w="100" w:type="dxa"/>
              <w:start w:w="120" w:type="dxa"/>
              <w:bottom w:w="100" w:type="dxa"/>
              <w:end w:w="120" w:type="dxa"/>
            </w:tcMar>
          </w:tcPr>
          <w:p>
            <w:pPr>
              <w:spacing w:after="0" w:line="240" w:lineRule="auto"/>
            </w:pPr>
            <w:r>
              <w:rPr>
                <w:color w:val="000000"/>
                <w:sz w:val="16"/>
              </w:rPr>
              <w:t>Each item stores product, variation, quantity, price, and MRP.</w:t>
            </w:r>
          </w:p>
        </w:tc>
        <w:tc>
          <w:tcPr>
            <w:tcW w:type="dxa" w:w="4104"/>
            <w:vAlign w:val="center"/>
            <w:tcMar>
              <w:top w:w="100" w:type="dxa"/>
              <w:start w:w="120" w:type="dxa"/>
              <w:bottom w:w="100" w:type="dxa"/>
              <w:end w:w="120" w:type="dxa"/>
            </w:tcMar>
          </w:tcPr>
          <w:p>
            <w:pPr>
              <w:spacing w:after="0" w:line="240" w:lineRule="auto"/>
            </w:pPr>
            <w:r>
              <w:rPr>
                <w:color w:val="000000"/>
                <w:sz w:val="16"/>
              </w:rPr>
              <w:t>No fulfilled, unavailable, damaged, returned, or refunded quantities per line.</w:t>
            </w:r>
          </w:p>
        </w:tc>
      </w:tr>
      <w:tr>
        <w:trPr>
          <w:cantSplit/>
        </w:trPr>
        <w:tc>
          <w:tcPr>
            <w:tcW w:type="dxa" w:w="1800"/>
            <w:shd w:fill="F5F7FA"/>
            <w:vAlign w:val="center"/>
            <w:tcMar>
              <w:top w:w="100" w:type="dxa"/>
              <w:start w:w="120" w:type="dxa"/>
              <w:bottom w:w="100" w:type="dxa"/>
              <w:end w:w="120" w:type="dxa"/>
            </w:tcMar>
          </w:tcPr>
          <w:p>
            <w:pPr>
              <w:spacing w:after="0" w:line="240" w:lineRule="auto"/>
            </w:pPr>
            <w:r>
              <w:rPr>
                <w:color w:val="000000"/>
                <w:sz w:val="16"/>
              </w:rPr>
              <w:t>Payment</w:t>
            </w:r>
          </w:p>
        </w:tc>
        <w:tc>
          <w:tcPr>
            <w:tcW w:type="dxa" w:w="3888"/>
            <w:shd w:fill="F5F7FA"/>
            <w:vAlign w:val="center"/>
            <w:tcMar>
              <w:top w:w="100" w:type="dxa"/>
              <w:start w:w="120" w:type="dxa"/>
              <w:bottom w:w="100" w:type="dxa"/>
              <w:end w:w="120" w:type="dxa"/>
            </w:tcMar>
          </w:tcPr>
          <w:p>
            <w:pPr>
              <w:spacing w:after="0" w:line="240" w:lineRule="auto"/>
            </w:pPr>
            <w:r>
              <w:rPr>
                <w:color w:val="000000"/>
                <w:sz w:val="16"/>
              </w:rPr>
              <w:t>Mobile sends payment ID and payment status with the order.</w:t>
            </w:r>
          </w:p>
        </w:tc>
        <w:tc>
          <w:tcPr>
            <w:tcW w:type="dxa" w:w="4104"/>
            <w:shd w:fill="F5F7FA"/>
            <w:vAlign w:val="center"/>
            <w:tcMar>
              <w:top w:w="100" w:type="dxa"/>
              <w:start w:w="120" w:type="dxa"/>
              <w:bottom w:w="100" w:type="dxa"/>
              <w:end w:w="120" w:type="dxa"/>
            </w:tcMar>
          </w:tcPr>
          <w:p>
            <w:pPr>
              <w:spacing w:after="0" w:line="240" w:lineRule="auto"/>
            </w:pPr>
            <w:r>
              <w:rPr>
                <w:color w:val="000000"/>
                <w:sz w:val="16"/>
              </w:rPr>
              <w:t>Server does not yet prove the payment belongs to the authenticated user/order and equals the authoritative total.</w:t>
            </w:r>
          </w:p>
        </w:tc>
      </w:tr>
      <w:tr>
        <w:trPr>
          <w:cantSplit/>
        </w:trPr>
        <w:tc>
          <w:tcPr>
            <w:tcW w:type="dxa" w:w="1800"/>
            <w:vAlign w:val="center"/>
            <w:tcMar>
              <w:top w:w="100" w:type="dxa"/>
              <w:start w:w="120" w:type="dxa"/>
              <w:bottom w:w="100" w:type="dxa"/>
              <w:end w:w="120" w:type="dxa"/>
            </w:tcMar>
          </w:tcPr>
          <w:p>
            <w:pPr>
              <w:spacing w:after="0" w:line="240" w:lineRule="auto"/>
            </w:pPr>
            <w:r>
              <w:rPr>
                <w:color w:val="000000"/>
                <w:sz w:val="16"/>
              </w:rPr>
              <w:t>Refund recovery</w:t>
            </w:r>
          </w:p>
        </w:tc>
        <w:tc>
          <w:tcPr>
            <w:tcW w:type="dxa" w:w="3888"/>
            <w:vAlign w:val="center"/>
            <w:tcMar>
              <w:top w:w="100" w:type="dxa"/>
              <w:start w:w="120" w:type="dxa"/>
              <w:bottom w:w="100" w:type="dxa"/>
              <w:end w:w="120" w:type="dxa"/>
            </w:tcMar>
          </w:tcPr>
          <w:p>
            <w:pPr>
              <w:spacing w:after="0" w:line="240" w:lineRule="auto"/>
            </w:pPr>
            <w:r>
              <w:rPr>
                <w:color w:val="000000"/>
                <w:sz w:val="16"/>
              </w:rPr>
              <w:t>A Firestore trigger issues a full refund for selected failed-order states.</w:t>
            </w:r>
          </w:p>
        </w:tc>
        <w:tc>
          <w:tcPr>
            <w:tcW w:type="dxa" w:w="4104"/>
            <w:vAlign w:val="center"/>
            <w:tcMar>
              <w:top w:w="100" w:type="dxa"/>
              <w:start w:w="120" w:type="dxa"/>
              <w:bottom w:w="100" w:type="dxa"/>
              <w:end w:w="120" w:type="dxa"/>
            </w:tcMar>
          </w:tcPr>
          <w:p>
            <w:pPr>
              <w:spacing w:after="0" w:line="240" w:lineRule="auto"/>
            </w:pPr>
            <w:r>
              <w:rPr>
                <w:color w:val="000000"/>
                <w:sz w:val="16"/>
              </w:rPr>
              <w:t>No partial amount, case approval, durable retry queue, webhook-finalized state, or cumulative-refund cap.</w:t>
            </w:r>
          </w:p>
        </w:tc>
      </w:tr>
      <w:tr>
        <w:trPr>
          <w:cantSplit/>
        </w:trPr>
        <w:tc>
          <w:tcPr>
            <w:tcW w:type="dxa" w:w="1800"/>
            <w:shd w:fill="F5F7FA"/>
            <w:vAlign w:val="center"/>
            <w:tcMar>
              <w:top w:w="100" w:type="dxa"/>
              <w:start w:w="120" w:type="dxa"/>
              <w:bottom w:w="100" w:type="dxa"/>
              <w:end w:w="120" w:type="dxa"/>
            </w:tcMar>
          </w:tcPr>
          <w:p>
            <w:pPr>
              <w:spacing w:after="0" w:line="240" w:lineRule="auto"/>
            </w:pPr>
            <w:r>
              <w:rPr>
                <w:color w:val="000000"/>
                <w:sz w:val="16"/>
              </w:rPr>
              <w:t>Admin</w:t>
            </w:r>
          </w:p>
        </w:tc>
        <w:tc>
          <w:tcPr>
            <w:tcW w:type="dxa" w:w="3888"/>
            <w:shd w:fill="F5F7FA"/>
            <w:vAlign w:val="center"/>
            <w:tcMar>
              <w:top w:w="100" w:type="dxa"/>
              <w:start w:w="120" w:type="dxa"/>
              <w:bottom w:w="100" w:type="dxa"/>
              <w:end w:w="120" w:type="dxa"/>
            </w:tcMar>
          </w:tcPr>
          <w:p>
            <w:pPr>
              <w:spacing w:after="0" w:line="240" w:lineRule="auto"/>
            </w:pPr>
            <w:r>
              <w:rPr>
                <w:color w:val="000000"/>
                <w:sz w:val="16"/>
              </w:rPr>
              <w:t>Authorized staff can directly update order status from the browser.</w:t>
            </w:r>
          </w:p>
        </w:tc>
        <w:tc>
          <w:tcPr>
            <w:tcW w:type="dxa" w:w="4104"/>
            <w:shd w:fill="F5F7FA"/>
            <w:vAlign w:val="center"/>
            <w:tcMar>
              <w:top w:w="100" w:type="dxa"/>
              <w:start w:w="120" w:type="dxa"/>
              <w:bottom w:w="100" w:type="dxa"/>
              <w:end w:w="120" w:type="dxa"/>
            </w:tcMar>
          </w:tcPr>
          <w:p>
            <w:pPr>
              <w:spacing w:after="0" w:line="240" w:lineRule="auto"/>
            </w:pPr>
            <w:r>
              <w:rPr>
                <w:color w:val="000000"/>
                <w:sz w:val="16"/>
              </w:rPr>
              <w:t>Financial changes need server-only commands, granular permissions, and maker-checker controls.</w:t>
            </w:r>
          </w:p>
        </w:tc>
      </w:tr>
      <w:tr>
        <w:trPr>
          <w:cantSplit/>
        </w:trPr>
        <w:tc>
          <w:tcPr>
            <w:tcW w:type="dxa" w:w="1800"/>
            <w:vAlign w:val="center"/>
            <w:tcMar>
              <w:top w:w="100" w:type="dxa"/>
              <w:start w:w="120" w:type="dxa"/>
              <w:bottom w:w="100" w:type="dxa"/>
              <w:end w:w="120" w:type="dxa"/>
            </w:tcMar>
          </w:tcPr>
          <w:p>
            <w:pPr>
              <w:spacing w:after="0" w:line="240" w:lineRule="auto"/>
            </w:pPr>
            <w:r>
              <w:rPr>
                <w:color w:val="000000"/>
                <w:sz w:val="16"/>
              </w:rPr>
              <w:t>Rules</w:t>
            </w:r>
          </w:p>
        </w:tc>
        <w:tc>
          <w:tcPr>
            <w:tcW w:type="dxa" w:w="3888"/>
            <w:vAlign w:val="center"/>
            <w:tcMar>
              <w:top w:w="100" w:type="dxa"/>
              <w:start w:w="120" w:type="dxa"/>
              <w:bottom w:w="100" w:type="dxa"/>
              <w:end w:w="120" w:type="dxa"/>
            </w:tcMar>
          </w:tcPr>
          <w:p>
            <w:pPr>
              <w:spacing w:after="0" w:line="240" w:lineRule="auto"/>
            </w:pPr>
            <w:r>
              <w:rPr>
                <w:color w:val="000000"/>
                <w:sz w:val="16"/>
              </w:rPr>
              <w:t>Orders are client-read, server-created; staff with Order Management can update them.</w:t>
            </w:r>
          </w:p>
        </w:tc>
        <w:tc>
          <w:tcPr>
            <w:tcW w:type="dxa" w:w="4104"/>
            <w:vAlign w:val="center"/>
            <w:tcMar>
              <w:top w:w="100" w:type="dxa"/>
              <w:start w:w="120" w:type="dxa"/>
              <w:bottom w:w="100" w:type="dxa"/>
              <w:end w:w="120" w:type="dxa"/>
            </w:tcMar>
          </w:tcPr>
          <w:p>
            <w:pPr>
              <w:spacing w:after="0" w:line="240" w:lineRule="auto"/>
            </w:pPr>
            <w:r>
              <w:rPr>
                <w:color w:val="000000"/>
                <w:sz w:val="16"/>
              </w:rPr>
              <w:t>Separate protected financial collections are required; clients must never create wallet credits or mark refunds successful.</w:t>
            </w:r>
          </w:p>
        </w:tc>
      </w:tr>
      <w:tr>
        <w:trPr>
          <w:cantSplit/>
        </w:trPr>
        <w:tc>
          <w:tcPr>
            <w:tcW w:type="dxa" w:w="1800"/>
            <w:shd w:fill="F5F7FA"/>
            <w:vAlign w:val="center"/>
            <w:tcMar>
              <w:top w:w="100" w:type="dxa"/>
              <w:start w:w="120" w:type="dxa"/>
              <w:bottom w:w="100" w:type="dxa"/>
              <w:end w:w="120" w:type="dxa"/>
            </w:tcMar>
          </w:tcPr>
          <w:p>
            <w:pPr>
              <w:spacing w:after="0" w:line="240" w:lineRule="auto"/>
            </w:pPr>
            <w:r>
              <w:rPr>
                <w:color w:val="000000"/>
                <w:sz w:val="16"/>
              </w:rPr>
              <w:t>Mobile</w:t>
            </w:r>
          </w:p>
        </w:tc>
        <w:tc>
          <w:tcPr>
            <w:tcW w:type="dxa" w:w="3888"/>
            <w:shd w:fill="F5F7FA"/>
            <w:vAlign w:val="center"/>
            <w:tcMar>
              <w:top w:w="100" w:type="dxa"/>
              <w:start w:w="120" w:type="dxa"/>
              <w:bottom w:w="100" w:type="dxa"/>
              <w:end w:w="120" w:type="dxa"/>
            </w:tcMar>
          </w:tcPr>
          <w:p>
            <w:pPr>
              <w:spacing w:after="0" w:line="240" w:lineRule="auto"/>
            </w:pPr>
            <w:r>
              <w:rPr>
                <w:color w:val="000000"/>
                <w:sz w:val="16"/>
              </w:rPr>
              <w:t>Order status supports processing, out for delivery, delivered, and cancelled.</w:t>
            </w:r>
          </w:p>
        </w:tc>
        <w:tc>
          <w:tcPr>
            <w:tcW w:type="dxa" w:w="4104"/>
            <w:shd w:fill="F5F7FA"/>
            <w:vAlign w:val="center"/>
            <w:tcMar>
              <w:top w:w="100" w:type="dxa"/>
              <w:start w:w="120" w:type="dxa"/>
              <w:bottom w:w="100" w:type="dxa"/>
              <w:end w:w="120" w:type="dxa"/>
            </w:tcMar>
          </w:tcPr>
          <w:p>
            <w:pPr>
              <w:spacing w:after="0" w:line="240" w:lineRule="auto"/>
            </w:pPr>
            <w:r>
              <w:rPr>
                <w:color w:val="000000"/>
                <w:sz w:val="16"/>
              </w:rPr>
              <w:t>The app needs adjusted/partially delivered presentation, refund timeline, tender breakdown, and wallet statement.</w:t>
            </w:r>
          </w:p>
        </w:tc>
      </w:tr>
    </w:tbl>
    <w:p>
      <w:pPr>
        <w:spacing w:after="20"/>
      </w:pPr>
    </w:p>
    <w:p>
      <w:pPr>
        <w:pStyle w:val="Heading2"/>
      </w:pPr>
      <w:r>
        <w:t>Critical pre-existing risk</w:t>
      </w:r>
    </w:p>
    <w:p>
      <w:r>
        <w:t>The server currently spreads client-supplied order data into the final order document. Product stock is checked, but the authoritative price, discounts, coupon scope, delivery fee, and paid status are not fully reconstructed and verified on the server. A malicious client could attempt to manipulate totals or attach an unrelated payment ID. The wallet would magnify this weakness because an attacker could turn a fabricated adjustment into reusable value. Payment hardening is therefore a prerequisite, not a parallel nice-to-have.</w:t>
      </w:r>
    </w:p>
    <w:p>
      <w:pPr>
        <w:pStyle w:val="Heading2"/>
      </w:pPr>
      <w:r>
        <w:t>Recommended ownership boundary</w:t>
      </w:r>
    </w:p>
    <w:p>
      <w:pPr>
        <w:spacing w:after="50"/>
        <w:ind w:left="403" w:hanging="259"/>
      </w:pPr>
      <w:r>
        <w:t xml:space="preserve">• </w:t>
      </w:r>
      <w:r>
        <w:t>Flutter app: display choices and status; never calculate the authoritative refund or wallet balance.</w:t>
      </w:r>
    </w:p>
    <w:p>
      <w:pPr>
        <w:spacing w:after="50"/>
        <w:ind w:left="403" w:hanging="259"/>
      </w:pPr>
      <w:r>
        <w:t xml:space="preserve">• </w:t>
      </w:r>
      <w:r>
        <w:t>Next.js dashboard: submit item selections, evidence, and reason; never write financial records directly.</w:t>
      </w:r>
    </w:p>
    <w:p>
      <w:pPr>
        <w:spacing w:after="50"/>
        <w:ind w:left="403" w:hanging="259"/>
      </w:pPr>
      <w:r>
        <w:t xml:space="preserve">• </w:t>
      </w:r>
      <w:r>
        <w:t>Cloud Functions: validate permissions, calculate amounts, run state transitions, call Razorpay, and post ledger entries.</w:t>
      </w:r>
    </w:p>
    <w:p>
      <w:pPr>
        <w:spacing w:after="50"/>
        <w:ind w:left="403" w:hanging="259"/>
      </w:pPr>
      <w:r>
        <w:t xml:space="preserve">• </w:t>
      </w:r>
      <w:r>
        <w:t>Firestore: durable system of record with append-only financial events and protected projections.</w:t>
      </w:r>
    </w:p>
    <w:p>
      <w:pPr>
        <w:spacing w:after="50"/>
        <w:ind w:left="403" w:hanging="259"/>
      </w:pPr>
      <w:r>
        <w:t xml:space="preserve">• </w:t>
      </w:r>
      <w:r>
        <w:t>Razorpay: execution and final source-refund status; webhooks are verified server-to-server.</w:t>
      </w:r>
    </w:p>
    <w:p>
      <w:r>
        <w:br w:type="page"/>
      </w:r>
    </w:p>
    <w:p>
      <w:pPr>
        <w:pStyle w:val="Heading1"/>
      </w:pPr>
      <w:r>
        <w:t>3 Customer and operations policy</w:t>
      </w:r>
    </w:p>
    <w:p>
      <w:r>
        <w:t>A consistent policy prevents disputes and makes calculation testable. Publish it in the app before checkout, in order details, and in the refund-choice screen. Keep the language simple and show expected timing before the customer confirms.</w:t>
      </w:r>
    </w:p>
    <w:p>
      <w:pPr>
        <w:pStyle w:val="Heading2"/>
      </w:pPr>
      <w:r>
        <w:t>Refund destination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600"/>
        <w:gridCol w:w="3024"/>
      </w:tblGrid>
      <w:tr>
        <w:trPr>
          <w:tblHeader w:val="true"/>
          <w:cantSplit/>
        </w:trPr>
        <w:tc>
          <w:tcPr>
            <w:tcW w:type="dxa" w:w="3240"/>
            <w:shd w:fill="17365D"/>
            <w:vAlign w:val="center"/>
            <w:tcMar>
              <w:top w:w="100" w:type="dxa"/>
              <w:start w:w="120" w:type="dxa"/>
              <w:bottom w:w="100" w:type="dxa"/>
              <w:end w:w="120" w:type="dxa"/>
            </w:tcMar>
          </w:tcPr>
          <w:p>
            <w:pPr>
              <w:spacing w:line="240" w:lineRule="auto"/>
              <w:jc w:val="center"/>
            </w:pPr>
            <w:r>
              <w:rPr>
                <w:b/>
                <w:color w:val="FFFFFF"/>
                <w:sz w:val="16"/>
              </w:rPr>
              <w:t>Payment situation</w:t>
            </w:r>
          </w:p>
        </w:tc>
        <w:tc>
          <w:tcPr>
            <w:tcW w:type="dxa" w:w="3600"/>
            <w:shd w:fill="17365D"/>
            <w:vAlign w:val="center"/>
            <w:tcMar>
              <w:top w:w="100" w:type="dxa"/>
              <w:start w:w="120" w:type="dxa"/>
              <w:bottom w:w="100" w:type="dxa"/>
              <w:end w:w="120" w:type="dxa"/>
            </w:tcMar>
          </w:tcPr>
          <w:p>
            <w:pPr>
              <w:spacing w:line="240" w:lineRule="auto"/>
              <w:jc w:val="center"/>
            </w:pPr>
            <w:r>
              <w:rPr>
                <w:b/>
                <w:color w:val="FFFFFF"/>
                <w:sz w:val="16"/>
              </w:rPr>
              <w:t>Default outcome</w:t>
            </w:r>
          </w:p>
        </w:tc>
        <w:tc>
          <w:tcPr>
            <w:tcW w:type="dxa" w:w="3024"/>
            <w:shd w:fill="17365D"/>
            <w:vAlign w:val="center"/>
            <w:tcMar>
              <w:top w:w="100" w:type="dxa"/>
              <w:start w:w="120" w:type="dxa"/>
              <w:bottom w:w="100" w:type="dxa"/>
              <w:end w:w="120" w:type="dxa"/>
            </w:tcMar>
          </w:tcPr>
          <w:p>
            <w:pPr>
              <w:spacing w:line="240" w:lineRule="auto"/>
              <w:jc w:val="center"/>
            </w:pPr>
            <w:r>
              <w:rPr>
                <w:b/>
                <w:color w:val="FFFFFF"/>
                <w:sz w:val="16"/>
              </w:rPr>
              <w:t>Permitted alternative</w:t>
            </w:r>
          </w:p>
        </w:tc>
      </w:tr>
      <w:tr>
        <w:trPr>
          <w:cantSplit/>
        </w:trPr>
        <w:tc>
          <w:tcPr>
            <w:tcW w:type="dxa" w:w="3240"/>
            <w:vAlign w:val="center"/>
            <w:tcMar>
              <w:top w:w="100" w:type="dxa"/>
              <w:start w:w="120" w:type="dxa"/>
              <w:bottom w:w="100" w:type="dxa"/>
              <w:end w:w="120" w:type="dxa"/>
            </w:tcMar>
          </w:tcPr>
          <w:p>
            <w:pPr>
              <w:spacing w:after="0" w:line="240" w:lineRule="auto"/>
            </w:pPr>
            <w:r>
              <w:rPr>
                <w:color w:val="000000"/>
                <w:sz w:val="16"/>
              </w:rPr>
              <w:t>Online payment; item unavailable before delivery</w:t>
            </w:r>
          </w:p>
        </w:tc>
        <w:tc>
          <w:tcPr>
            <w:tcW w:type="dxa" w:w="3600"/>
            <w:vAlign w:val="center"/>
            <w:tcMar>
              <w:top w:w="100" w:type="dxa"/>
              <w:start w:w="120" w:type="dxa"/>
              <w:bottom w:w="100" w:type="dxa"/>
              <w:end w:w="120" w:type="dxa"/>
            </w:tcMar>
          </w:tcPr>
          <w:p>
            <w:pPr>
              <w:spacing w:after="0" w:line="240" w:lineRule="auto"/>
            </w:pPr>
            <w:r>
              <w:rPr>
                <w:color w:val="000000"/>
                <w:sz w:val="16"/>
              </w:rPr>
              <w:t>Partial refund to original source.</w:t>
            </w:r>
          </w:p>
        </w:tc>
        <w:tc>
          <w:tcPr>
            <w:tcW w:type="dxa" w:w="3024"/>
            <w:vAlign w:val="center"/>
            <w:tcMar>
              <w:top w:w="100" w:type="dxa"/>
              <w:start w:w="120" w:type="dxa"/>
              <w:bottom w:w="100" w:type="dxa"/>
              <w:end w:w="120" w:type="dxa"/>
            </w:tcMar>
          </w:tcPr>
          <w:p>
            <w:pPr>
              <w:spacing w:after="0" w:line="240" w:lineRule="auto"/>
            </w:pPr>
            <w:r>
              <w:rPr>
                <w:color w:val="000000"/>
                <w:sz w:val="16"/>
              </w:rPr>
              <w:t>Immediate Kissan Fresh credit after affirmative choice.</w:t>
            </w:r>
          </w:p>
        </w:tc>
      </w:tr>
      <w:tr>
        <w:trPr>
          <w:cantSplit/>
        </w:trPr>
        <w:tc>
          <w:tcPr>
            <w:tcW w:type="dxa" w:w="3240"/>
            <w:shd w:fill="F5F7FA"/>
            <w:vAlign w:val="center"/>
            <w:tcMar>
              <w:top w:w="100" w:type="dxa"/>
              <w:start w:w="120" w:type="dxa"/>
              <w:bottom w:w="100" w:type="dxa"/>
              <w:end w:w="120" w:type="dxa"/>
            </w:tcMar>
          </w:tcPr>
          <w:p>
            <w:pPr>
              <w:spacing w:after="0" w:line="240" w:lineRule="auto"/>
            </w:pPr>
            <w:r>
              <w:rPr>
                <w:color w:val="000000"/>
                <w:sz w:val="16"/>
              </w:rPr>
              <w:t>Online payment; item damaged and rejected at door</w:t>
            </w:r>
          </w:p>
        </w:tc>
        <w:tc>
          <w:tcPr>
            <w:tcW w:type="dxa" w:w="3600"/>
            <w:shd w:fill="F5F7FA"/>
            <w:vAlign w:val="center"/>
            <w:tcMar>
              <w:top w:w="100" w:type="dxa"/>
              <w:start w:w="120" w:type="dxa"/>
              <w:bottom w:w="100" w:type="dxa"/>
              <w:end w:w="120" w:type="dxa"/>
            </w:tcMar>
          </w:tcPr>
          <w:p>
            <w:pPr>
              <w:spacing w:after="0" w:line="240" w:lineRule="auto"/>
            </w:pPr>
            <w:r>
              <w:rPr>
                <w:color w:val="000000"/>
                <w:sz w:val="16"/>
              </w:rPr>
              <w:t>Partial refund to original source after rider records rejection.</w:t>
            </w:r>
          </w:p>
        </w:tc>
        <w:tc>
          <w:tcPr>
            <w:tcW w:type="dxa" w:w="3024"/>
            <w:shd w:fill="F5F7FA"/>
            <w:vAlign w:val="center"/>
            <w:tcMar>
              <w:top w:w="100" w:type="dxa"/>
              <w:start w:w="120" w:type="dxa"/>
              <w:bottom w:w="100" w:type="dxa"/>
              <w:end w:w="120" w:type="dxa"/>
            </w:tcMar>
          </w:tcPr>
          <w:p>
            <w:pPr>
              <w:spacing w:after="0" w:line="240" w:lineRule="auto"/>
            </w:pPr>
            <w:r>
              <w:rPr>
                <w:color w:val="000000"/>
                <w:sz w:val="16"/>
              </w:rPr>
              <w:t>Immediate credit after affirmative choice.</w:t>
            </w:r>
          </w:p>
        </w:tc>
      </w:tr>
      <w:tr>
        <w:trPr>
          <w:cantSplit/>
        </w:trPr>
        <w:tc>
          <w:tcPr>
            <w:tcW w:type="dxa" w:w="3240"/>
            <w:vAlign w:val="center"/>
            <w:tcMar>
              <w:top w:w="100" w:type="dxa"/>
              <w:start w:w="120" w:type="dxa"/>
              <w:bottom w:w="100" w:type="dxa"/>
              <w:end w:w="120" w:type="dxa"/>
            </w:tcMar>
          </w:tcPr>
          <w:p>
            <w:pPr>
              <w:spacing w:after="0" w:line="240" w:lineRule="auto"/>
            </w:pPr>
            <w:r>
              <w:rPr>
                <w:color w:val="000000"/>
                <w:sz w:val="16"/>
              </w:rPr>
              <w:t>Online payment; quality complaint after delivery</w:t>
            </w:r>
          </w:p>
        </w:tc>
        <w:tc>
          <w:tcPr>
            <w:tcW w:type="dxa" w:w="3600"/>
            <w:vAlign w:val="center"/>
            <w:tcMar>
              <w:top w:w="100" w:type="dxa"/>
              <w:start w:w="120" w:type="dxa"/>
              <w:bottom w:w="100" w:type="dxa"/>
              <w:end w:w="120" w:type="dxa"/>
            </w:tcMar>
          </w:tcPr>
          <w:p>
            <w:pPr>
              <w:spacing w:after="0" w:line="240" w:lineRule="auto"/>
            </w:pPr>
            <w:r>
              <w:rPr>
                <w:color w:val="000000"/>
                <w:sz w:val="16"/>
              </w:rPr>
              <w:t>Refund after policy/evidence review.</w:t>
            </w:r>
          </w:p>
        </w:tc>
        <w:tc>
          <w:tcPr>
            <w:tcW w:type="dxa" w:w="3024"/>
            <w:vAlign w:val="center"/>
            <w:tcMar>
              <w:top w:w="100" w:type="dxa"/>
              <w:start w:w="120" w:type="dxa"/>
              <w:bottom w:w="100" w:type="dxa"/>
              <w:end w:w="120" w:type="dxa"/>
            </w:tcMar>
          </w:tcPr>
          <w:p>
            <w:pPr>
              <w:spacing w:after="0" w:line="240" w:lineRule="auto"/>
            </w:pPr>
            <w:r>
              <w:rPr>
                <w:color w:val="000000"/>
                <w:sz w:val="16"/>
              </w:rPr>
              <w:t>Credit after approval and affirmative choice.</w:t>
            </w:r>
          </w:p>
        </w:tc>
      </w:tr>
      <w:tr>
        <w:trPr>
          <w:cantSplit/>
        </w:trPr>
        <w:tc>
          <w:tcPr>
            <w:tcW w:type="dxa" w:w="3240"/>
            <w:shd w:fill="F5F7FA"/>
            <w:vAlign w:val="center"/>
            <w:tcMar>
              <w:top w:w="100" w:type="dxa"/>
              <w:start w:w="120" w:type="dxa"/>
              <w:bottom w:w="100" w:type="dxa"/>
              <w:end w:w="120" w:type="dxa"/>
            </w:tcMar>
          </w:tcPr>
          <w:p>
            <w:pPr>
              <w:spacing w:after="0" w:line="240" w:lineRule="auto"/>
            </w:pPr>
            <w:r>
              <w:rPr>
                <w:color w:val="000000"/>
                <w:sz w:val="16"/>
              </w:rPr>
              <w:t>COD; shortage known before collection</w:t>
            </w:r>
          </w:p>
        </w:tc>
        <w:tc>
          <w:tcPr>
            <w:tcW w:type="dxa" w:w="3600"/>
            <w:shd w:fill="F5F7FA"/>
            <w:vAlign w:val="center"/>
            <w:tcMar>
              <w:top w:w="100" w:type="dxa"/>
              <w:start w:w="120" w:type="dxa"/>
              <w:bottom w:w="100" w:type="dxa"/>
              <w:end w:w="120" w:type="dxa"/>
            </w:tcMar>
          </w:tcPr>
          <w:p>
            <w:pPr>
              <w:spacing w:after="0" w:line="240" w:lineRule="auto"/>
            </w:pPr>
            <w:r>
              <w:rPr>
                <w:color w:val="000000"/>
                <w:sz w:val="16"/>
              </w:rPr>
              <w:t>Reduce amount collected and issue corrected receipt/invoice record.</w:t>
            </w:r>
          </w:p>
        </w:tc>
        <w:tc>
          <w:tcPr>
            <w:tcW w:type="dxa" w:w="3024"/>
            <w:shd w:fill="F5F7FA"/>
            <w:vAlign w:val="center"/>
            <w:tcMar>
              <w:top w:w="100" w:type="dxa"/>
              <w:start w:w="120" w:type="dxa"/>
              <w:bottom w:w="100" w:type="dxa"/>
              <w:end w:w="120" w:type="dxa"/>
            </w:tcMar>
          </w:tcPr>
          <w:p>
            <w:pPr>
              <w:spacing w:after="0" w:line="240" w:lineRule="auto"/>
            </w:pPr>
            <w:r>
              <w:rPr>
                <w:color w:val="000000"/>
                <w:sz w:val="16"/>
              </w:rPr>
              <w:t>No wallet credit is needed because no overpayment occurred.</w:t>
            </w:r>
          </w:p>
        </w:tc>
      </w:tr>
      <w:tr>
        <w:trPr>
          <w:cantSplit/>
        </w:trPr>
        <w:tc>
          <w:tcPr>
            <w:tcW w:type="dxa" w:w="3240"/>
            <w:vAlign w:val="center"/>
            <w:tcMar>
              <w:top w:w="100" w:type="dxa"/>
              <w:start w:w="120" w:type="dxa"/>
              <w:bottom w:w="100" w:type="dxa"/>
              <w:end w:w="120" w:type="dxa"/>
            </w:tcMar>
          </w:tcPr>
          <w:p>
            <w:pPr>
              <w:spacing w:after="0" w:line="240" w:lineRule="auto"/>
            </w:pPr>
            <w:r>
              <w:rPr>
                <w:color w:val="000000"/>
                <w:sz w:val="16"/>
              </w:rPr>
              <w:t>COD; cash already collected</w:t>
            </w:r>
          </w:p>
        </w:tc>
        <w:tc>
          <w:tcPr>
            <w:tcW w:type="dxa" w:w="3600"/>
            <w:vAlign w:val="center"/>
            <w:tcMar>
              <w:top w:w="100" w:type="dxa"/>
              <w:start w:w="120" w:type="dxa"/>
              <w:bottom w:w="100" w:type="dxa"/>
              <w:end w:w="120" w:type="dxa"/>
            </w:tcMar>
          </w:tcPr>
          <w:p>
            <w:pPr>
              <w:spacing w:after="0" w:line="240" w:lineRule="auto"/>
            </w:pPr>
            <w:r>
              <w:rPr>
                <w:color w:val="000000"/>
                <w:sz w:val="16"/>
              </w:rPr>
              <w:t>Verified bank/UPI payout process where supported.</w:t>
            </w:r>
          </w:p>
        </w:tc>
        <w:tc>
          <w:tcPr>
            <w:tcW w:type="dxa" w:w="3024"/>
            <w:vAlign w:val="center"/>
            <w:tcMar>
              <w:top w:w="100" w:type="dxa"/>
              <w:start w:w="120" w:type="dxa"/>
              <w:bottom w:w="100" w:type="dxa"/>
              <w:end w:w="120" w:type="dxa"/>
            </w:tcMar>
          </w:tcPr>
          <w:p>
            <w:pPr>
              <w:spacing w:after="0" w:line="240" w:lineRule="auto"/>
            </w:pPr>
            <w:r>
              <w:rPr>
                <w:color w:val="000000"/>
                <w:sz w:val="16"/>
              </w:rPr>
              <w:t>Opt-in Kissan Fresh credit; never claim this is a source refund.</w:t>
            </w:r>
          </w:p>
        </w:tc>
      </w:tr>
      <w:tr>
        <w:trPr>
          <w:cantSplit/>
        </w:trPr>
        <w:tc>
          <w:tcPr>
            <w:tcW w:type="dxa" w:w="3240"/>
            <w:shd w:fill="F5F7FA"/>
            <w:vAlign w:val="center"/>
            <w:tcMar>
              <w:top w:w="100" w:type="dxa"/>
              <w:start w:w="120" w:type="dxa"/>
              <w:bottom w:w="100" w:type="dxa"/>
              <w:end w:w="120" w:type="dxa"/>
            </w:tcMar>
          </w:tcPr>
          <w:p>
            <w:pPr>
              <w:spacing w:after="0" w:line="240" w:lineRule="auto"/>
            </w:pPr>
            <w:r>
              <w:rPr>
                <w:color w:val="000000"/>
                <w:sz w:val="16"/>
              </w:rPr>
              <w:t>Mixed wallet and online payment</w:t>
            </w:r>
          </w:p>
        </w:tc>
        <w:tc>
          <w:tcPr>
            <w:tcW w:type="dxa" w:w="3600"/>
            <w:shd w:fill="F5F7FA"/>
            <w:vAlign w:val="center"/>
            <w:tcMar>
              <w:top w:w="100" w:type="dxa"/>
              <w:start w:w="120" w:type="dxa"/>
              <w:bottom w:w="100" w:type="dxa"/>
              <w:end w:w="120" w:type="dxa"/>
            </w:tcMar>
          </w:tcPr>
          <w:p>
            <w:pPr>
              <w:spacing w:after="0" w:line="240" w:lineRule="auto"/>
            </w:pPr>
            <w:r>
              <w:rPr>
                <w:color w:val="000000"/>
                <w:sz w:val="16"/>
              </w:rPr>
              <w:t>Return wallet-funded amount to wallet first, then refund the remaining amount to original source.</w:t>
            </w:r>
          </w:p>
        </w:tc>
        <w:tc>
          <w:tcPr>
            <w:tcW w:type="dxa" w:w="3024"/>
            <w:shd w:fill="F5F7FA"/>
            <w:vAlign w:val="center"/>
            <w:tcMar>
              <w:top w:w="100" w:type="dxa"/>
              <w:start w:w="120" w:type="dxa"/>
              <w:bottom w:w="100" w:type="dxa"/>
              <w:end w:w="120" w:type="dxa"/>
            </w:tcMar>
          </w:tcPr>
          <w:p>
            <w:pPr>
              <w:spacing w:after="0" w:line="240" w:lineRule="auto"/>
            </w:pPr>
            <w:r>
              <w:rPr>
                <w:color w:val="000000"/>
                <w:sz w:val="16"/>
              </w:rPr>
              <w:t>Alternative ordering may be adopted, but it must be documented and consistent.</w:t>
            </w:r>
          </w:p>
        </w:tc>
      </w:tr>
      <w:tr>
        <w:trPr>
          <w:cantSplit/>
        </w:trPr>
        <w:tc>
          <w:tcPr>
            <w:tcW w:type="dxa" w:w="3240"/>
            <w:vAlign w:val="center"/>
            <w:tcMar>
              <w:top w:w="100" w:type="dxa"/>
              <w:start w:w="120" w:type="dxa"/>
              <w:bottom w:w="100" w:type="dxa"/>
              <w:end w:w="120" w:type="dxa"/>
            </w:tcMar>
          </w:tcPr>
          <w:p>
            <w:pPr>
              <w:spacing w:after="0" w:line="240" w:lineRule="auto"/>
            </w:pPr>
            <w:r>
              <w:rPr>
                <w:color w:val="000000"/>
                <w:sz w:val="16"/>
              </w:rPr>
              <w:t>Full seller-caused cancellation</w:t>
            </w:r>
          </w:p>
        </w:tc>
        <w:tc>
          <w:tcPr>
            <w:tcW w:type="dxa" w:w="3600"/>
            <w:vAlign w:val="center"/>
            <w:tcMar>
              <w:top w:w="100" w:type="dxa"/>
              <w:start w:w="120" w:type="dxa"/>
              <w:bottom w:w="100" w:type="dxa"/>
              <w:end w:w="120" w:type="dxa"/>
            </w:tcMar>
          </w:tcPr>
          <w:p>
            <w:pPr>
              <w:spacing w:after="0" w:line="240" w:lineRule="auto"/>
            </w:pPr>
            <w:r>
              <w:rPr>
                <w:color w:val="000000"/>
                <w:sz w:val="16"/>
              </w:rPr>
              <w:t>Refund all collected product, tax, delivery, and applicable service charges.</w:t>
            </w:r>
          </w:p>
        </w:tc>
        <w:tc>
          <w:tcPr>
            <w:tcW w:type="dxa" w:w="3024"/>
            <w:vAlign w:val="center"/>
            <w:tcMar>
              <w:top w:w="100" w:type="dxa"/>
              <w:start w:w="120" w:type="dxa"/>
              <w:bottom w:w="100" w:type="dxa"/>
              <w:end w:w="120" w:type="dxa"/>
            </w:tcMar>
          </w:tcPr>
          <w:p>
            <w:pPr>
              <w:spacing w:after="0" w:line="240" w:lineRule="auto"/>
            </w:pPr>
            <w:r>
              <w:rPr>
                <w:color w:val="000000"/>
                <w:sz w:val="16"/>
              </w:rPr>
              <w:t>Immediate credit only by customer choice.</w:t>
            </w:r>
          </w:p>
        </w:tc>
      </w:tr>
    </w:tbl>
    <w:p>
      <w:pPr>
        <w:spacing w:after="20"/>
      </w:pPr>
    </w:p>
    <w:p>
      <w:pPr>
        <w:pStyle w:val="Heading2"/>
      </w:pPr>
      <w:r>
        <w:t>Recommended service levels</w:t>
      </w:r>
    </w:p>
    <w:p>
      <w:pPr>
        <w:spacing w:after="50"/>
        <w:ind w:left="403" w:hanging="259"/>
      </w:pPr>
      <w:r>
        <w:t xml:space="preserve">• </w:t>
      </w:r>
      <w:r>
        <w:t>Instant acknowledgement: show a case ID immediately after submission or store action.</w:t>
      </w:r>
    </w:p>
    <w:p>
      <w:pPr>
        <w:spacing w:after="50"/>
        <w:ind w:left="403" w:hanging="259"/>
      </w:pPr>
      <w:r>
        <w:t xml:space="preserve">• </w:t>
      </w:r>
      <w:r>
        <w:t>Pre-delivery unavailability: decide before dispatch wherever possible and notify before the rider leaves.</w:t>
      </w:r>
    </w:p>
    <w:p>
      <w:pPr>
        <w:spacing w:after="50"/>
        <w:ind w:left="403" w:hanging="259"/>
      </w:pPr>
      <w:r>
        <w:t xml:space="preserve">• </w:t>
      </w:r>
      <w:r>
        <w:t>Doorstep rejection: rider records the unit, reason, and optional photograph while the customer receives an in-app confirmation.</w:t>
      </w:r>
    </w:p>
    <w:p>
      <w:pPr>
        <w:spacing w:after="50"/>
        <w:ind w:left="403" w:hanging="259"/>
      </w:pPr>
      <w:r>
        <w:t xml:space="preserve">• </w:t>
      </w:r>
      <w:r>
        <w:t>Approved wallet credit: post within seconds after the transaction commits.</w:t>
      </w:r>
    </w:p>
    <w:p>
      <w:pPr>
        <w:spacing w:after="50"/>
        <w:ind w:left="403" w:hanging="259"/>
      </w:pPr>
      <w:r>
        <w:t xml:space="preserve">• </w:t>
      </w:r>
      <w:r>
        <w:t>Source refund: initiate promptly; display Razorpay status and the provider’s stated normal timing rather than promising a guaranteed bank posting date. Razorpay documents normal refunds as generally 5-7 working days.¹</w:t>
      </w:r>
    </w:p>
    <w:p>
      <w:pPr>
        <w:spacing w:after="50"/>
        <w:ind w:left="403" w:hanging="259"/>
      </w:pPr>
      <w:r>
        <w:t xml:space="preserve">• </w:t>
      </w:r>
      <w:r>
        <w:t>Complaint operations: acknowledge within 48 hours and target resolution much sooner than the one-month outer grievance window in the E-Commerce Rules.²</w:t>
      </w:r>
    </w:p>
    <w:p>
      <w:pPr>
        <w:pStyle w:val="Heading2"/>
      </w:pPr>
      <w:r>
        <w:t>Inventory and substitution</w:t>
      </w:r>
    </w:p>
    <w:p>
      <w:r>
        <w:t>Offer substitution only before final packing and only with explicit customer approval. A higher-priced substitute must never be charged without a new affirmative approval and verified incremental payment. A cheaper substitute creates a partial refund or credit for the difference. If the customer cannot be reached, follow the preference saved for that order: remove and refund, substitute within a stated tolerance, or call before change. Default to remove and refund.</w:t>
      </w:r>
    </w:p>
    <w:p>
      <w:r>
        <w:br w:type="page"/>
      </w:r>
    </w:p>
    <w:p>
      <w:pPr>
        <w:pStyle w:val="Heading1"/>
      </w:pPr>
      <w:r>
        <w:t>4 Refund amount calculation</w:t>
      </w:r>
    </w:p>
    <w:p>
      <w:r>
        <w:t>The server must calculate refunds from an immutable checkout price snapshot. Never use the current catalog price and never allow an operator to type the amount except through a separately permissioned goodwill-credit flow.</w:t>
      </w:r>
    </w:p>
    <w:p>
      <w:pPr>
        <w:pStyle w:val="Heading2"/>
      </w:pPr>
      <w:r>
        <w:t>Line-level algorithm</w:t>
      </w:r>
    </w:p>
    <w:p>
      <w:pPr>
        <w:spacing w:after="50"/>
        <w:ind w:left="403" w:hanging="317"/>
      </w:pPr>
      <w:r>
        <w:t xml:space="preserve">1. </w:t>
      </w:r>
      <w:r>
        <w:t>Represent every amount in paise and preserve the tax rate and discount allocation captured at checkout.</w:t>
      </w:r>
    </w:p>
    <w:p>
      <w:pPr>
        <w:spacing w:after="50"/>
        <w:ind w:left="403" w:hanging="317"/>
      </w:pPr>
      <w:r>
        <w:t xml:space="preserve">2. </w:t>
      </w:r>
      <w:r>
        <w:t>Determine affected quantity and gross line value from the original unit price snapshot.</w:t>
      </w:r>
    </w:p>
    <w:p>
      <w:pPr>
        <w:spacing w:after="50"/>
        <w:ind w:left="403" w:hanging="317"/>
      </w:pPr>
      <w:r>
        <w:t xml:space="preserve">3. </w:t>
      </w:r>
      <w:r>
        <w:t>Reverse item-level discount for the affected units.</w:t>
      </w:r>
    </w:p>
    <w:p>
      <w:pPr>
        <w:spacing w:after="50"/>
        <w:ind w:left="403" w:hanging="317"/>
      </w:pPr>
      <w:r>
        <w:t xml:space="preserve">4. </w:t>
      </w:r>
      <w:r>
        <w:t>Allocate order-level and coupon discounts deterministically across eligible lines. Use largest-remainder allocation so the paise allocations sum exactly to the original discount.</w:t>
      </w:r>
    </w:p>
    <w:p>
      <w:pPr>
        <w:spacing w:after="50"/>
        <w:ind w:left="403" w:hanging="317"/>
      </w:pPr>
      <w:r>
        <w:t xml:space="preserve">5. </w:t>
      </w:r>
      <w:r>
        <w:t>Reverse the tax attributable to the removed or returned supply according to the invoicing model.</w:t>
      </w:r>
    </w:p>
    <w:p>
      <w:pPr>
        <w:spacing w:after="50"/>
        <w:ind w:left="403" w:hanging="317"/>
      </w:pPr>
      <w:r>
        <w:t xml:space="preserve">6. </w:t>
      </w:r>
      <w:r>
        <w:t>Apply the published delivery-fee rule. Usually retain the fee for a partially delivered order, but refund it when the entire order fails because of Kissan Fresh.</w:t>
      </w:r>
    </w:p>
    <w:p>
      <w:pPr>
        <w:spacing w:after="50"/>
        <w:ind w:left="403" w:hanging="317"/>
      </w:pPr>
      <w:r>
        <w:t xml:space="preserve">7. </w:t>
      </w:r>
      <w:r>
        <w:t>Cap the result so cumulative successful and pending refunds can never exceed the captured payment less prior successful refunds.</w:t>
      </w:r>
    </w:p>
    <w:p>
      <w:pPr>
        <w:pStyle w:val="Heading2"/>
      </w:pPr>
      <w:r>
        <w:t>Example</w:t>
      </w:r>
    </w:p>
    <w:p>
      <w:r>
        <w:t>Suppose a ten-item order contains two unavailable units with gross prices of Rs 120 and Rs 80. The checkout allocated Rs 12 and Rs 8 of item/order discounts to them. Their refundable merchandise amount is Rs 180, plus or inclusive of the tax reversal depending on whether displayed prices are tax-inclusive. The delivery fee remains unchanged because the other eight items are delivered. If Rs 50 of the original order was paid with store credit, the documented split-tender rule determines how much returns to the wallet before the gateway refund is created.</w:t>
      </w:r>
    </w:p>
    <w:p>
      <w:pPr>
        <w:pStyle w:val="Heading2"/>
      </w:pPr>
      <w:r>
        <w:t>Promotion edge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048"/>
      </w:tblGrid>
      <w:tr>
        <w:trPr>
          <w:tblHeader w:val="true"/>
          <w:cantSplit/>
        </w:trPr>
        <w:tc>
          <w:tcPr>
            <w:tcW w:type="dxa" w:w="3816"/>
            <w:shd w:fill="17365D"/>
            <w:vAlign w:val="center"/>
            <w:tcMar>
              <w:top w:w="100" w:type="dxa"/>
              <w:start w:w="120" w:type="dxa"/>
              <w:bottom w:w="100" w:type="dxa"/>
              <w:end w:w="120" w:type="dxa"/>
            </w:tcMar>
          </w:tcPr>
          <w:p>
            <w:pPr>
              <w:spacing w:line="240" w:lineRule="auto"/>
              <w:jc w:val="center"/>
            </w:pPr>
            <w:r>
              <w:rPr>
                <w:b/>
                <w:color w:val="FFFFFF"/>
                <w:sz w:val="16"/>
              </w:rPr>
              <w:t>Situation</w:t>
            </w:r>
          </w:p>
        </w:tc>
        <w:tc>
          <w:tcPr>
            <w:tcW w:type="dxa" w:w="6048"/>
            <w:shd w:fill="17365D"/>
            <w:vAlign w:val="center"/>
            <w:tcMar>
              <w:top w:w="100" w:type="dxa"/>
              <w:start w:w="120" w:type="dxa"/>
              <w:bottom w:w="100" w:type="dxa"/>
              <w:end w:w="120" w:type="dxa"/>
            </w:tcMar>
          </w:tcPr>
          <w:p>
            <w:pPr>
              <w:spacing w:line="240" w:lineRule="auto"/>
              <w:jc w:val="center"/>
            </w:pPr>
            <w:r>
              <w:rPr>
                <w:b/>
                <w:color w:val="FFFFFF"/>
                <w:sz w:val="16"/>
              </w:rPr>
              <w:t>Recommended rule</w:t>
            </w:r>
          </w:p>
        </w:tc>
      </w:tr>
      <w:tr>
        <w:trPr>
          <w:cantSplit/>
        </w:trPr>
        <w:tc>
          <w:tcPr>
            <w:tcW w:type="dxa" w:w="3816"/>
            <w:vAlign w:val="center"/>
            <w:tcMar>
              <w:top w:w="100" w:type="dxa"/>
              <w:start w:w="120" w:type="dxa"/>
              <w:bottom w:w="100" w:type="dxa"/>
              <w:end w:w="120" w:type="dxa"/>
            </w:tcMar>
          </w:tcPr>
          <w:p>
            <w:pPr>
              <w:spacing w:after="0" w:line="240" w:lineRule="auto"/>
            </w:pPr>
            <w:r>
              <w:rPr>
                <w:color w:val="000000"/>
                <w:sz w:val="16"/>
              </w:rPr>
              <w:t>Merchant shortage makes basket fall below coupon threshold</w:t>
            </w:r>
          </w:p>
        </w:tc>
        <w:tc>
          <w:tcPr>
            <w:tcW w:type="dxa" w:w="6048"/>
            <w:vAlign w:val="center"/>
            <w:tcMar>
              <w:top w:w="100" w:type="dxa"/>
              <w:start w:w="120" w:type="dxa"/>
              <w:bottom w:w="100" w:type="dxa"/>
              <w:end w:w="120" w:type="dxa"/>
            </w:tcMar>
          </w:tcPr>
          <w:p>
            <w:pPr>
              <w:spacing w:after="0" w:line="240" w:lineRule="auto"/>
            </w:pPr>
            <w:r>
              <w:rPr>
                <w:color w:val="000000"/>
                <w:sz w:val="16"/>
              </w:rPr>
              <w:t>Do not claw back a discount the customer legitimately earned at checkout.</w:t>
            </w:r>
          </w:p>
        </w:tc>
      </w:tr>
      <w:tr>
        <w:trPr>
          <w:cantSplit/>
        </w:trPr>
        <w:tc>
          <w:tcPr>
            <w:tcW w:type="dxa" w:w="3816"/>
            <w:shd w:fill="F5F7FA"/>
            <w:vAlign w:val="center"/>
            <w:tcMar>
              <w:top w:w="100" w:type="dxa"/>
              <w:start w:w="120" w:type="dxa"/>
              <w:bottom w:w="100" w:type="dxa"/>
              <w:end w:w="120" w:type="dxa"/>
            </w:tcMar>
          </w:tcPr>
          <w:p>
            <w:pPr>
              <w:spacing w:after="0" w:line="240" w:lineRule="auto"/>
            </w:pPr>
            <w:r>
              <w:rPr>
                <w:color w:val="000000"/>
                <w:sz w:val="16"/>
              </w:rPr>
              <w:t>Customer voluntarily returns an item</w:t>
            </w:r>
          </w:p>
        </w:tc>
        <w:tc>
          <w:tcPr>
            <w:tcW w:type="dxa" w:w="6048"/>
            <w:shd w:fill="F5F7FA"/>
            <w:vAlign w:val="center"/>
            <w:tcMar>
              <w:top w:w="100" w:type="dxa"/>
              <w:start w:w="120" w:type="dxa"/>
              <w:bottom w:w="100" w:type="dxa"/>
              <w:end w:w="120" w:type="dxa"/>
            </w:tcMar>
          </w:tcPr>
          <w:p>
            <w:pPr>
              <w:spacing w:after="0" w:line="240" w:lineRule="auto"/>
            </w:pPr>
            <w:r>
              <w:rPr>
                <w:color w:val="000000"/>
                <w:sz w:val="16"/>
              </w:rPr>
              <w:t>Published return terms may recalculate threshold-based benefits if fair, disclosed, and technically deterministic.</w:t>
            </w:r>
          </w:p>
        </w:tc>
      </w:tr>
      <w:tr>
        <w:trPr>
          <w:cantSplit/>
        </w:trPr>
        <w:tc>
          <w:tcPr>
            <w:tcW w:type="dxa" w:w="3816"/>
            <w:vAlign w:val="center"/>
            <w:tcMar>
              <w:top w:w="100" w:type="dxa"/>
              <w:start w:w="120" w:type="dxa"/>
              <w:bottom w:w="100" w:type="dxa"/>
              <w:end w:w="120" w:type="dxa"/>
            </w:tcMar>
          </w:tcPr>
          <w:p>
            <w:pPr>
              <w:spacing w:after="0" w:line="240" w:lineRule="auto"/>
            </w:pPr>
            <w:r>
              <w:rPr>
                <w:color w:val="000000"/>
                <w:sz w:val="16"/>
              </w:rPr>
              <w:t>Buy one get one; free item unavailable</w:t>
            </w:r>
          </w:p>
        </w:tc>
        <w:tc>
          <w:tcPr>
            <w:tcW w:type="dxa" w:w="6048"/>
            <w:vAlign w:val="center"/>
            <w:tcMar>
              <w:top w:w="100" w:type="dxa"/>
              <w:start w:w="120" w:type="dxa"/>
              <w:bottom w:w="100" w:type="dxa"/>
              <w:end w:w="120" w:type="dxa"/>
            </w:tcMar>
          </w:tcPr>
          <w:p>
            <w:pPr>
              <w:spacing w:after="0" w:line="240" w:lineRule="auto"/>
            </w:pPr>
            <w:r>
              <w:rPr>
                <w:color w:val="000000"/>
                <w:sz w:val="16"/>
              </w:rPr>
              <w:t>Offer replacement or an explicitly defined equitable remedy; do not invent a fictitious cash price after purchase.</w:t>
            </w:r>
          </w:p>
        </w:tc>
      </w:tr>
      <w:tr>
        <w:trPr>
          <w:cantSplit/>
        </w:trPr>
        <w:tc>
          <w:tcPr>
            <w:tcW w:type="dxa" w:w="3816"/>
            <w:shd w:fill="F5F7FA"/>
            <w:vAlign w:val="center"/>
            <w:tcMar>
              <w:top w:w="100" w:type="dxa"/>
              <w:start w:w="120" w:type="dxa"/>
              <w:bottom w:w="100" w:type="dxa"/>
              <w:end w:w="120" w:type="dxa"/>
            </w:tcMar>
          </w:tcPr>
          <w:p>
            <w:pPr>
              <w:spacing w:after="0" w:line="240" w:lineRule="auto"/>
            </w:pPr>
            <w:r>
              <w:rPr>
                <w:color w:val="000000"/>
                <w:sz w:val="16"/>
              </w:rPr>
              <w:t>Percentage coupon with cap</w:t>
            </w:r>
          </w:p>
        </w:tc>
        <w:tc>
          <w:tcPr>
            <w:tcW w:type="dxa" w:w="6048"/>
            <w:shd w:fill="F5F7FA"/>
            <w:vAlign w:val="center"/>
            <w:tcMar>
              <w:top w:w="100" w:type="dxa"/>
              <w:start w:w="120" w:type="dxa"/>
              <w:bottom w:w="100" w:type="dxa"/>
              <w:end w:w="120" w:type="dxa"/>
            </w:tcMar>
          </w:tcPr>
          <w:p>
            <w:pPr>
              <w:spacing w:after="0" w:line="240" w:lineRule="auto"/>
            </w:pPr>
            <w:r>
              <w:rPr>
                <w:color w:val="000000"/>
                <w:sz w:val="16"/>
              </w:rPr>
              <w:t>Persist the exact per-line allocation at checkout and reverse only the affected allocation.</w:t>
            </w:r>
          </w:p>
        </w:tc>
      </w:tr>
      <w:tr>
        <w:trPr>
          <w:cantSplit/>
        </w:trPr>
        <w:tc>
          <w:tcPr>
            <w:tcW w:type="dxa" w:w="3816"/>
            <w:vAlign w:val="center"/>
            <w:tcMar>
              <w:top w:w="100" w:type="dxa"/>
              <w:start w:w="120" w:type="dxa"/>
              <w:bottom w:w="100" w:type="dxa"/>
              <w:end w:w="120" w:type="dxa"/>
            </w:tcMar>
          </w:tcPr>
          <w:p>
            <w:pPr>
              <w:spacing w:after="0" w:line="240" w:lineRule="auto"/>
            </w:pPr>
            <w:r>
              <w:rPr>
                <w:color w:val="000000"/>
                <w:sz w:val="16"/>
              </w:rPr>
              <w:t>Delivery fee waived above threshold</w:t>
            </w:r>
          </w:p>
        </w:tc>
        <w:tc>
          <w:tcPr>
            <w:tcW w:type="dxa" w:w="6048"/>
            <w:vAlign w:val="center"/>
            <w:tcMar>
              <w:top w:w="100" w:type="dxa"/>
              <w:start w:w="120" w:type="dxa"/>
              <w:bottom w:w="100" w:type="dxa"/>
              <w:end w:w="120" w:type="dxa"/>
            </w:tcMar>
          </w:tcPr>
          <w:p>
            <w:pPr>
              <w:spacing w:after="0" w:line="240" w:lineRule="auto"/>
            </w:pPr>
            <w:r>
              <w:rPr>
                <w:color w:val="000000"/>
                <w:sz w:val="16"/>
              </w:rPr>
              <w:t>Do not retroactively charge it when Kissan Fresh caused the shortage.</w:t>
            </w:r>
          </w:p>
        </w:tc>
      </w:tr>
      <w:tr>
        <w:trPr>
          <w:cantSplit/>
        </w:trPr>
        <w:tc>
          <w:tcPr>
            <w:tcW w:type="dxa" w:w="3816"/>
            <w:shd w:fill="F5F7FA"/>
            <w:vAlign w:val="center"/>
            <w:tcMar>
              <w:top w:w="100" w:type="dxa"/>
              <w:start w:w="120" w:type="dxa"/>
              <w:bottom w:w="100" w:type="dxa"/>
              <w:end w:w="120" w:type="dxa"/>
            </w:tcMar>
          </w:tcPr>
          <w:p>
            <w:pPr>
              <w:spacing w:after="0" w:line="240" w:lineRule="auto"/>
            </w:pPr>
            <w:r>
              <w:rPr>
                <w:color w:val="000000"/>
                <w:sz w:val="16"/>
              </w:rPr>
              <w:t>Rounding</w:t>
            </w:r>
          </w:p>
        </w:tc>
        <w:tc>
          <w:tcPr>
            <w:tcW w:type="dxa" w:w="6048"/>
            <w:shd w:fill="F5F7FA"/>
            <w:vAlign w:val="center"/>
            <w:tcMar>
              <w:top w:w="100" w:type="dxa"/>
              <w:start w:w="120" w:type="dxa"/>
              <w:bottom w:w="100" w:type="dxa"/>
              <w:end w:w="120" w:type="dxa"/>
            </w:tcMar>
          </w:tcPr>
          <w:p>
            <w:pPr>
              <w:spacing w:after="0" w:line="240" w:lineRule="auto"/>
            </w:pPr>
            <w:r>
              <w:rPr>
                <w:color w:val="000000"/>
                <w:sz w:val="16"/>
              </w:rPr>
              <w:t>Use deterministic paise allocation; the last eligible line receives the remainder.</w:t>
            </w:r>
          </w:p>
        </w:tc>
      </w:tr>
      <w:tr>
        <w:trPr>
          <w:cantSplit/>
        </w:trPr>
        <w:tc>
          <w:tcPr>
            <w:tcW w:type="dxa" w:w="3816"/>
            <w:vAlign w:val="center"/>
            <w:tcMar>
              <w:top w:w="100" w:type="dxa"/>
              <w:start w:w="120" w:type="dxa"/>
              <w:bottom w:w="100" w:type="dxa"/>
              <w:end w:w="120" w:type="dxa"/>
            </w:tcMar>
          </w:tcPr>
          <w:p>
            <w:pPr>
              <w:spacing w:after="0" w:line="240" w:lineRule="auto"/>
            </w:pPr>
            <w:r>
              <w:rPr>
                <w:color w:val="000000"/>
                <w:sz w:val="16"/>
              </w:rPr>
              <w:t>Multiple partial adjustments</w:t>
            </w:r>
          </w:p>
        </w:tc>
        <w:tc>
          <w:tcPr>
            <w:tcW w:type="dxa" w:w="6048"/>
            <w:vAlign w:val="center"/>
            <w:tcMar>
              <w:top w:w="100" w:type="dxa"/>
              <w:start w:w="120" w:type="dxa"/>
              <w:bottom w:w="100" w:type="dxa"/>
              <w:end w:w="120" w:type="dxa"/>
            </w:tcMar>
          </w:tcPr>
          <w:p>
            <w:pPr>
              <w:spacing w:after="0" w:line="240" w:lineRule="auto"/>
            </w:pPr>
            <w:r>
              <w:rPr>
                <w:color w:val="000000"/>
                <w:sz w:val="16"/>
              </w:rPr>
              <w:t>Use original line quantity minus fulfilled/refunded/reserved quantities; enforce invariants in one transaction.</w:t>
            </w:r>
          </w:p>
        </w:tc>
      </w:tr>
    </w:tbl>
    <w:p>
      <w:pPr>
        <w:spacing w:after="20"/>
      </w:pPr>
    </w:p>
    <w:p>
      <w:pPr>
        <w:pStyle w:val="Heading2"/>
      </w:pPr>
      <w:r>
        <w:t>Tax documentation</w:t>
      </w:r>
    </w:p>
    <w:p>
      <w:r>
        <w:t>Where a tax invoice has already been issued and goods are returned, deficient, or overcharged, section 34 of the CGST Act permits the supplier to issue a credit note subject to the statutory conditions and reporting rules.³ The accounting system should link every credit note to the order, invoice, adjustment case, tax breakup, and refund/wallet posting. Confirm timing, invoice format, and output-tax treatment with Kissan Fresh’s chartered accountant.</w:t>
      </w:r>
    </w:p>
    <w:p>
      <w:r>
        <w:br w:type="page"/>
      </w:r>
    </w:p>
    <w:p>
      <w:pPr>
        <w:pStyle w:val="Heading1"/>
      </w:pPr>
      <w:r>
        <w:t>5 Target workflow</w:t>
      </w:r>
    </w:p>
    <w:p>
      <w:r>
        <w:t>The same adjustment engine should support packing shortages, transit damage, doorstep rejection, post-delivery quality claims, full cancellation, and goodwill credits while keeping distinct reason codes and approval rules.</w:t>
      </w:r>
    </w:p>
    <w:p>
      <w:pPr>
        <w:pStyle w:val="Heading2"/>
      </w:pPr>
      <w:r>
        <w:t>Pre-delivery shortage flow</w:t>
      </w:r>
    </w:p>
    <w:p>
      <w:pPr>
        <w:spacing w:after="50"/>
        <w:ind w:left="403" w:hanging="317"/>
      </w:pPr>
      <w:r>
        <w:t xml:space="preserve">1. </w:t>
      </w:r>
      <w:r>
        <w:t>Packer or manager opens the order and selects exact line quantities and a reason.</w:t>
      </w:r>
    </w:p>
    <w:p>
      <w:pPr>
        <w:spacing w:after="50"/>
        <w:ind w:left="403" w:hanging="317"/>
      </w:pPr>
      <w:r>
        <w:t xml:space="preserve">2. </w:t>
      </w:r>
      <w:r>
        <w:t>Server verifies the order is adjustable, units remain unfulfilled, and the actor has permission.</w:t>
      </w:r>
    </w:p>
    <w:p>
      <w:pPr>
        <w:spacing w:after="50"/>
        <w:ind w:left="403" w:hanging="317"/>
      </w:pPr>
      <w:r>
        <w:t xml:space="preserve">3. </w:t>
      </w:r>
      <w:r>
        <w:t>Server computes a preview from the frozen pricing allocation; dashboard displays amount and fee/tax treatment.</w:t>
      </w:r>
    </w:p>
    <w:p>
      <w:pPr>
        <w:spacing w:after="50"/>
        <w:ind w:left="403" w:hanging="317"/>
      </w:pPr>
      <w:r>
        <w:t xml:space="preserve">4. </w:t>
      </w:r>
      <w:r>
        <w:t>Authorized staff confirms. High-value or unusual cases enter approval pending.</w:t>
      </w:r>
    </w:p>
    <w:p>
      <w:pPr>
        <w:spacing w:after="50"/>
        <w:ind w:left="403" w:hanging="317"/>
      </w:pPr>
      <w:r>
        <w:t xml:space="preserve">5. </w:t>
      </w:r>
      <w:r>
        <w:t>Customer is notified and chooses source refund or eligible store credit. If no response within the short operational window, use source refund.</w:t>
      </w:r>
    </w:p>
    <w:p>
      <w:pPr>
        <w:spacing w:after="50"/>
        <w:ind w:left="403" w:hanging="317"/>
      </w:pPr>
      <w:r>
        <w:t xml:space="preserve">6. </w:t>
      </w:r>
      <w:r>
        <w:t>Server atomically freezes the adjustment, updates fulfillment quantities, records the financial obligation, and enqueues execution.</w:t>
      </w:r>
    </w:p>
    <w:p>
      <w:pPr>
        <w:spacing w:after="50"/>
        <w:ind w:left="403" w:hanging="317"/>
      </w:pPr>
      <w:r>
        <w:t xml:space="preserve">7. </w:t>
      </w:r>
      <w:r>
        <w:t>Worker posts wallet credit or sends a partial refund to Razorpay with an idempotency receipt.</w:t>
      </w:r>
    </w:p>
    <w:p>
      <w:pPr>
        <w:spacing w:after="50"/>
        <w:ind w:left="403" w:hanging="317"/>
      </w:pPr>
      <w:r>
        <w:t xml:space="preserve">8. </w:t>
      </w:r>
      <w:r>
        <w:t>Verified webhook/fetch finalizes the gateway status. Notifications and credit-note generation follow from final state.</w:t>
      </w:r>
    </w:p>
    <w:p>
      <w:pPr>
        <w:pStyle w:val="Heading2"/>
      </w:pPr>
      <w:r>
        <w:t>Doorstep damage or missing item</w:t>
      </w:r>
    </w:p>
    <w:p>
      <w:pPr>
        <w:spacing w:after="50"/>
        <w:ind w:left="403" w:hanging="317"/>
      </w:pPr>
      <w:r>
        <w:t xml:space="preserve">1. </w:t>
      </w:r>
      <w:r>
        <w:t>Rider marks delivered quantities and rejected quantities separately; a delivery OTP/signature confirms the handoff, not a blanket ‘all items delivered’ state.</w:t>
      </w:r>
    </w:p>
    <w:p>
      <w:pPr>
        <w:spacing w:after="50"/>
        <w:ind w:left="403" w:hanging="317"/>
      </w:pPr>
      <w:r>
        <w:t xml:space="preserve">2. </w:t>
      </w:r>
      <w:r>
        <w:t>For missing units, no return-to-stock occurs. For damaged rejected units, create a quarantine inventory movement rather than saleable stock.</w:t>
      </w:r>
    </w:p>
    <w:p>
      <w:pPr>
        <w:spacing w:after="50"/>
        <w:ind w:left="403" w:hanging="317"/>
      </w:pPr>
      <w:r>
        <w:t xml:space="preserve">3. </w:t>
      </w:r>
      <w:r>
        <w:t>Customer immediately receives an itemized delivery summary and refund case ID.</w:t>
      </w:r>
    </w:p>
    <w:p>
      <w:pPr>
        <w:spacing w:after="50"/>
        <w:ind w:left="403" w:hanging="317"/>
      </w:pPr>
      <w:r>
        <w:t xml:space="preserve">4. </w:t>
      </w:r>
      <w:r>
        <w:t>Low-risk cases within policy can auto-approve; suspicious or high-value cases route to review.</w:t>
      </w:r>
    </w:p>
    <w:p>
      <w:pPr>
        <w:pStyle w:val="Heading2"/>
      </w:pPr>
      <w:r>
        <w:t>Post-delivery claim</w:t>
      </w:r>
    </w:p>
    <w:p>
      <w:pPr>
        <w:spacing w:after="50"/>
        <w:ind w:left="403" w:hanging="317"/>
      </w:pPr>
      <w:r>
        <w:t xml:space="preserve">1. </w:t>
      </w:r>
      <w:r>
        <w:t>Customer selects item, quantity, issue type, and optional evidence from order details.</w:t>
      </w:r>
    </w:p>
    <w:p>
      <w:pPr>
        <w:spacing w:after="50"/>
        <w:ind w:left="403" w:hanging="317"/>
      </w:pPr>
      <w:r>
        <w:t xml:space="preserve">2. </w:t>
      </w:r>
      <w:r>
        <w:t>System checks the claim window and prior claims, then assigns a trackable ticket.</w:t>
      </w:r>
    </w:p>
    <w:p>
      <w:pPr>
        <w:spacing w:after="50"/>
        <w:ind w:left="403" w:hanging="317"/>
      </w:pPr>
      <w:r>
        <w:t xml:space="preserve">3. </w:t>
      </w:r>
      <w:r>
        <w:t>Support approves, partially approves, requests more information, or rejects with a reason and appeal path.</w:t>
      </w:r>
    </w:p>
    <w:p>
      <w:pPr>
        <w:spacing w:after="50"/>
        <w:ind w:left="403" w:hanging="317"/>
      </w:pPr>
      <w:r>
        <w:t xml:space="preserve">4. </w:t>
      </w:r>
      <w:r>
        <w:t>Approved cases enter the same immutable execution path; support cannot manually mark a refund successful.</w:t>
      </w:r>
    </w:p>
    <w:p>
      <w:pPr>
        <w:pStyle w:val="Heading2"/>
      </w:pPr>
      <w:r>
        <w:t>State separation</w:t>
      </w:r>
    </w:p>
    <w:p>
      <w:r>
        <w:t>Keep order fulfillment, adjustment decision, money movement, and accounting status separate. ‘Item unavailable’ is not the same as ‘refund completed.’ An order can be partially delivered while a refund is pending, and a gateway refund can fail after the operational adjustment is already valid.</w:t>
      </w:r>
    </w:p>
    <w:p>
      <w:r>
        <w:br w:type="page"/>
      </w:r>
    </w:p>
    <w:p>
      <w:pPr>
        <w:pStyle w:val="Heading1"/>
      </w:pPr>
      <w:r>
        <w:t>6 Data model and APIs</w:t>
      </w:r>
    </w:p>
    <w:p>
      <w:r>
        <w:t>Use append-only business events plus small projection documents for fast UI. A wallet balance field is a cached projection, not the source of truth.</w:t>
      </w:r>
    </w:p>
    <w:p>
      <w:pPr>
        <w:pStyle w:val="Heading2"/>
      </w:pPr>
      <w:r>
        <w:t>Core Firestore collections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824"/>
        <w:gridCol w:w="3096"/>
      </w:tblGrid>
      <w:tr>
        <w:trPr>
          <w:tblHeader w:val="true"/>
          <w:cantSplit/>
        </w:trPr>
        <w:tc>
          <w:tcPr>
            <w:tcW w:type="dxa" w:w="1944"/>
            <w:shd w:fill="17365D"/>
            <w:vAlign w:val="center"/>
            <w:tcMar>
              <w:top w:w="100" w:type="dxa"/>
              <w:start w:w="120" w:type="dxa"/>
              <w:bottom w:w="100" w:type="dxa"/>
              <w:end w:w="120" w:type="dxa"/>
            </w:tcMar>
          </w:tcPr>
          <w:p>
            <w:pPr>
              <w:spacing w:line="240" w:lineRule="auto"/>
              <w:jc w:val="center"/>
            </w:pPr>
            <w:r>
              <w:rPr>
                <w:b/>
                <w:color w:val="FFFFFF"/>
                <w:sz w:val="16"/>
              </w:rPr>
              <w:t>Collection</w:t>
            </w:r>
          </w:p>
        </w:tc>
        <w:tc>
          <w:tcPr>
            <w:tcW w:type="dxa" w:w="4824"/>
            <w:shd w:fill="17365D"/>
            <w:vAlign w:val="center"/>
            <w:tcMar>
              <w:top w:w="100" w:type="dxa"/>
              <w:start w:w="120" w:type="dxa"/>
              <w:bottom w:w="100" w:type="dxa"/>
              <w:end w:w="120" w:type="dxa"/>
            </w:tcMar>
          </w:tcPr>
          <w:p>
            <w:pPr>
              <w:spacing w:line="240" w:lineRule="auto"/>
              <w:jc w:val="center"/>
            </w:pPr>
            <w:r>
              <w:rPr>
                <w:b/>
                <w:color w:val="FFFFFF"/>
                <w:sz w:val="16"/>
              </w:rPr>
              <w:t>Purpose</w:t>
            </w:r>
          </w:p>
        </w:tc>
        <w:tc>
          <w:tcPr>
            <w:tcW w:type="dxa" w:w="3096"/>
            <w:shd w:fill="17365D"/>
            <w:vAlign w:val="center"/>
            <w:tcMar>
              <w:top w:w="100" w:type="dxa"/>
              <w:start w:w="120" w:type="dxa"/>
              <w:bottom w:w="100" w:type="dxa"/>
              <w:end w:w="120" w:type="dxa"/>
            </w:tcMar>
          </w:tcPr>
          <w:p>
            <w:pPr>
              <w:spacing w:line="240" w:lineRule="auto"/>
              <w:jc w:val="center"/>
            </w:pPr>
            <w:r>
              <w:rPr>
                <w:b/>
                <w:color w:val="FFFFFF"/>
                <w:sz w:val="16"/>
              </w:rPr>
              <w:t>Key controls</w:t>
            </w:r>
          </w:p>
        </w:tc>
      </w:tr>
      <w:tr>
        <w:trPr>
          <w:cantSplit/>
        </w:trPr>
        <w:tc>
          <w:tcPr>
            <w:tcW w:type="dxa" w:w="1944"/>
            <w:vAlign w:val="center"/>
            <w:tcMar>
              <w:top w:w="100" w:type="dxa"/>
              <w:start w:w="120" w:type="dxa"/>
              <w:bottom w:w="100" w:type="dxa"/>
              <w:end w:w="120" w:type="dxa"/>
            </w:tcMar>
          </w:tcPr>
          <w:p>
            <w:pPr>
              <w:spacing w:after="0" w:line="240" w:lineRule="auto"/>
            </w:pPr>
            <w:r>
              <w:rPr>
                <w:color w:val="000000"/>
                <w:sz w:val="16"/>
              </w:rPr>
              <w:t>orders</w:t>
            </w:r>
          </w:p>
        </w:tc>
        <w:tc>
          <w:tcPr>
            <w:tcW w:type="dxa" w:w="4824"/>
            <w:vAlign w:val="center"/>
            <w:tcMar>
              <w:top w:w="100" w:type="dxa"/>
              <w:start w:w="120" w:type="dxa"/>
              <w:bottom w:w="100" w:type="dxa"/>
              <w:end w:w="120" w:type="dxa"/>
            </w:tcMar>
          </w:tcPr>
          <w:p>
            <w:pPr>
              <w:spacing w:after="0" w:line="240" w:lineRule="auto"/>
            </w:pPr>
            <w:r>
              <w:rPr>
                <w:color w:val="000000"/>
                <w:sz w:val="16"/>
              </w:rPr>
              <w:t>Fulfillment summary, immutable price snapshot, tender breakdown, per-line ordered/fulfilled/adjusted quantities.</w:t>
            </w:r>
          </w:p>
        </w:tc>
        <w:tc>
          <w:tcPr>
            <w:tcW w:type="dxa" w:w="3096"/>
            <w:vAlign w:val="center"/>
            <w:tcMar>
              <w:top w:w="100" w:type="dxa"/>
              <w:start w:w="120" w:type="dxa"/>
              <w:bottom w:w="100" w:type="dxa"/>
              <w:end w:w="120" w:type="dxa"/>
            </w:tcMar>
          </w:tcPr>
          <w:p>
            <w:pPr>
              <w:spacing w:after="0" w:line="240" w:lineRule="auto"/>
            </w:pPr>
            <w:r>
              <w:rPr>
                <w:color w:val="000000"/>
                <w:sz w:val="16"/>
              </w:rPr>
              <w:t>Customers read own orders; financial fields server-only.</w:t>
            </w:r>
          </w:p>
        </w:tc>
      </w:tr>
      <w:tr>
        <w:trPr>
          <w:cantSplit/>
        </w:trPr>
        <w:tc>
          <w:tcPr>
            <w:tcW w:type="dxa" w:w="1944"/>
            <w:shd w:fill="F5F7FA"/>
            <w:vAlign w:val="center"/>
            <w:tcMar>
              <w:top w:w="100" w:type="dxa"/>
              <w:start w:w="120" w:type="dxa"/>
              <w:bottom w:w="100" w:type="dxa"/>
              <w:end w:w="120" w:type="dxa"/>
            </w:tcMar>
          </w:tcPr>
          <w:p>
            <w:pPr>
              <w:spacing w:after="0" w:line="240" w:lineRule="auto"/>
            </w:pPr>
            <w:r>
              <w:rPr>
                <w:color w:val="000000"/>
                <w:sz w:val="16"/>
              </w:rPr>
              <w:t>order_adjustments</w:t>
            </w:r>
          </w:p>
        </w:tc>
        <w:tc>
          <w:tcPr>
            <w:tcW w:type="dxa" w:w="4824"/>
            <w:shd w:fill="F5F7FA"/>
            <w:vAlign w:val="center"/>
            <w:tcMar>
              <w:top w:w="100" w:type="dxa"/>
              <w:start w:w="120" w:type="dxa"/>
              <w:bottom w:w="100" w:type="dxa"/>
              <w:end w:w="120" w:type="dxa"/>
            </w:tcMar>
          </w:tcPr>
          <w:p>
            <w:pPr>
              <w:spacing w:after="0" w:line="240" w:lineRule="auto"/>
            </w:pPr>
            <w:r>
              <w:rPr>
                <w:color w:val="000000"/>
                <w:sz w:val="16"/>
              </w:rPr>
              <w:t>One case per shortage, damage, return, cancellation, or goodwill event.</w:t>
            </w:r>
          </w:p>
        </w:tc>
        <w:tc>
          <w:tcPr>
            <w:tcW w:type="dxa" w:w="3096"/>
            <w:shd w:fill="F5F7FA"/>
            <w:vAlign w:val="center"/>
            <w:tcMar>
              <w:top w:w="100" w:type="dxa"/>
              <w:start w:w="120" w:type="dxa"/>
              <w:bottom w:w="100" w:type="dxa"/>
              <w:end w:w="120" w:type="dxa"/>
            </w:tcMar>
          </w:tcPr>
          <w:p>
            <w:pPr>
              <w:spacing w:after="0" w:line="240" w:lineRule="auto"/>
            </w:pPr>
            <w:r>
              <w:rPr>
                <w:color w:val="000000"/>
                <w:sz w:val="16"/>
              </w:rPr>
              <w:t>Server-created; versioned state machine; actor and reason captured.</w:t>
            </w:r>
          </w:p>
        </w:tc>
      </w:tr>
      <w:tr>
        <w:trPr>
          <w:cantSplit/>
        </w:trPr>
        <w:tc>
          <w:tcPr>
            <w:tcW w:type="dxa" w:w="1944"/>
            <w:vAlign w:val="center"/>
            <w:tcMar>
              <w:top w:w="100" w:type="dxa"/>
              <w:start w:w="120" w:type="dxa"/>
              <w:bottom w:w="100" w:type="dxa"/>
              <w:end w:w="120" w:type="dxa"/>
            </w:tcMar>
          </w:tcPr>
          <w:p>
            <w:pPr>
              <w:spacing w:after="0" w:line="240" w:lineRule="auto"/>
            </w:pPr>
            <w:r>
              <w:rPr>
                <w:color w:val="000000"/>
                <w:sz w:val="16"/>
              </w:rPr>
              <w:t>refunds</w:t>
            </w:r>
          </w:p>
        </w:tc>
        <w:tc>
          <w:tcPr>
            <w:tcW w:type="dxa" w:w="4824"/>
            <w:vAlign w:val="center"/>
            <w:tcMar>
              <w:top w:w="100" w:type="dxa"/>
              <w:start w:w="120" w:type="dxa"/>
              <w:bottom w:w="100" w:type="dxa"/>
              <w:end w:w="120" w:type="dxa"/>
            </w:tcMar>
          </w:tcPr>
          <w:p>
            <w:pPr>
              <w:spacing w:after="0" w:line="240" w:lineRule="auto"/>
            </w:pPr>
            <w:r>
              <w:rPr>
                <w:color w:val="000000"/>
                <w:sz w:val="16"/>
              </w:rPr>
              <w:t>Gateway execution record and cumulative refund reservation.</w:t>
            </w:r>
          </w:p>
        </w:tc>
        <w:tc>
          <w:tcPr>
            <w:tcW w:type="dxa" w:w="3096"/>
            <w:vAlign w:val="center"/>
            <w:tcMar>
              <w:top w:w="100" w:type="dxa"/>
              <w:start w:w="120" w:type="dxa"/>
              <w:bottom w:w="100" w:type="dxa"/>
              <w:end w:w="120" w:type="dxa"/>
            </w:tcMar>
          </w:tcPr>
          <w:p>
            <w:pPr>
              <w:spacing w:after="0" w:line="240" w:lineRule="auto"/>
            </w:pPr>
            <w:r>
              <w:rPr>
                <w:color w:val="000000"/>
                <w:sz w:val="16"/>
              </w:rPr>
              <w:t>Idempotency key; provider IDs; webhook-finalized status.</w:t>
            </w:r>
          </w:p>
        </w:tc>
      </w:tr>
      <w:tr>
        <w:trPr>
          <w:cantSplit/>
        </w:trPr>
        <w:tc>
          <w:tcPr>
            <w:tcW w:type="dxa" w:w="1944"/>
            <w:shd w:fill="F5F7FA"/>
            <w:vAlign w:val="center"/>
            <w:tcMar>
              <w:top w:w="100" w:type="dxa"/>
              <w:start w:w="120" w:type="dxa"/>
              <w:bottom w:w="100" w:type="dxa"/>
              <w:end w:w="120" w:type="dxa"/>
            </w:tcMar>
          </w:tcPr>
          <w:p>
            <w:pPr>
              <w:spacing w:after="0" w:line="240" w:lineRule="auto"/>
            </w:pPr>
            <w:r>
              <w:rPr>
                <w:color w:val="000000"/>
                <w:sz w:val="16"/>
              </w:rPr>
              <w:t>wallet_accounts</w:t>
            </w:r>
          </w:p>
        </w:tc>
        <w:tc>
          <w:tcPr>
            <w:tcW w:type="dxa" w:w="4824"/>
            <w:shd w:fill="F5F7FA"/>
            <w:vAlign w:val="center"/>
            <w:tcMar>
              <w:top w:w="100" w:type="dxa"/>
              <w:start w:w="120" w:type="dxa"/>
              <w:bottom w:w="100" w:type="dxa"/>
              <w:end w:w="120" w:type="dxa"/>
            </w:tcMar>
          </w:tcPr>
          <w:p>
            <w:pPr>
              <w:spacing w:after="0" w:line="240" w:lineRule="auto"/>
            </w:pPr>
            <w:r>
              <w:rPr>
                <w:color w:val="000000"/>
                <w:sz w:val="16"/>
              </w:rPr>
              <w:t>One projection per user with available and reserved balance in paise.</w:t>
            </w:r>
          </w:p>
        </w:tc>
        <w:tc>
          <w:tcPr>
            <w:tcW w:type="dxa" w:w="3096"/>
            <w:shd w:fill="F5F7FA"/>
            <w:vAlign w:val="center"/>
            <w:tcMar>
              <w:top w:w="100" w:type="dxa"/>
              <w:start w:w="120" w:type="dxa"/>
              <w:bottom w:w="100" w:type="dxa"/>
              <w:end w:w="120" w:type="dxa"/>
            </w:tcMar>
          </w:tcPr>
          <w:p>
            <w:pPr>
              <w:spacing w:after="0" w:line="240" w:lineRule="auto"/>
            </w:pPr>
            <w:r>
              <w:rPr>
                <w:color w:val="000000"/>
                <w:sz w:val="16"/>
              </w:rPr>
              <w:t>No client writes; optimistic version or Firestore transaction.</w:t>
            </w:r>
          </w:p>
        </w:tc>
      </w:tr>
      <w:tr>
        <w:trPr>
          <w:cantSplit/>
        </w:trPr>
        <w:tc>
          <w:tcPr>
            <w:tcW w:type="dxa" w:w="1944"/>
            <w:vAlign w:val="center"/>
            <w:tcMar>
              <w:top w:w="100" w:type="dxa"/>
              <w:start w:w="120" w:type="dxa"/>
              <w:bottom w:w="100" w:type="dxa"/>
              <w:end w:w="120" w:type="dxa"/>
            </w:tcMar>
          </w:tcPr>
          <w:p>
            <w:pPr>
              <w:spacing w:after="0" w:line="240" w:lineRule="auto"/>
            </w:pPr>
            <w:r>
              <w:rPr>
                <w:color w:val="000000"/>
                <w:sz w:val="16"/>
              </w:rPr>
              <w:t>wallet_entries</w:t>
            </w:r>
          </w:p>
        </w:tc>
        <w:tc>
          <w:tcPr>
            <w:tcW w:type="dxa" w:w="4824"/>
            <w:vAlign w:val="center"/>
            <w:tcMar>
              <w:top w:w="100" w:type="dxa"/>
              <w:start w:w="120" w:type="dxa"/>
              <w:bottom w:w="100" w:type="dxa"/>
              <w:end w:w="120" w:type="dxa"/>
            </w:tcMar>
          </w:tcPr>
          <w:p>
            <w:pPr>
              <w:spacing w:after="0" w:line="240" w:lineRule="auto"/>
            </w:pPr>
            <w:r>
              <w:rPr>
                <w:color w:val="000000"/>
                <w:sz w:val="16"/>
              </w:rPr>
              <w:t>Immutable credit, debit, release, reversal, and expiry entries.</w:t>
            </w:r>
          </w:p>
        </w:tc>
        <w:tc>
          <w:tcPr>
            <w:tcW w:type="dxa" w:w="3096"/>
            <w:vAlign w:val="center"/>
            <w:tcMar>
              <w:top w:w="100" w:type="dxa"/>
              <w:start w:w="120" w:type="dxa"/>
              <w:bottom w:w="100" w:type="dxa"/>
              <w:end w:w="120" w:type="dxa"/>
            </w:tcMar>
          </w:tcPr>
          <w:p>
            <w:pPr>
              <w:spacing w:after="0" w:line="240" w:lineRule="auto"/>
            </w:pPr>
            <w:r>
              <w:rPr>
                <w:color w:val="000000"/>
                <w:sz w:val="16"/>
              </w:rPr>
              <w:t>Double-entry-style references; unique operation key.</w:t>
            </w:r>
          </w:p>
        </w:tc>
      </w:tr>
      <w:tr>
        <w:trPr>
          <w:cantSplit/>
        </w:trPr>
        <w:tc>
          <w:tcPr>
            <w:tcW w:type="dxa" w:w="1944"/>
            <w:shd w:fill="F5F7FA"/>
            <w:vAlign w:val="center"/>
            <w:tcMar>
              <w:top w:w="100" w:type="dxa"/>
              <w:start w:w="120" w:type="dxa"/>
              <w:bottom w:w="100" w:type="dxa"/>
              <w:end w:w="120" w:type="dxa"/>
            </w:tcMar>
          </w:tcPr>
          <w:p>
            <w:pPr>
              <w:spacing w:after="0" w:line="240" w:lineRule="auto"/>
            </w:pPr>
            <w:r>
              <w:rPr>
                <w:color w:val="000000"/>
                <w:sz w:val="16"/>
              </w:rPr>
              <w:t>payment_events</w:t>
            </w:r>
          </w:p>
        </w:tc>
        <w:tc>
          <w:tcPr>
            <w:tcW w:type="dxa" w:w="4824"/>
            <w:shd w:fill="F5F7FA"/>
            <w:vAlign w:val="center"/>
            <w:tcMar>
              <w:top w:w="100" w:type="dxa"/>
              <w:start w:w="120" w:type="dxa"/>
              <w:bottom w:w="100" w:type="dxa"/>
              <w:end w:w="120" w:type="dxa"/>
            </w:tcMar>
          </w:tcPr>
          <w:p>
            <w:pPr>
              <w:spacing w:after="0" w:line="240" w:lineRule="auto"/>
            </w:pPr>
            <w:r>
              <w:rPr>
                <w:color w:val="000000"/>
                <w:sz w:val="16"/>
              </w:rPr>
              <w:t>Verified Razorpay webhook receipt and processing status.</w:t>
            </w:r>
          </w:p>
        </w:tc>
        <w:tc>
          <w:tcPr>
            <w:tcW w:type="dxa" w:w="3096"/>
            <w:shd w:fill="F5F7FA"/>
            <w:vAlign w:val="center"/>
            <w:tcMar>
              <w:top w:w="100" w:type="dxa"/>
              <w:start w:w="120" w:type="dxa"/>
              <w:bottom w:w="100" w:type="dxa"/>
              <w:end w:w="120" w:type="dxa"/>
            </w:tcMar>
          </w:tcPr>
          <w:p>
            <w:pPr>
              <w:spacing w:after="0" w:line="240" w:lineRule="auto"/>
            </w:pPr>
            <w:r>
              <w:rPr>
                <w:color w:val="000000"/>
                <w:sz w:val="16"/>
              </w:rPr>
              <w:t>Raw-body signature verified; event ID unique; payload access restricted.</w:t>
            </w:r>
          </w:p>
        </w:tc>
      </w:tr>
      <w:tr>
        <w:trPr>
          <w:cantSplit/>
        </w:trPr>
        <w:tc>
          <w:tcPr>
            <w:tcW w:type="dxa" w:w="1944"/>
            <w:vAlign w:val="center"/>
            <w:tcMar>
              <w:top w:w="100" w:type="dxa"/>
              <w:start w:w="120" w:type="dxa"/>
              <w:bottom w:w="100" w:type="dxa"/>
              <w:end w:w="120" w:type="dxa"/>
            </w:tcMar>
          </w:tcPr>
          <w:p>
            <w:pPr>
              <w:spacing w:after="0" w:line="240" w:lineRule="auto"/>
            </w:pPr>
            <w:r>
              <w:rPr>
                <w:color w:val="000000"/>
                <w:sz w:val="16"/>
              </w:rPr>
              <w:t>inventory_movements</w:t>
            </w:r>
          </w:p>
        </w:tc>
        <w:tc>
          <w:tcPr>
            <w:tcW w:type="dxa" w:w="4824"/>
            <w:vAlign w:val="center"/>
            <w:tcMar>
              <w:top w:w="100" w:type="dxa"/>
              <w:start w:w="120" w:type="dxa"/>
              <w:bottom w:w="100" w:type="dxa"/>
              <w:end w:w="120" w:type="dxa"/>
            </w:tcMar>
          </w:tcPr>
          <w:p>
            <w:pPr>
              <w:spacing w:after="0" w:line="240" w:lineRule="auto"/>
            </w:pPr>
            <w:r>
              <w:rPr>
                <w:color w:val="000000"/>
                <w:sz w:val="16"/>
              </w:rPr>
              <w:t>Shortage, damage, quarantine, return-to-stock, and write-off trail.</w:t>
            </w:r>
          </w:p>
        </w:tc>
        <w:tc>
          <w:tcPr>
            <w:tcW w:type="dxa" w:w="3096"/>
            <w:vAlign w:val="center"/>
            <w:tcMar>
              <w:top w:w="100" w:type="dxa"/>
              <w:start w:w="120" w:type="dxa"/>
              <w:bottom w:w="100" w:type="dxa"/>
              <w:end w:w="120" w:type="dxa"/>
            </w:tcMar>
          </w:tcPr>
          <w:p>
            <w:pPr>
              <w:spacing w:after="0" w:line="240" w:lineRule="auto"/>
            </w:pPr>
            <w:r>
              <w:rPr>
                <w:color w:val="000000"/>
                <w:sz w:val="16"/>
              </w:rPr>
              <w:t>Reason, item, quantity, actor, and source case required.</w:t>
            </w:r>
          </w:p>
        </w:tc>
      </w:tr>
      <w:tr>
        <w:trPr>
          <w:cantSplit/>
        </w:trPr>
        <w:tc>
          <w:tcPr>
            <w:tcW w:type="dxa" w:w="1944"/>
            <w:shd w:fill="F5F7FA"/>
            <w:vAlign w:val="center"/>
            <w:tcMar>
              <w:top w:w="100" w:type="dxa"/>
              <w:start w:w="120" w:type="dxa"/>
              <w:bottom w:w="100" w:type="dxa"/>
              <w:end w:w="120" w:type="dxa"/>
            </w:tcMar>
          </w:tcPr>
          <w:p>
            <w:pPr>
              <w:spacing w:after="0" w:line="240" w:lineRule="auto"/>
            </w:pPr>
            <w:r>
              <w:rPr>
                <w:color w:val="000000"/>
                <w:sz w:val="16"/>
              </w:rPr>
              <w:t>credit_notes</w:t>
            </w:r>
          </w:p>
        </w:tc>
        <w:tc>
          <w:tcPr>
            <w:tcW w:type="dxa" w:w="4824"/>
            <w:shd w:fill="F5F7FA"/>
            <w:vAlign w:val="center"/>
            <w:tcMar>
              <w:top w:w="100" w:type="dxa"/>
              <w:start w:w="120" w:type="dxa"/>
              <w:bottom w:w="100" w:type="dxa"/>
              <w:end w:w="120" w:type="dxa"/>
            </w:tcMar>
          </w:tcPr>
          <w:p>
            <w:pPr>
              <w:spacing w:after="0" w:line="240" w:lineRule="auto"/>
            </w:pPr>
            <w:r>
              <w:rPr>
                <w:color w:val="000000"/>
                <w:sz w:val="16"/>
              </w:rPr>
              <w:t>GST/accounting linkage and export status.</w:t>
            </w:r>
          </w:p>
        </w:tc>
        <w:tc>
          <w:tcPr>
            <w:tcW w:type="dxa" w:w="3096"/>
            <w:shd w:fill="F5F7FA"/>
            <w:vAlign w:val="center"/>
            <w:tcMar>
              <w:top w:w="100" w:type="dxa"/>
              <w:start w:w="120" w:type="dxa"/>
              <w:bottom w:w="100" w:type="dxa"/>
              <w:end w:w="120" w:type="dxa"/>
            </w:tcMar>
          </w:tcPr>
          <w:p>
            <w:pPr>
              <w:spacing w:after="0" w:line="240" w:lineRule="auto"/>
            </w:pPr>
            <w:r>
              <w:rPr>
                <w:color w:val="000000"/>
                <w:sz w:val="16"/>
              </w:rPr>
              <w:t>Immutable document number; CA/accounting integration.</w:t>
            </w:r>
          </w:p>
        </w:tc>
      </w:tr>
    </w:tbl>
    <w:p>
      <w:pPr>
        <w:spacing w:after="20"/>
      </w:pPr>
    </w:p>
    <w:p>
      <w:pPr>
        <w:pStyle w:val="Heading2"/>
      </w:pPr>
      <w:r>
        <w:t>Representative adjustment fields</w:t>
      </w:r>
    </w:p>
    <w:p>
      <w:pPr>
        <w:spacing w:after="50"/>
        <w:ind w:left="403" w:hanging="259"/>
      </w:pPr>
      <w:r>
        <w:t xml:space="preserve">• </w:t>
      </w:r>
      <w:r>
        <w:t>identity: adjustmentId, orderId, userId, merchantLegalEntityId, version</w:t>
      </w:r>
    </w:p>
    <w:p>
      <w:pPr>
        <w:spacing w:after="50"/>
        <w:ind w:left="403" w:hanging="259"/>
      </w:pPr>
      <w:r>
        <w:t xml:space="preserve">• </w:t>
      </w:r>
      <w:r>
        <w:t>reason: OUT_OF_STOCK, DAMAGED_BEFORE_DISPATCH, DAMAGED_AT_DOOR, MISSING_AT_DELIVERY, QUALITY_ISSUE, CUSTOMER_RETURN, FULL_CANCELLATION, GOODWILL</w:t>
      </w:r>
    </w:p>
    <w:p>
      <w:pPr>
        <w:spacing w:after="50"/>
        <w:ind w:left="403" w:hanging="259"/>
      </w:pPr>
      <w:r>
        <w:t xml:space="preserve">• </w:t>
      </w:r>
      <w:r>
        <w:t>lines: productId, variationId, originalQuantity, affectedQuantity, grossPaise, discountAllocationPaise, taxPaise, refundPaise</w:t>
      </w:r>
    </w:p>
    <w:p>
      <w:pPr>
        <w:spacing w:after="50"/>
        <w:ind w:left="403" w:hanging="259"/>
      </w:pPr>
      <w:r>
        <w:t xml:space="preserve">• </w:t>
      </w:r>
      <w:r>
        <w:t>destination: SOURCE, STORE_CREDIT, COD_PAYOUT; consentVersion and consentTimestamp where applicable</w:t>
      </w:r>
    </w:p>
    <w:p>
      <w:pPr>
        <w:spacing w:after="50"/>
        <w:ind w:left="403" w:hanging="259"/>
      </w:pPr>
      <w:r>
        <w:t xml:space="preserve">• </w:t>
      </w:r>
      <w:r>
        <w:t>state: DRAFT, PENDING_CUSTOMER, PENDING_APPROVAL, APPROVED, EXECUTING, PENDING_PROVIDER, SUCCEEDED, FAILED_RETRYABLE, FAILED_FINAL, REVERSED</w:t>
      </w:r>
    </w:p>
    <w:p>
      <w:pPr>
        <w:spacing w:after="50"/>
        <w:ind w:left="403" w:hanging="259"/>
      </w:pPr>
      <w:r>
        <w:t xml:space="preserve">• </w:t>
      </w:r>
      <w:r>
        <w:t>audit: createdBy, approvedBy, timestamps, device/session metadata, evidence references, policyVersion</w:t>
      </w:r>
    </w:p>
    <w:p>
      <w:pPr>
        <w:pStyle w:val="Heading2"/>
      </w:pPr>
      <w:r>
        <w:t>Server endpoints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088"/>
        <w:gridCol w:w="5400"/>
      </w:tblGrid>
      <w:tr>
        <w:trPr>
          <w:tblHeader w:val="true"/>
          <w:cantSplit/>
        </w:trPr>
        <w:tc>
          <w:tcPr>
            <w:tcW w:type="dxa" w:w="2376"/>
            <w:shd w:fill="17365D"/>
            <w:vAlign w:val="center"/>
            <w:tcMar>
              <w:top w:w="100" w:type="dxa"/>
              <w:start w:w="120" w:type="dxa"/>
              <w:bottom w:w="100" w:type="dxa"/>
              <w:end w:w="120" w:type="dxa"/>
            </w:tcMar>
          </w:tcPr>
          <w:p>
            <w:pPr>
              <w:spacing w:line="240" w:lineRule="auto"/>
              <w:jc w:val="center"/>
            </w:pPr>
            <w:r>
              <w:rPr>
                <w:b/>
                <w:color w:val="FFFFFF"/>
                <w:sz w:val="16"/>
              </w:rPr>
              <w:t>Command</w:t>
            </w:r>
          </w:p>
        </w:tc>
        <w:tc>
          <w:tcPr>
            <w:tcW w:type="dxa" w:w="2088"/>
            <w:shd w:fill="17365D"/>
            <w:vAlign w:val="center"/>
            <w:tcMar>
              <w:top w:w="100" w:type="dxa"/>
              <w:start w:w="120" w:type="dxa"/>
              <w:bottom w:w="100" w:type="dxa"/>
              <w:end w:w="120" w:type="dxa"/>
            </w:tcMar>
          </w:tcPr>
          <w:p>
            <w:pPr>
              <w:spacing w:line="240" w:lineRule="auto"/>
              <w:jc w:val="center"/>
            </w:pPr>
            <w:r>
              <w:rPr>
                <w:b/>
                <w:color w:val="FFFFFF"/>
                <w:sz w:val="16"/>
              </w:rPr>
              <w:t>Caller</w:t>
            </w:r>
          </w:p>
        </w:tc>
        <w:tc>
          <w:tcPr>
            <w:tcW w:type="dxa" w:w="5400"/>
            <w:shd w:fill="17365D"/>
            <w:vAlign w:val="center"/>
            <w:tcMar>
              <w:top w:w="100" w:type="dxa"/>
              <w:start w:w="120" w:type="dxa"/>
              <w:bottom w:w="100" w:type="dxa"/>
              <w:end w:w="120" w:type="dxa"/>
            </w:tcMar>
          </w:tcPr>
          <w:p>
            <w:pPr>
              <w:spacing w:line="240" w:lineRule="auto"/>
              <w:jc w:val="center"/>
            </w:pPr>
            <w:r>
              <w:rPr>
                <w:b/>
                <w:color w:val="FFFFFF"/>
                <w:sz w:val="16"/>
              </w:rPr>
              <w:t>Behavior</w:t>
            </w:r>
          </w:p>
        </w:tc>
      </w:tr>
      <w:tr>
        <w:trPr>
          <w:cantSplit/>
        </w:trPr>
        <w:tc>
          <w:tcPr>
            <w:tcW w:type="dxa" w:w="2376"/>
            <w:vAlign w:val="center"/>
            <w:tcMar>
              <w:top w:w="100" w:type="dxa"/>
              <w:start w:w="120" w:type="dxa"/>
              <w:bottom w:w="100" w:type="dxa"/>
              <w:end w:w="120" w:type="dxa"/>
            </w:tcMar>
          </w:tcPr>
          <w:p>
            <w:pPr>
              <w:spacing w:after="0" w:line="240" w:lineRule="auto"/>
            </w:pPr>
            <w:r>
              <w:rPr>
                <w:color w:val="000000"/>
                <w:sz w:val="16"/>
              </w:rPr>
              <w:t>previewAdjustment</w:t>
            </w:r>
          </w:p>
        </w:tc>
        <w:tc>
          <w:tcPr>
            <w:tcW w:type="dxa" w:w="2088"/>
            <w:vAlign w:val="center"/>
            <w:tcMar>
              <w:top w:w="100" w:type="dxa"/>
              <w:start w:w="120" w:type="dxa"/>
              <w:bottom w:w="100" w:type="dxa"/>
              <w:end w:w="120" w:type="dxa"/>
            </w:tcMar>
          </w:tcPr>
          <w:p>
            <w:pPr>
              <w:spacing w:after="0" w:line="240" w:lineRule="auto"/>
            </w:pPr>
            <w:r>
              <w:rPr>
                <w:color w:val="000000"/>
                <w:sz w:val="16"/>
              </w:rPr>
              <w:t>Authorized staff</w:t>
            </w:r>
          </w:p>
        </w:tc>
        <w:tc>
          <w:tcPr>
            <w:tcW w:type="dxa" w:w="5400"/>
            <w:vAlign w:val="center"/>
            <w:tcMar>
              <w:top w:w="100" w:type="dxa"/>
              <w:start w:w="120" w:type="dxa"/>
              <w:bottom w:w="100" w:type="dxa"/>
              <w:end w:w="120" w:type="dxa"/>
            </w:tcMar>
          </w:tcPr>
          <w:p>
            <w:pPr>
              <w:spacing w:after="0" w:line="240" w:lineRule="auto"/>
            </w:pPr>
            <w:r>
              <w:rPr>
                <w:color w:val="000000"/>
                <w:sz w:val="16"/>
              </w:rPr>
              <w:t>Validates lines and returns server-calculated amount without reserving money.</w:t>
            </w:r>
          </w:p>
        </w:tc>
      </w:tr>
      <w:tr>
        <w:trPr>
          <w:cantSplit/>
        </w:trPr>
        <w:tc>
          <w:tcPr>
            <w:tcW w:type="dxa" w:w="2376"/>
            <w:shd w:fill="F5F7FA"/>
            <w:vAlign w:val="center"/>
            <w:tcMar>
              <w:top w:w="100" w:type="dxa"/>
              <w:start w:w="120" w:type="dxa"/>
              <w:bottom w:w="100" w:type="dxa"/>
              <w:end w:w="120" w:type="dxa"/>
            </w:tcMar>
          </w:tcPr>
          <w:p>
            <w:pPr>
              <w:spacing w:after="0" w:line="240" w:lineRule="auto"/>
            </w:pPr>
            <w:r>
              <w:rPr>
                <w:color w:val="000000"/>
                <w:sz w:val="16"/>
              </w:rPr>
              <w:t>createAdjustment</w:t>
            </w:r>
          </w:p>
        </w:tc>
        <w:tc>
          <w:tcPr>
            <w:tcW w:type="dxa" w:w="2088"/>
            <w:shd w:fill="F5F7FA"/>
            <w:vAlign w:val="center"/>
            <w:tcMar>
              <w:top w:w="100" w:type="dxa"/>
              <w:start w:w="120" w:type="dxa"/>
              <w:bottom w:w="100" w:type="dxa"/>
              <w:end w:w="120" w:type="dxa"/>
            </w:tcMar>
          </w:tcPr>
          <w:p>
            <w:pPr>
              <w:spacing w:after="0" w:line="240" w:lineRule="auto"/>
            </w:pPr>
            <w:r>
              <w:rPr>
                <w:color w:val="000000"/>
                <w:sz w:val="16"/>
              </w:rPr>
              <w:t>Authorized staff or eligible customer claim</w:t>
            </w:r>
          </w:p>
        </w:tc>
        <w:tc>
          <w:tcPr>
            <w:tcW w:type="dxa" w:w="5400"/>
            <w:shd w:fill="F5F7FA"/>
            <w:vAlign w:val="center"/>
            <w:tcMar>
              <w:top w:w="100" w:type="dxa"/>
              <w:start w:w="120" w:type="dxa"/>
              <w:bottom w:w="100" w:type="dxa"/>
              <w:end w:w="120" w:type="dxa"/>
            </w:tcMar>
          </w:tcPr>
          <w:p>
            <w:pPr>
              <w:spacing w:after="0" w:line="240" w:lineRule="auto"/>
            </w:pPr>
            <w:r>
              <w:rPr>
                <w:color w:val="000000"/>
                <w:sz w:val="16"/>
              </w:rPr>
              <w:t>Creates case with unique request ID and current policy snapshot.</w:t>
            </w:r>
          </w:p>
        </w:tc>
      </w:tr>
      <w:tr>
        <w:trPr>
          <w:cantSplit/>
        </w:trPr>
        <w:tc>
          <w:tcPr>
            <w:tcW w:type="dxa" w:w="2376"/>
            <w:vAlign w:val="center"/>
            <w:tcMar>
              <w:top w:w="100" w:type="dxa"/>
              <w:start w:w="120" w:type="dxa"/>
              <w:bottom w:w="100" w:type="dxa"/>
              <w:end w:w="120" w:type="dxa"/>
            </w:tcMar>
          </w:tcPr>
          <w:p>
            <w:pPr>
              <w:spacing w:after="0" w:line="240" w:lineRule="auto"/>
            </w:pPr>
            <w:r>
              <w:rPr>
                <w:color w:val="000000"/>
                <w:sz w:val="16"/>
              </w:rPr>
              <w:t>chooseRefundDestination</w:t>
            </w:r>
          </w:p>
        </w:tc>
        <w:tc>
          <w:tcPr>
            <w:tcW w:type="dxa" w:w="2088"/>
            <w:vAlign w:val="center"/>
            <w:tcMar>
              <w:top w:w="100" w:type="dxa"/>
              <w:start w:w="120" w:type="dxa"/>
              <w:bottom w:w="100" w:type="dxa"/>
              <w:end w:w="120" w:type="dxa"/>
            </w:tcMar>
          </w:tcPr>
          <w:p>
            <w:pPr>
              <w:spacing w:after="0" w:line="240" w:lineRule="auto"/>
            </w:pPr>
            <w:r>
              <w:rPr>
                <w:color w:val="000000"/>
                <w:sz w:val="16"/>
              </w:rPr>
              <w:t>Affected customer</w:t>
            </w:r>
          </w:p>
        </w:tc>
        <w:tc>
          <w:tcPr>
            <w:tcW w:type="dxa" w:w="5400"/>
            <w:vAlign w:val="center"/>
            <w:tcMar>
              <w:top w:w="100" w:type="dxa"/>
              <w:start w:w="120" w:type="dxa"/>
              <w:bottom w:w="100" w:type="dxa"/>
              <w:end w:w="120" w:type="dxa"/>
            </w:tcMar>
          </w:tcPr>
          <w:p>
            <w:pPr>
              <w:spacing w:after="0" w:line="240" w:lineRule="auto"/>
            </w:pPr>
            <w:r>
              <w:rPr>
                <w:color w:val="000000"/>
                <w:sz w:val="16"/>
              </w:rPr>
              <w:t>Records explicit destination choice; cannot change after execution begins.</w:t>
            </w:r>
          </w:p>
        </w:tc>
      </w:tr>
      <w:tr>
        <w:trPr>
          <w:cantSplit/>
        </w:trPr>
        <w:tc>
          <w:tcPr>
            <w:tcW w:type="dxa" w:w="2376"/>
            <w:shd w:fill="F5F7FA"/>
            <w:vAlign w:val="center"/>
            <w:tcMar>
              <w:top w:w="100" w:type="dxa"/>
              <w:start w:w="120" w:type="dxa"/>
              <w:bottom w:w="100" w:type="dxa"/>
              <w:end w:w="120" w:type="dxa"/>
            </w:tcMar>
          </w:tcPr>
          <w:p>
            <w:pPr>
              <w:spacing w:after="0" w:line="240" w:lineRule="auto"/>
            </w:pPr>
            <w:r>
              <w:rPr>
                <w:color w:val="000000"/>
                <w:sz w:val="16"/>
              </w:rPr>
              <w:t>approveAdjustment</w:t>
            </w:r>
          </w:p>
        </w:tc>
        <w:tc>
          <w:tcPr>
            <w:tcW w:type="dxa" w:w="2088"/>
            <w:shd w:fill="F5F7FA"/>
            <w:vAlign w:val="center"/>
            <w:tcMar>
              <w:top w:w="100" w:type="dxa"/>
              <w:start w:w="120" w:type="dxa"/>
              <w:bottom w:w="100" w:type="dxa"/>
              <w:end w:w="120" w:type="dxa"/>
            </w:tcMar>
          </w:tcPr>
          <w:p>
            <w:pPr>
              <w:spacing w:after="0" w:line="240" w:lineRule="auto"/>
            </w:pPr>
            <w:r>
              <w:rPr>
                <w:color w:val="000000"/>
                <w:sz w:val="16"/>
              </w:rPr>
              <w:t>Approver</w:t>
            </w:r>
          </w:p>
        </w:tc>
        <w:tc>
          <w:tcPr>
            <w:tcW w:type="dxa" w:w="5400"/>
            <w:shd w:fill="F5F7FA"/>
            <w:vAlign w:val="center"/>
            <w:tcMar>
              <w:top w:w="100" w:type="dxa"/>
              <w:start w:w="120" w:type="dxa"/>
              <w:bottom w:w="100" w:type="dxa"/>
              <w:end w:w="120" w:type="dxa"/>
            </w:tcMar>
          </w:tcPr>
          <w:p>
            <w:pPr>
              <w:spacing w:after="0" w:line="240" w:lineRule="auto"/>
            </w:pPr>
            <w:r>
              <w:rPr>
                <w:color w:val="000000"/>
                <w:sz w:val="16"/>
              </w:rPr>
              <w:t>Enforces maker-checker and caps; freezes calculation and reserves refundable amount.</w:t>
            </w:r>
          </w:p>
        </w:tc>
      </w:tr>
      <w:tr>
        <w:trPr>
          <w:cantSplit/>
        </w:trPr>
        <w:tc>
          <w:tcPr>
            <w:tcW w:type="dxa" w:w="2376"/>
            <w:vAlign w:val="center"/>
            <w:tcMar>
              <w:top w:w="100" w:type="dxa"/>
              <w:start w:w="120" w:type="dxa"/>
              <w:bottom w:w="100" w:type="dxa"/>
              <w:end w:w="120" w:type="dxa"/>
            </w:tcMar>
          </w:tcPr>
          <w:p>
            <w:pPr>
              <w:spacing w:after="0" w:line="240" w:lineRule="auto"/>
            </w:pPr>
            <w:r>
              <w:rPr>
                <w:color w:val="000000"/>
                <w:sz w:val="16"/>
              </w:rPr>
              <w:t>executeAdjustment</w:t>
            </w:r>
          </w:p>
        </w:tc>
        <w:tc>
          <w:tcPr>
            <w:tcW w:type="dxa" w:w="2088"/>
            <w:vAlign w:val="center"/>
            <w:tcMar>
              <w:top w:w="100" w:type="dxa"/>
              <w:start w:w="120" w:type="dxa"/>
              <w:bottom w:w="100" w:type="dxa"/>
              <w:end w:w="120" w:type="dxa"/>
            </w:tcMar>
          </w:tcPr>
          <w:p>
            <w:pPr>
              <w:spacing w:after="0" w:line="240" w:lineRule="auto"/>
            </w:pPr>
            <w:r>
              <w:rPr>
                <w:color w:val="000000"/>
                <w:sz w:val="16"/>
              </w:rPr>
              <w:t>Queue/worker only</w:t>
            </w:r>
          </w:p>
        </w:tc>
        <w:tc>
          <w:tcPr>
            <w:tcW w:type="dxa" w:w="5400"/>
            <w:vAlign w:val="center"/>
            <w:tcMar>
              <w:top w:w="100" w:type="dxa"/>
              <w:start w:w="120" w:type="dxa"/>
              <w:bottom w:w="100" w:type="dxa"/>
              <w:end w:w="120" w:type="dxa"/>
            </w:tcMar>
          </w:tcPr>
          <w:p>
            <w:pPr>
              <w:spacing w:after="0" w:line="240" w:lineRule="auto"/>
            </w:pPr>
            <w:r>
              <w:rPr>
                <w:color w:val="000000"/>
                <w:sz w:val="16"/>
              </w:rPr>
              <w:t>Posts wallet entry or creates Razorpay refund exactly once.</w:t>
            </w:r>
          </w:p>
        </w:tc>
      </w:tr>
      <w:tr>
        <w:trPr>
          <w:cantSplit/>
        </w:trPr>
        <w:tc>
          <w:tcPr>
            <w:tcW w:type="dxa" w:w="2376"/>
            <w:shd w:fill="F5F7FA"/>
            <w:vAlign w:val="center"/>
            <w:tcMar>
              <w:top w:w="100" w:type="dxa"/>
              <w:start w:w="120" w:type="dxa"/>
              <w:bottom w:w="100" w:type="dxa"/>
              <w:end w:w="120" w:type="dxa"/>
            </w:tcMar>
          </w:tcPr>
          <w:p>
            <w:pPr>
              <w:spacing w:after="0" w:line="240" w:lineRule="auto"/>
            </w:pPr>
            <w:r>
              <w:rPr>
                <w:color w:val="000000"/>
                <w:sz w:val="16"/>
              </w:rPr>
              <w:t>razorpayWebhook</w:t>
            </w:r>
          </w:p>
        </w:tc>
        <w:tc>
          <w:tcPr>
            <w:tcW w:type="dxa" w:w="2088"/>
            <w:shd w:fill="F5F7FA"/>
            <w:vAlign w:val="center"/>
            <w:tcMar>
              <w:top w:w="100" w:type="dxa"/>
              <w:start w:w="120" w:type="dxa"/>
              <w:bottom w:w="100" w:type="dxa"/>
              <w:end w:w="120" w:type="dxa"/>
            </w:tcMar>
          </w:tcPr>
          <w:p>
            <w:pPr>
              <w:spacing w:after="0" w:line="240" w:lineRule="auto"/>
            </w:pPr>
            <w:r>
              <w:rPr>
                <w:color w:val="000000"/>
                <w:sz w:val="16"/>
              </w:rPr>
              <w:t>Razorpay</w:t>
            </w:r>
          </w:p>
        </w:tc>
        <w:tc>
          <w:tcPr>
            <w:tcW w:type="dxa" w:w="5400"/>
            <w:shd w:fill="F5F7FA"/>
            <w:vAlign w:val="center"/>
            <w:tcMar>
              <w:top w:w="100" w:type="dxa"/>
              <w:start w:w="120" w:type="dxa"/>
              <w:bottom w:w="100" w:type="dxa"/>
              <w:end w:w="120" w:type="dxa"/>
            </w:tcMar>
          </w:tcPr>
          <w:p>
            <w:pPr>
              <w:spacing w:after="0" w:line="240" w:lineRule="auto"/>
            </w:pPr>
            <w:r>
              <w:rPr>
                <w:color w:val="000000"/>
                <w:sz w:val="16"/>
              </w:rPr>
              <w:t>Verifies signature over raw body, deduplicates event, and finalizes provider state.</w:t>
            </w:r>
          </w:p>
        </w:tc>
      </w:tr>
      <w:tr>
        <w:trPr>
          <w:cantSplit/>
        </w:trPr>
        <w:tc>
          <w:tcPr>
            <w:tcW w:type="dxa" w:w="2376"/>
            <w:vAlign w:val="center"/>
            <w:tcMar>
              <w:top w:w="100" w:type="dxa"/>
              <w:start w:w="120" w:type="dxa"/>
              <w:bottom w:w="100" w:type="dxa"/>
              <w:end w:w="120" w:type="dxa"/>
            </w:tcMar>
          </w:tcPr>
          <w:p>
            <w:pPr>
              <w:spacing w:after="0" w:line="240" w:lineRule="auto"/>
            </w:pPr>
            <w:r>
              <w:rPr>
                <w:color w:val="000000"/>
                <w:sz w:val="16"/>
              </w:rPr>
              <w:t>walletQuoteAndApply</w:t>
            </w:r>
          </w:p>
        </w:tc>
        <w:tc>
          <w:tcPr>
            <w:tcW w:type="dxa" w:w="2088"/>
            <w:vAlign w:val="center"/>
            <w:tcMar>
              <w:top w:w="100" w:type="dxa"/>
              <w:start w:w="120" w:type="dxa"/>
              <w:bottom w:w="100" w:type="dxa"/>
              <w:end w:w="120" w:type="dxa"/>
            </w:tcMar>
          </w:tcPr>
          <w:p>
            <w:pPr>
              <w:spacing w:after="0" w:line="240" w:lineRule="auto"/>
            </w:pPr>
            <w:r>
              <w:rPr>
                <w:color w:val="000000"/>
                <w:sz w:val="16"/>
              </w:rPr>
              <w:t>Checkout service</w:t>
            </w:r>
          </w:p>
        </w:tc>
        <w:tc>
          <w:tcPr>
            <w:tcW w:type="dxa" w:w="5400"/>
            <w:vAlign w:val="center"/>
            <w:tcMar>
              <w:top w:w="100" w:type="dxa"/>
              <w:start w:w="120" w:type="dxa"/>
              <w:bottom w:w="100" w:type="dxa"/>
              <w:end w:w="120" w:type="dxa"/>
            </w:tcMar>
          </w:tcPr>
          <w:p>
            <w:pPr>
              <w:spacing w:after="0" w:line="240" w:lineRule="auto"/>
            </w:pPr>
            <w:r>
              <w:rPr>
                <w:color w:val="000000"/>
                <w:sz w:val="16"/>
              </w:rPr>
              <w:t>Reserves/debits wallet in the same authoritative order workflow.</w:t>
            </w:r>
          </w:p>
        </w:tc>
      </w:tr>
      <w:tr>
        <w:trPr>
          <w:cantSplit/>
        </w:trPr>
        <w:tc>
          <w:tcPr>
            <w:tcW w:type="dxa" w:w="2376"/>
            <w:shd w:fill="F5F7FA"/>
            <w:vAlign w:val="center"/>
            <w:tcMar>
              <w:top w:w="100" w:type="dxa"/>
              <w:start w:w="120" w:type="dxa"/>
              <w:bottom w:w="100" w:type="dxa"/>
              <w:end w:w="120" w:type="dxa"/>
            </w:tcMar>
          </w:tcPr>
          <w:p>
            <w:pPr>
              <w:spacing w:after="0" w:line="240" w:lineRule="auto"/>
            </w:pPr>
            <w:r>
              <w:rPr>
                <w:color w:val="000000"/>
                <w:sz w:val="16"/>
              </w:rPr>
              <w:t>reverseAdjustment</w:t>
            </w:r>
          </w:p>
        </w:tc>
        <w:tc>
          <w:tcPr>
            <w:tcW w:type="dxa" w:w="2088"/>
            <w:shd w:fill="F5F7FA"/>
            <w:vAlign w:val="center"/>
            <w:tcMar>
              <w:top w:w="100" w:type="dxa"/>
              <w:start w:w="120" w:type="dxa"/>
              <w:bottom w:w="100" w:type="dxa"/>
              <w:end w:w="120" w:type="dxa"/>
            </w:tcMar>
          </w:tcPr>
          <w:p>
            <w:pPr>
              <w:spacing w:after="0" w:line="240" w:lineRule="auto"/>
            </w:pPr>
            <w:r>
              <w:rPr>
                <w:color w:val="000000"/>
                <w:sz w:val="16"/>
              </w:rPr>
              <w:t>Restricted finance role</w:t>
            </w:r>
          </w:p>
        </w:tc>
        <w:tc>
          <w:tcPr>
            <w:tcW w:type="dxa" w:w="5400"/>
            <w:shd w:fill="F5F7FA"/>
            <w:vAlign w:val="center"/>
            <w:tcMar>
              <w:top w:w="100" w:type="dxa"/>
              <w:start w:w="120" w:type="dxa"/>
              <w:bottom w:w="100" w:type="dxa"/>
              <w:end w:w="120" w:type="dxa"/>
            </w:tcMar>
          </w:tcPr>
          <w:p>
            <w:pPr>
              <w:spacing w:after="0" w:line="240" w:lineRule="auto"/>
            </w:pPr>
            <w:r>
              <w:rPr>
                <w:color w:val="000000"/>
                <w:sz w:val="16"/>
              </w:rPr>
              <w:t>Creates compensating entries; never edits or deletes posted entries.</w:t>
            </w:r>
          </w:p>
        </w:tc>
      </w:tr>
    </w:tbl>
    <w:p>
      <w:pPr>
        <w:spacing w:after="20"/>
      </w:pPr>
    </w:p>
    <w:p>
      <w:pPr>
        <w:pStyle w:val="Heading1"/>
      </w:pPr>
      <w:r>
        <w:t>7 Wallet design boundaries</w:t>
      </w:r>
    </w:p>
    <w:p>
      <w:r>
        <w:t>Call the first release ‘Kissan Fresh Credit’ in customer-facing copy unless legal review prefers another term. Product naming does not decide regulation, but it reduces the risk of suggesting a general-purpose bank wallet.</w:t>
      </w:r>
    </w:p>
    <w:p>
      <w:pPr>
        <w:pStyle w:val="Heading2"/>
      </w:pPr>
      <w:r>
        <w:t>Allowed in the recommended first release</w:t>
      </w:r>
    </w:p>
    <w:p>
      <w:pPr>
        <w:spacing w:after="50"/>
        <w:ind w:left="403" w:hanging="259"/>
      </w:pPr>
      <w:r>
        <w:t xml:space="preserve">• </w:t>
      </w:r>
      <w:r>
        <w:t>Credits originate only from approved refunds or tightly controlled goodwill adjustments.</w:t>
      </w:r>
    </w:p>
    <w:p>
      <w:pPr>
        <w:spacing w:after="50"/>
        <w:ind w:left="403" w:hanging="259"/>
      </w:pPr>
      <w:r>
        <w:t xml:space="preserve">• </w:t>
      </w:r>
      <w:r>
        <w:t>Credits are denominated in INR paise and can purchase only eligible goods supplied by the same Kissan Fresh legal entity.</w:t>
      </w:r>
    </w:p>
    <w:p>
      <w:pPr>
        <w:spacing w:after="50"/>
        <w:ind w:left="403" w:hanging="259"/>
      </w:pPr>
      <w:r>
        <w:t xml:space="preserve">• </w:t>
      </w:r>
      <w:r>
        <w:t>No customer top-up, cash loading, bank withdrawal, peer transfer, gifting, or external merchant payment.</w:t>
      </w:r>
    </w:p>
    <w:p>
      <w:pPr>
        <w:spacing w:after="50"/>
        <w:ind w:left="403" w:hanging="259"/>
      </w:pPr>
      <w:r>
        <w:t xml:space="preserve">• </w:t>
      </w:r>
      <w:r>
        <w:t>No negative balances. Reservations expire safely if checkout fails.</w:t>
      </w:r>
    </w:p>
    <w:p>
      <w:pPr>
        <w:spacing w:after="50"/>
        <w:ind w:left="403" w:hanging="259"/>
      </w:pPr>
      <w:r>
        <w:t xml:space="preserve">• </w:t>
      </w:r>
      <w:r>
        <w:t>Balance and complete statement are visible; each entry links to an order or support case.</w:t>
      </w:r>
    </w:p>
    <w:p>
      <w:pPr>
        <w:spacing w:after="50"/>
        <w:ind w:left="403" w:hanging="259"/>
      </w:pPr>
      <w:r>
        <w:t xml:space="preserve">• </w:t>
      </w:r>
      <w:r>
        <w:t>Account recovery uses the existing verified identity plus step-up checks for risky changes.</w:t>
      </w:r>
    </w:p>
    <w:p>
      <w:pPr>
        <w:pStyle w:val="Heading2"/>
      </w:pPr>
      <w:r>
        <w:t>Do not implement without a new regulatory design</w:t>
      </w:r>
    </w:p>
    <w:p>
      <w:pPr>
        <w:spacing w:after="50"/>
        <w:ind w:left="403" w:hanging="259"/>
      </w:pPr>
      <w:r>
        <w:t xml:space="preserve">• </w:t>
      </w:r>
      <w:r>
        <w:t>Use across independent Home Food sellers where Kissan Fresh is only a marketplace intermediary.</w:t>
      </w:r>
    </w:p>
    <w:p>
      <w:pPr>
        <w:spacing w:after="50"/>
        <w:ind w:left="403" w:hanging="259"/>
      </w:pPr>
      <w:r>
        <w:t xml:space="preserve">• </w:t>
      </w:r>
      <w:r>
        <w:t>Customer-purchased wallet top-ups or recurring stored balances intended as a payment product.</w:t>
      </w:r>
    </w:p>
    <w:p>
      <w:pPr>
        <w:spacing w:after="50"/>
        <w:ind w:left="403" w:hanging="259"/>
      </w:pPr>
      <w:r>
        <w:t xml:space="preserve">• </w:t>
      </w:r>
      <w:r>
        <w:t>P2P transfer, cash-out, bank transfer, gift cards transferable among people, or use outside Kissan Fresh.</w:t>
      </w:r>
    </w:p>
    <w:p>
      <w:pPr>
        <w:spacing w:after="50"/>
        <w:ind w:left="403" w:hanging="259"/>
      </w:pPr>
      <w:r>
        <w:t xml:space="preserve">• </w:t>
      </w:r>
      <w:r>
        <w:t>Combining balances across countries, currencies, or separate legal entities.</w:t>
      </w:r>
    </w:p>
    <w:p>
      <w:pPr>
        <w:pStyle w:val="Heading2"/>
      </w:pPr>
      <w:r>
        <w:t>RBI boundary</w:t>
      </w:r>
    </w:p>
    <w:p>
      <w:r>
        <w:t>RBI’s current Master Directions describe a closed-system instrument as one used only to buy goods or services from the issuing entity, with no cash withdrawal or third-party settlement; such an instrument is not classified as a payment system requiring RBI approval or authorization.⁴ This is the key reason to keep refund credit single-entity and closed. If Home Food sellers are independent merchants, the assumption may no longer hold. Obtain a written legal classification before enabling cross-seller spend.</w:t>
      </w:r>
    </w:p>
    <w:p>
      <w:pPr>
        <w:pStyle w:val="Heading2"/>
      </w:pPr>
      <w:r>
        <w:t>Expiry and account closure</w:t>
      </w:r>
    </w:p>
    <w:p>
      <w:r>
        <w:t>The customer-friendliest rule is no short expiry for refund-origin credits. If expiry is commercially required, use a long, prominently disclosed period, send multiple reminders, and provide a fair path for genuine refund money. On account deletion, freeze new use, settle or lawfully preserve financial records, and do not silently erase value. A refund-only balance should have a documented treatment for death, duplicate accounts, phone-number recycling, and inaccessible accounts.</w:t>
      </w:r>
    </w:p>
    <w:p>
      <w:pPr>
        <w:pStyle w:val="Heading2"/>
      </w:pPr>
      <w:r>
        <w:t>Liability and treasury</w:t>
      </w:r>
    </w:p>
    <w:p>
      <w:r>
        <w:t>Every posted credit is a financial obligation until redeemed, reversed lawfully, expired under enforceable terms, or otherwise settled. Finance should reconcile the wallet liability daily and recognize revenue only when the underlying accounting treatment permits. Gateway fees on the original captured payment may not be returned even when a regular refund itself has no refund fee, so partial refunds can still have margin cost.¹</w:t>
      </w:r>
    </w:p>
    <w:p>
      <w:r>
        <w:br w:type="page"/>
      </w:r>
    </w:p>
    <w:p>
      <w:pPr>
        <w:pStyle w:val="Heading1"/>
      </w:pPr>
      <w:r>
        <w:t>8 Security and fraud controls</w:t>
      </w:r>
    </w:p>
    <w:p>
      <w:r>
        <w:t>Financial correctness requires more than Firestore rules. Use a server-controlled state machine, least privilege, immutable audit events, verified provider callbacks, and automated invariants.</w:t>
      </w:r>
    </w:p>
    <w:p>
      <w:pPr>
        <w:pStyle w:val="Heading2"/>
      </w:pPr>
      <w:r>
        <w:t>Authentication and authorization</w:t>
      </w:r>
    </w:p>
    <w:p>
      <w:pPr>
        <w:spacing w:after="50"/>
        <w:ind w:left="403" w:hanging="259"/>
      </w:pPr>
      <w:r>
        <w:t xml:space="preserve">• </w:t>
      </w:r>
      <w:r>
        <w:t>Enforce Firebase App Check on callable financial functions after staged monitoring.</w:t>
      </w:r>
    </w:p>
    <w:p>
      <w:pPr>
        <w:spacing w:after="50"/>
        <w:ind w:left="403" w:hanging="259"/>
      </w:pPr>
      <w:r>
        <w:t xml:space="preserve">• </w:t>
      </w:r>
      <w:r>
        <w:t>Require recent authentication or step-up OTP for destination changes, high-value claims, and sensitive profile changes.</w:t>
      </w:r>
    </w:p>
    <w:p>
      <w:pPr>
        <w:spacing w:after="50"/>
        <w:ind w:left="403" w:hanging="259"/>
      </w:pPr>
      <w:r>
        <w:t xml:space="preserve">• </w:t>
      </w:r>
      <w:r>
        <w:t>Define distinct permissions: view adjustment, create, approve, execute/retry, goodwill credit, reconcile, export, and reverse.</w:t>
      </w:r>
    </w:p>
    <w:p>
      <w:pPr>
        <w:spacing w:after="50"/>
        <w:ind w:left="403" w:hanging="259"/>
      </w:pPr>
      <w:r>
        <w:t xml:space="preserve">• </w:t>
      </w:r>
      <w:r>
        <w:t>Use maker-checker: the creator cannot approve their own case above a low threshold; high-value or repeated cases require finance approval.</w:t>
      </w:r>
    </w:p>
    <w:p>
      <w:pPr>
        <w:spacing w:after="50"/>
        <w:ind w:left="403" w:hanging="259"/>
      </w:pPr>
      <w:r>
        <w:t xml:space="preserve">• </w:t>
      </w:r>
      <w:r>
        <w:t>Never authorize from a client-supplied role. Resolve custom claims and current staff status on the server.</w:t>
      </w:r>
    </w:p>
    <w:p>
      <w:pPr>
        <w:pStyle w:val="Heading2"/>
      </w:pPr>
      <w:r>
        <w:t>Payment and webhook integrity</w:t>
      </w:r>
    </w:p>
    <w:p>
      <w:pPr>
        <w:spacing w:after="50"/>
        <w:ind w:left="403" w:hanging="259"/>
      </w:pPr>
      <w:r>
        <w:t xml:space="preserve">• </w:t>
      </w:r>
      <w:r>
        <w:t>Create Razorpay orders on the server and bind Razorpay order ID, expected amount, currency, authenticated user, and Kissan order draft.</w:t>
      </w:r>
    </w:p>
    <w:p>
      <w:pPr>
        <w:spacing w:after="50"/>
        <w:ind w:left="403" w:hanging="259"/>
      </w:pPr>
      <w:r>
        <w:t xml:space="preserve">• </w:t>
      </w:r>
      <w:r>
        <w:t>Verify checkout signatures on the server; treat the mobile success event only as a prompt to verify.</w:t>
      </w:r>
    </w:p>
    <w:p>
      <w:pPr>
        <w:spacing w:after="50"/>
        <w:ind w:left="403" w:hanging="259"/>
      </w:pPr>
      <w:r>
        <w:t xml:space="preserve">• </w:t>
      </w:r>
      <w:r>
        <w:t>Verify webhook HMAC using the raw request body, store the provider event ID, and process each event once. Razorpay explicitly warns that webhook signatures use the raw body.⁵</w:t>
      </w:r>
    </w:p>
    <w:p>
      <w:pPr>
        <w:spacing w:after="50"/>
        <w:ind w:left="403" w:hanging="259"/>
      </w:pPr>
      <w:r>
        <w:t xml:space="preserve">• </w:t>
      </w:r>
      <w:r>
        <w:t>Use API fetch when an immediate customer-facing decision is required and the webhook has not arrived; use verified webhooks for durable automation.⁶</w:t>
      </w:r>
    </w:p>
    <w:p>
      <w:pPr>
        <w:spacing w:after="50"/>
        <w:ind w:left="403" w:hanging="259"/>
      </w:pPr>
      <w:r>
        <w:t xml:space="preserve">• </w:t>
      </w:r>
      <w:r>
        <w:t>Restrict outbound refund execution to captured payments and validate payment ownership, amount, currency, cumulative refunds, and merchant account.</w:t>
      </w:r>
    </w:p>
    <w:p>
      <w:pPr>
        <w:pStyle w:val="Heading2"/>
      </w:pPr>
      <w:r>
        <w:t>Ledger invariants</w:t>
      </w:r>
    </w:p>
    <w:p>
      <w:pPr>
        <w:spacing w:after="50"/>
        <w:ind w:left="403" w:hanging="259"/>
      </w:pPr>
      <w:r>
        <w:t xml:space="preserve">• </w:t>
      </w:r>
      <w:r>
        <w:t>Sum of wallet entries for an account equals the projected balance; balance never falls below reserved/debit obligations.</w:t>
      </w:r>
    </w:p>
    <w:p>
      <w:pPr>
        <w:spacing w:after="50"/>
        <w:ind w:left="403" w:hanging="259"/>
      </w:pPr>
      <w:r>
        <w:t xml:space="preserve">• </w:t>
      </w:r>
      <w:r>
        <w:t>Every succeeded refund has one provider refund ID; every provider refund maps to one internal case and payment.</w:t>
      </w:r>
    </w:p>
    <w:p>
      <w:pPr>
        <w:spacing w:after="50"/>
        <w:ind w:left="403" w:hanging="259"/>
      </w:pPr>
      <w:r>
        <w:t xml:space="preserve">• </w:t>
      </w:r>
      <w:r>
        <w:t>Pending plus succeeded refunds never exceed the refundable captured amount.</w:t>
      </w:r>
    </w:p>
    <w:p>
      <w:pPr>
        <w:spacing w:after="50"/>
        <w:ind w:left="403" w:hanging="259"/>
      </w:pPr>
      <w:r>
        <w:t xml:space="preserve">• </w:t>
      </w:r>
      <w:r>
        <w:t>Affected quantity never exceeds ordered quantity minus previously adjusted quantity.</w:t>
      </w:r>
    </w:p>
    <w:p>
      <w:pPr>
        <w:spacing w:after="50"/>
        <w:ind w:left="403" w:hanging="259"/>
      </w:pPr>
      <w:r>
        <w:t xml:space="preserve">• </w:t>
      </w:r>
      <w:r>
        <w:t>Posted entries are never edited or deleted. Corrections are new compensating entries.</w:t>
      </w:r>
    </w:p>
    <w:p>
      <w:pPr>
        <w:pStyle w:val="Heading2"/>
      </w:pPr>
      <w:r>
        <w:t>Abuse detection</w:t>
      </w:r>
    </w:p>
    <w:p>
      <w:pPr>
        <w:spacing w:after="50"/>
        <w:ind w:left="403" w:hanging="259"/>
      </w:pPr>
      <w:r>
        <w:t xml:space="preserve">• </w:t>
      </w:r>
      <w:r>
        <w:t>Velocity limits by user, staff member, device, IP, payment instrument token, address, and household signal.</w:t>
      </w:r>
    </w:p>
    <w:p>
      <w:pPr>
        <w:spacing w:after="50"/>
        <w:ind w:left="403" w:hanging="259"/>
      </w:pPr>
      <w:r>
        <w:t xml:space="preserve">• </w:t>
      </w:r>
      <w:r>
        <w:t>Risk flags for repeated damage claims, new-device claim activity, many accounts sharing a device/address, unusual operator behavior, and refund immediately followed by account change.</w:t>
      </w:r>
    </w:p>
    <w:p>
      <w:pPr>
        <w:spacing w:after="50"/>
        <w:ind w:left="403" w:hanging="259"/>
      </w:pPr>
      <w:r>
        <w:t xml:space="preserve">• </w:t>
      </w:r>
      <w:r>
        <w:t>Evidence hashes, reason distribution, approval overrides, and operator refund rates in monitoring dashboards.</w:t>
      </w:r>
    </w:p>
    <w:p>
      <w:pPr>
        <w:spacing w:after="50"/>
        <w:ind w:left="403" w:hanging="259"/>
      </w:pPr>
      <w:r>
        <w:t xml:space="preserve">• </w:t>
      </w:r>
      <w:r>
        <w:t>Queue retries with exponential backoff, dead-letter handling, and alerting; no blind manual replay.</w:t>
      </w:r>
    </w:p>
    <w:p>
      <w:pPr>
        <w:pStyle w:val="Heading2"/>
      </w:pPr>
      <w:r>
        <w:t>Secrets and data</w:t>
      </w:r>
    </w:p>
    <w:p>
      <w:pPr>
        <w:spacing w:after="50"/>
        <w:ind w:left="403" w:hanging="259"/>
      </w:pPr>
      <w:r>
        <w:t xml:space="preserve">• </w:t>
      </w:r>
      <w:r>
        <w:t>Keep Razorpay and webhook secrets in managed secret storage; rotate and audit access.</w:t>
      </w:r>
    </w:p>
    <w:p>
      <w:pPr>
        <w:spacing w:after="50"/>
        <w:ind w:left="403" w:hanging="259"/>
      </w:pPr>
      <w:r>
        <w:t xml:space="preserve">• </w:t>
      </w:r>
      <w:r>
        <w:t>Do not store PAN, CVV, full card number, UPI PIN, or online-banking credentials. Store provider IDs and masked descriptors only.</w:t>
      </w:r>
    </w:p>
    <w:p>
      <w:pPr>
        <w:spacing w:after="50"/>
        <w:ind w:left="403" w:hanging="259"/>
      </w:pPr>
      <w:r>
        <w:t xml:space="preserve">• </w:t>
      </w:r>
      <w:r>
        <w:t>Encrypt or tokenize payout identifiers, minimize evidence retention, and restrict support views.</w:t>
      </w:r>
    </w:p>
    <w:p>
      <w:pPr>
        <w:spacing w:after="50"/>
        <w:ind w:left="403" w:hanging="259"/>
      </w:pPr>
      <w:r>
        <w:t xml:space="preserve">• </w:t>
      </w:r>
      <w:r>
        <w:t>Back up configuration and ledger exports; test restoration and reconciliation, not only database recovery.</w:t>
      </w:r>
    </w:p>
    <w:p>
      <w:r>
        <w:br w:type="page"/>
      </w:r>
    </w:p>
    <w:p>
      <w:pPr>
        <w:pStyle w:val="Heading1"/>
      </w:pPr>
      <w:r>
        <w:t>9 Edge case catalogue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08"/>
      </w:tblGrid>
      <w:tr>
        <w:trPr>
          <w:tblHeader w:val="true"/>
          <w:cantSplit/>
        </w:trPr>
        <w:tc>
          <w:tcPr>
            <w:tcW w:type="dxa" w:w="3456"/>
            <w:shd w:fill="17365D"/>
            <w:vAlign w:val="center"/>
            <w:tcMar>
              <w:top w:w="100" w:type="dxa"/>
              <w:start w:w="120" w:type="dxa"/>
              <w:bottom w:w="100" w:type="dxa"/>
              <w:end w:w="120" w:type="dxa"/>
            </w:tcMar>
          </w:tcPr>
          <w:p>
            <w:pPr>
              <w:spacing w:line="240" w:lineRule="auto"/>
              <w:jc w:val="center"/>
            </w:pPr>
            <w:r>
              <w:rPr>
                <w:b/>
                <w:color w:val="FFFFFF"/>
                <w:sz w:val="15"/>
              </w:rPr>
              <w:t>Edge case</w:t>
            </w:r>
          </w:p>
        </w:tc>
        <w:tc>
          <w:tcPr>
            <w:tcW w:type="dxa" w:w="6408"/>
            <w:shd w:fill="17365D"/>
            <w:vAlign w:val="center"/>
            <w:tcMar>
              <w:top w:w="100" w:type="dxa"/>
              <w:start w:w="120" w:type="dxa"/>
              <w:bottom w:w="100" w:type="dxa"/>
              <w:end w:w="120" w:type="dxa"/>
            </w:tcMar>
          </w:tcPr>
          <w:p>
            <w:pPr>
              <w:spacing w:line="240" w:lineRule="auto"/>
              <w:jc w:val="center"/>
            </w:pPr>
            <w:r>
              <w:rPr>
                <w:b/>
                <w:color w:val="FFFFFF"/>
                <w:sz w:val="15"/>
              </w:rPr>
              <w:t>Required behavior</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Two staff adjust the same unit</w:t>
            </w:r>
          </w:p>
        </w:tc>
        <w:tc>
          <w:tcPr>
            <w:tcW w:type="dxa" w:w="6408"/>
            <w:vAlign w:val="center"/>
            <w:tcMar>
              <w:top w:w="100" w:type="dxa"/>
              <w:start w:w="120" w:type="dxa"/>
              <w:bottom w:w="100" w:type="dxa"/>
              <w:end w:w="120" w:type="dxa"/>
            </w:tcMar>
          </w:tcPr>
          <w:p>
            <w:pPr>
              <w:spacing w:after="0" w:line="240" w:lineRule="auto"/>
            </w:pPr>
            <w:r>
              <w:rPr>
                <w:color w:val="000000"/>
                <w:sz w:val="15"/>
              </w:rPr>
              <w:t>Transactional quantity invariant allows only one case; the second receives a conflict and fresh preview.</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Admin double-clicks confirm</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Same request ID returns the existing case and outcome.</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Function times out after Razorpay accepted</w:t>
            </w:r>
          </w:p>
        </w:tc>
        <w:tc>
          <w:tcPr>
            <w:tcW w:type="dxa" w:w="6408"/>
            <w:vAlign w:val="center"/>
            <w:tcMar>
              <w:top w:w="100" w:type="dxa"/>
              <w:start w:w="120" w:type="dxa"/>
              <w:bottom w:w="100" w:type="dxa"/>
              <w:end w:w="120" w:type="dxa"/>
            </w:tcMar>
          </w:tcPr>
          <w:p>
            <w:pPr>
              <w:spacing w:after="0" w:line="240" w:lineRule="auto"/>
            </w:pPr>
            <w:r>
              <w:rPr>
                <w:color w:val="000000"/>
                <w:sz w:val="15"/>
              </w:rPr>
              <w:t>Do not retry with a new receipt. Fetch by stored operation/provider reference and await webhook.</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Refund remains pending</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Show pending, keep liability reserved, reconcile automatically, and expose ARN/RRN/UTR when available.</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Refund fails or reverses</w:t>
            </w:r>
          </w:p>
        </w:tc>
        <w:tc>
          <w:tcPr>
            <w:tcW w:type="dxa" w:w="6408"/>
            <w:vAlign w:val="center"/>
            <w:tcMar>
              <w:top w:w="100" w:type="dxa"/>
              <w:start w:w="120" w:type="dxa"/>
              <w:bottom w:w="100" w:type="dxa"/>
              <w:end w:w="120" w:type="dxa"/>
            </w:tcMar>
          </w:tcPr>
          <w:p>
            <w:pPr>
              <w:spacing w:after="0" w:line="240" w:lineRule="auto"/>
            </w:pPr>
            <w:r>
              <w:rPr>
                <w:color w:val="000000"/>
                <w:sz w:val="15"/>
              </w:rPr>
              <w:t>Move to retryable/final state, alert operations, contact customer, and never label complete prematurely.</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Insufficient Razorpay balance</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Queue and alert finance; optionally offer customer credit only through a new explicit choice.</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Payment older than provider refund window</w:t>
            </w:r>
          </w:p>
        </w:tc>
        <w:tc>
          <w:tcPr>
            <w:tcW w:type="dxa" w:w="6408"/>
            <w:vAlign w:val="center"/>
            <w:tcMar>
              <w:top w:w="100" w:type="dxa"/>
              <w:start w:w="120" w:type="dxa"/>
              <w:bottom w:w="100" w:type="dxa"/>
              <w:end w:w="120" w:type="dxa"/>
            </w:tcMar>
          </w:tcPr>
          <w:p>
            <w:pPr>
              <w:spacing w:after="0" w:line="240" w:lineRule="auto"/>
            </w:pPr>
            <w:r>
              <w:rPr>
                <w:color w:val="000000"/>
                <w:sz w:val="15"/>
              </w:rPr>
              <w:t>Escalate to verified alternate payout; retain evidence and customer communication.</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Card/UPI account closed</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Let provider attempt source refund; follow provider/bank resolution before collecting alternate banking data.</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COD amount adjusted before delivery</w:t>
            </w:r>
          </w:p>
        </w:tc>
        <w:tc>
          <w:tcPr>
            <w:tcW w:type="dxa" w:w="6408"/>
            <w:vAlign w:val="center"/>
            <w:tcMar>
              <w:top w:w="100" w:type="dxa"/>
              <w:start w:w="120" w:type="dxa"/>
              <w:bottom w:w="100" w:type="dxa"/>
              <w:end w:w="120" w:type="dxa"/>
            </w:tcMar>
          </w:tcPr>
          <w:p>
            <w:pPr>
              <w:spacing w:after="0" w:line="240" w:lineRule="auto"/>
            </w:pPr>
            <w:r>
              <w:rPr>
                <w:color w:val="000000"/>
                <w:sz w:val="15"/>
              </w:rPr>
              <w:t>Update collection amount and receipt; rider cannot collect the original higher value.</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COD overpayment after collection</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Use verified payout or opt-in credit; track cash reconciliation and responsible operator.</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Partial delivery and full-order cancellation</w:t>
            </w:r>
          </w:p>
        </w:tc>
        <w:tc>
          <w:tcPr>
            <w:tcW w:type="dxa" w:w="6408"/>
            <w:vAlign w:val="center"/>
            <w:tcMar>
              <w:top w:w="100" w:type="dxa"/>
              <w:start w:w="120" w:type="dxa"/>
              <w:bottom w:w="100" w:type="dxa"/>
              <w:end w:w="120" w:type="dxa"/>
            </w:tcMar>
          </w:tcPr>
          <w:p>
            <w:pPr>
              <w:spacing w:after="0" w:line="240" w:lineRule="auto"/>
            </w:pPr>
            <w:r>
              <w:rPr>
                <w:color w:val="000000"/>
                <w:sz w:val="15"/>
              </w:rPr>
              <w:t>Block contradictory states; cancel only remaining fulfillable units and refund the correct residual.</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Replacement later becomes unavailable</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Create a linked second adjustment; do not edit the first completed case.</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Customer used coupon</w:t>
            </w:r>
          </w:p>
        </w:tc>
        <w:tc>
          <w:tcPr>
            <w:tcW w:type="dxa" w:w="6408"/>
            <w:vAlign w:val="center"/>
            <w:tcMar>
              <w:top w:w="100" w:type="dxa"/>
              <w:start w:w="120" w:type="dxa"/>
              <w:bottom w:w="100" w:type="dxa"/>
              <w:end w:w="120" w:type="dxa"/>
            </w:tcMar>
          </w:tcPr>
          <w:p>
            <w:pPr>
              <w:spacing w:after="0" w:line="240" w:lineRule="auto"/>
            </w:pPr>
            <w:r>
              <w:rPr>
                <w:color w:val="000000"/>
                <w:sz w:val="15"/>
              </w:rPr>
              <w:t>Reverse frozen per-line allocation and do not claw back seller-caused threshold benefits.</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Free promotional item missing</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Apply published promotion remedy; no arbitrary refund amount.</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Delivery fee and small-order fee</w:t>
            </w:r>
          </w:p>
        </w:tc>
        <w:tc>
          <w:tcPr>
            <w:tcW w:type="dxa" w:w="6408"/>
            <w:vAlign w:val="center"/>
            <w:tcMar>
              <w:top w:w="100" w:type="dxa"/>
              <w:start w:w="120" w:type="dxa"/>
              <w:bottom w:w="100" w:type="dxa"/>
              <w:end w:w="120" w:type="dxa"/>
            </w:tcMar>
          </w:tcPr>
          <w:p>
            <w:pPr>
              <w:spacing w:after="0" w:line="240" w:lineRule="auto"/>
            </w:pPr>
            <w:r>
              <w:rPr>
                <w:color w:val="000000"/>
                <w:sz w:val="15"/>
              </w:rPr>
              <w:t>Use policy by cause and delivered portion; refund all seller-caused fees on total failure.</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Split tender</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Restore wallet portion and source portion by a fixed, disclosed ordering rule.</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Wallet reservation then checkout fails</w:t>
            </w:r>
          </w:p>
        </w:tc>
        <w:tc>
          <w:tcPr>
            <w:tcW w:type="dxa" w:w="6408"/>
            <w:vAlign w:val="center"/>
            <w:tcMar>
              <w:top w:w="100" w:type="dxa"/>
              <w:start w:w="120" w:type="dxa"/>
              <w:bottom w:w="100" w:type="dxa"/>
              <w:end w:w="120" w:type="dxa"/>
            </w:tcMar>
          </w:tcPr>
          <w:p>
            <w:pPr>
              <w:spacing w:after="0" w:line="240" w:lineRule="auto"/>
            </w:pPr>
            <w:r>
              <w:rPr>
                <w:color w:val="000000"/>
                <w:sz w:val="15"/>
              </w:rPr>
              <w:t>Release reservation with same operation key; tolerate late payment events safely.</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Wallet balance spent while refund reversal arrives</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Do not permit silent negative balances; route exceptional provider reversal to finance review.</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Account deletion with balance</w:t>
            </w:r>
          </w:p>
        </w:tc>
        <w:tc>
          <w:tcPr>
            <w:tcW w:type="dxa" w:w="6408"/>
            <w:vAlign w:val="center"/>
            <w:tcMar>
              <w:top w:w="100" w:type="dxa"/>
              <w:start w:w="120" w:type="dxa"/>
              <w:bottom w:w="100" w:type="dxa"/>
              <w:end w:w="120" w:type="dxa"/>
            </w:tcMar>
          </w:tcPr>
          <w:p>
            <w:pPr>
              <w:spacing w:after="0" w:line="240" w:lineRule="auto"/>
            </w:pPr>
            <w:r>
              <w:rPr>
                <w:color w:val="000000"/>
                <w:sz w:val="15"/>
              </w:rPr>
              <w:t>Prevent destructive deletion until balance treatment and legal retention are completed.</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Phone number recycled or SIM swapped</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Require step-up verification and cooling period for sensitive payout or account recovery actions.</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Duplicate accounts</w:t>
            </w:r>
          </w:p>
        </w:tc>
        <w:tc>
          <w:tcPr>
            <w:tcW w:type="dxa" w:w="6408"/>
            <w:vAlign w:val="center"/>
            <w:tcMar>
              <w:top w:w="100" w:type="dxa"/>
              <w:start w:w="120" w:type="dxa"/>
              <w:bottom w:w="100" w:type="dxa"/>
              <w:end w:w="120" w:type="dxa"/>
            </w:tcMar>
          </w:tcPr>
          <w:p>
            <w:pPr>
              <w:spacing w:after="0" w:line="240" w:lineRule="auto"/>
            </w:pPr>
            <w:r>
              <w:rPr>
                <w:color w:val="000000"/>
                <w:sz w:val="15"/>
              </w:rPr>
              <w:t>Never merge financial ledgers automatically; use reviewed transfer with compensating entries.</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Evidence upload contains malware or EXIF</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Validate type/size, scan where available, strip metadata, use private storage and signed access.</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Customer disputes after wallet credit spent</w:t>
            </w:r>
          </w:p>
        </w:tc>
        <w:tc>
          <w:tcPr>
            <w:tcW w:type="dxa" w:w="6408"/>
            <w:vAlign w:val="center"/>
            <w:tcMar>
              <w:top w:w="100" w:type="dxa"/>
              <w:start w:w="120" w:type="dxa"/>
              <w:bottom w:w="100" w:type="dxa"/>
              <w:end w:w="120" w:type="dxa"/>
            </w:tcMar>
          </w:tcPr>
          <w:p>
            <w:pPr>
              <w:spacing w:after="0" w:line="240" w:lineRule="auto"/>
            </w:pPr>
            <w:r>
              <w:rPr>
                <w:color w:val="000000"/>
                <w:sz w:val="15"/>
              </w:rPr>
              <w:t>Treat as a case review; preserve consent and ledger proof, and avoid double compensation.</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Chargeback plus refund</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Detect overlap, preserve provider reference and delivery evidence, and reconcile before additional payout.</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Tax rate or catalog price changes later</w:t>
            </w:r>
          </w:p>
        </w:tc>
        <w:tc>
          <w:tcPr>
            <w:tcW w:type="dxa" w:w="6408"/>
            <w:vAlign w:val="center"/>
            <w:tcMar>
              <w:top w:w="100" w:type="dxa"/>
              <w:start w:w="120" w:type="dxa"/>
              <w:bottom w:w="100" w:type="dxa"/>
              <w:end w:w="120" w:type="dxa"/>
            </w:tcMar>
          </w:tcPr>
          <w:p>
            <w:pPr>
              <w:spacing w:after="0" w:line="240" w:lineRule="auto"/>
            </w:pPr>
            <w:r>
              <w:rPr>
                <w:color w:val="000000"/>
                <w:sz w:val="15"/>
              </w:rPr>
              <w:t>Use immutable checkout snapshot and credit-note rules from the original supply.</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Service outage during delivery</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Rider app queues signed adjustment intent locally and server resolves against current version when online.</w:t>
            </w:r>
          </w:p>
        </w:tc>
      </w:tr>
      <w:tr>
        <w:trPr>
          <w:cantSplit/>
        </w:trPr>
        <w:tc>
          <w:tcPr>
            <w:tcW w:type="dxa" w:w="3456"/>
            <w:vAlign w:val="center"/>
            <w:tcMar>
              <w:top w:w="100" w:type="dxa"/>
              <w:start w:w="120" w:type="dxa"/>
              <w:bottom w:w="100" w:type="dxa"/>
              <w:end w:w="120" w:type="dxa"/>
            </w:tcMar>
          </w:tcPr>
          <w:p>
            <w:pPr>
              <w:spacing w:after="0" w:line="240" w:lineRule="auto"/>
            </w:pPr>
            <w:r>
              <w:rPr>
                <w:color w:val="000000"/>
                <w:sz w:val="15"/>
              </w:rPr>
              <w:t>Home Food independent seller</w:t>
            </w:r>
          </w:p>
        </w:tc>
        <w:tc>
          <w:tcPr>
            <w:tcW w:type="dxa" w:w="6408"/>
            <w:vAlign w:val="center"/>
            <w:tcMar>
              <w:top w:w="100" w:type="dxa"/>
              <w:start w:w="120" w:type="dxa"/>
              <w:bottom w:w="100" w:type="dxa"/>
              <w:end w:w="120" w:type="dxa"/>
            </w:tcMar>
          </w:tcPr>
          <w:p>
            <w:pPr>
              <w:spacing w:after="0" w:line="240" w:lineRule="auto"/>
            </w:pPr>
            <w:r>
              <w:rPr>
                <w:color w:val="000000"/>
                <w:sz w:val="15"/>
              </w:rPr>
              <w:t>Do not credit a cross-merchant wallet until merchant-of-record and PPI classification are confirmed.</w:t>
            </w:r>
          </w:p>
        </w:tc>
      </w:tr>
      <w:tr>
        <w:trPr>
          <w:cantSplit/>
        </w:trPr>
        <w:tc>
          <w:tcPr>
            <w:tcW w:type="dxa" w:w="3456"/>
            <w:shd w:fill="F5F7FA"/>
            <w:vAlign w:val="center"/>
            <w:tcMar>
              <w:top w:w="100" w:type="dxa"/>
              <w:start w:w="120" w:type="dxa"/>
              <w:bottom w:w="100" w:type="dxa"/>
              <w:end w:w="120" w:type="dxa"/>
            </w:tcMar>
          </w:tcPr>
          <w:p>
            <w:pPr>
              <w:spacing w:after="0" w:line="240" w:lineRule="auto"/>
            </w:pPr>
            <w:r>
              <w:rPr>
                <w:color w:val="000000"/>
                <w:sz w:val="15"/>
              </w:rPr>
              <w:t>Employee collusion</w:t>
            </w:r>
          </w:p>
        </w:tc>
        <w:tc>
          <w:tcPr>
            <w:tcW w:type="dxa" w:w="6408"/>
            <w:shd w:fill="F5F7FA"/>
            <w:vAlign w:val="center"/>
            <w:tcMar>
              <w:top w:w="100" w:type="dxa"/>
              <w:start w:w="120" w:type="dxa"/>
              <w:bottom w:w="100" w:type="dxa"/>
              <w:end w:w="120" w:type="dxa"/>
            </w:tcMar>
          </w:tcPr>
          <w:p>
            <w:pPr>
              <w:spacing w:after="0" w:line="240" w:lineRule="auto"/>
            </w:pPr>
            <w:r>
              <w:rPr>
                <w:color w:val="000000"/>
                <w:sz w:val="15"/>
              </w:rPr>
              <w:t>Maker-checker, thresholds, anomaly detection, protected audit logs, and periodic access reviews.</w:t>
            </w:r>
          </w:p>
        </w:tc>
      </w:tr>
    </w:tbl>
    <w:p>
      <w:pPr>
        <w:spacing w:after="20"/>
      </w:pPr>
    </w:p>
    <w:p>
      <w:pPr>
        <w:pStyle w:val="Heading1"/>
      </w:pPr>
      <w:r>
        <w:t>10 Legal and compliance measures</w:t>
      </w:r>
    </w:p>
    <w:p>
      <w:pPr>
        <w:pStyle w:val="Heading2"/>
      </w:pPr>
      <w:r>
        <w:t>Consumer protection</w:t>
      </w:r>
    </w:p>
    <w:p>
      <w:pPr>
        <w:spacing w:after="50"/>
        <w:ind w:left="403" w:hanging="259"/>
      </w:pPr>
      <w:r>
        <w:t xml:space="preserve">• </w:t>
      </w:r>
      <w:r>
        <w:t>Publish clear return, replacement, refund, wallet, timing, fee, chargeback, and grievance terms at the relevant point in the app.</w:t>
      </w:r>
    </w:p>
    <w:p>
      <w:pPr>
        <w:spacing w:after="50"/>
        <w:ind w:left="403" w:hanging="259"/>
      </w:pPr>
      <w:r>
        <w:t xml:space="preserve">• </w:t>
      </w:r>
      <w:r>
        <w:t>Record affirmative consent. The E-Commerce Rules prohibit automatic consent mechanisms such as pre-ticked boxes for purchases; the same explicit-choice discipline is prudent for diverting a refund to store credit.²</w:t>
      </w:r>
    </w:p>
    <w:p>
      <w:pPr>
        <w:spacing w:after="50"/>
        <w:ind w:left="403" w:hanging="259"/>
      </w:pPr>
      <w:r>
        <w:t xml:space="preserve">• </w:t>
      </w:r>
      <w:r>
        <w:t>Accepted refund requests must be paid within a reasonable period under the E-Commerce Rules.² Do not use wallet credit to delay or avoid source refunds.</w:t>
      </w:r>
    </w:p>
    <w:p>
      <w:pPr>
        <w:spacing w:after="50"/>
        <w:ind w:left="403" w:hanging="259"/>
      </w:pPr>
      <w:r>
        <w:t xml:space="preserve">• </w:t>
      </w:r>
      <w:r>
        <w:t>Display grievance-officer contact details, issue a trackable ticket, acknowledge complaints within 48 hours, and redress within one month.²</w:t>
      </w:r>
    </w:p>
    <w:p>
      <w:pPr>
        <w:spacing w:after="50"/>
        <w:ind w:left="403" w:hanging="259"/>
      </w:pPr>
      <w:r>
        <w:t xml:space="preserve">• </w:t>
      </w:r>
      <w:r>
        <w:t>The Consumer Protection Act treats refusal to take back defective goods or refund deficient supply within the stated period, or within 30 days absent a stated period, as an unfair trade practice.⁷</w:t>
      </w:r>
    </w:p>
    <w:p>
      <w:pPr>
        <w:pStyle w:val="Heading2"/>
      </w:pPr>
      <w:r>
        <w:t>Payments and RBI</w:t>
      </w:r>
    </w:p>
    <w:p>
      <w:pPr>
        <w:spacing w:after="50"/>
        <w:ind w:left="403" w:hanging="259"/>
      </w:pPr>
      <w:r>
        <w:t xml:space="preserve">• </w:t>
      </w:r>
      <w:r>
        <w:t>Keep store credit closed to the issuing legal entity and prohibit cash withdrawal, transfer, and third-party settlement if relying on the closed-system exclusion.⁴</w:t>
      </w:r>
    </w:p>
    <w:p>
      <w:pPr>
        <w:spacing w:after="50"/>
        <w:ind w:left="403" w:hanging="259"/>
      </w:pPr>
      <w:r>
        <w:t xml:space="preserve">• </w:t>
      </w:r>
      <w:r>
        <w:t>Document whether Kissan Fresh or each Home Food seller is the supplier and merchant of record. Marketplace use can change the legal analysis.</w:t>
      </w:r>
    </w:p>
    <w:p>
      <w:pPr>
        <w:spacing w:after="50"/>
        <w:ind w:left="403" w:hanging="259"/>
      </w:pPr>
      <w:r>
        <w:t xml:space="preserve">• </w:t>
      </w:r>
      <w:r>
        <w:t>If future requirements include multi-merchant acceptance, top-ups, transfer, or cash-out, use an RBI-authorized PPI partner or obtain specialist advice before design.</w:t>
      </w:r>
    </w:p>
    <w:p>
      <w:pPr>
        <w:pStyle w:val="Heading2"/>
      </w:pPr>
      <w:r>
        <w:t>Data protection</w:t>
      </w:r>
    </w:p>
    <w:p>
      <w:r>
        <w:t>The Digital Personal Data Protection Rules 2025 have staged commencement. The rule text specifies that rules 3 and 5-16 commence eighteen months after the 13 November 2025 publication, while rule 4 commences after one year and rules 1, 2 and 17-21 commenced on publication.⁸ Build to the forthcoming standard now rather than waiting for the applicable date.</w:t>
      </w:r>
    </w:p>
    <w:p>
      <w:pPr>
        <w:spacing w:after="50"/>
        <w:ind w:left="403" w:hanging="259"/>
      </w:pPr>
      <w:r>
        <w:t xml:space="preserve">• </w:t>
      </w:r>
      <w:r>
        <w:t>Give a standalone, understandable privacy notice describing wallet/refund data, purpose, retention, processors, rights, and contact point.</w:t>
      </w:r>
    </w:p>
    <w:p>
      <w:pPr>
        <w:spacing w:after="50"/>
        <w:ind w:left="403" w:hanging="259"/>
      </w:pPr>
      <w:r>
        <w:t xml:space="preserve">• </w:t>
      </w:r>
      <w:r>
        <w:t>Use encryption/tokenization, access control, logs and monitoring, backups, processor contract safeguards, and organizational controls. These are expressly included in the Rules’ minimum reasonable safeguards.⁹</w:t>
      </w:r>
    </w:p>
    <w:p>
      <w:pPr>
        <w:spacing w:after="50"/>
        <w:ind w:left="403" w:hanging="259"/>
      </w:pPr>
      <w:r>
        <w:t xml:space="preserve">• </w:t>
      </w:r>
      <w:r>
        <w:t>Prepare breach notification playbooks. The Rules describe prompt affected-user notice and Board notice, with detailed information within 72 hours, when the relevant provisions apply.¹⁰</w:t>
      </w:r>
    </w:p>
    <w:p>
      <w:pPr>
        <w:spacing w:after="50"/>
        <w:ind w:left="403" w:hanging="259"/>
      </w:pPr>
      <w:r>
        <w:t xml:space="preserve">• </w:t>
      </w:r>
      <w:r>
        <w:t>Retain financial and security records according to GST, company, tax, consumer, DPDP, and dispute needs; do not indiscriminately retain evidence forever.</w:t>
      </w:r>
    </w:p>
    <w:p>
      <w:pPr>
        <w:pStyle w:val="Heading2"/>
      </w:pPr>
      <w:r>
        <w:t>GST and records</w:t>
      </w:r>
    </w:p>
    <w:p>
      <w:pPr>
        <w:spacing w:after="50"/>
        <w:ind w:left="403" w:hanging="259"/>
      </w:pPr>
      <w:r>
        <w:t xml:space="preserve">• </w:t>
      </w:r>
      <w:r>
        <w:t>Generate and preserve linked credit notes for returned, deficient, or overcharged supplies where applicable.³</w:t>
      </w:r>
    </w:p>
    <w:p>
      <w:pPr>
        <w:spacing w:after="50"/>
        <w:ind w:left="403" w:hanging="259"/>
      </w:pPr>
      <w:r>
        <w:t xml:space="preserve">• </w:t>
      </w:r>
      <w:r>
        <w:t>Keep true and correct records of invoices, credit notes, refund vouchers, stock movements, and related documents as required for the applicable registration and business model.¹¹</w:t>
      </w:r>
    </w:p>
    <w:p>
      <w:pPr>
        <w:spacing w:after="50"/>
        <w:ind w:left="403" w:hanging="259"/>
      </w:pPr>
      <w:r>
        <w:t xml:space="preserve">• </w:t>
      </w:r>
      <w:r>
        <w:t>Define accounting for unredeemed credit, promotional credit, expiry, breakage, gateway fees, and reversals with the chartered accountant before launch.</w:t>
      </w:r>
    </w:p>
    <w:p>
      <w:pPr>
        <w:pStyle w:val="Heading2"/>
      </w:pPr>
      <w:r>
        <w:t>Mandatory pre-launch review</w:t>
      </w:r>
    </w:p>
    <w:p>
      <w:r>
        <w:t>Obtain written review from an Indian payments lawyer on the closed-system classification and Home Food model, and written sign-off from the chartered accountant on invoice/credit-note, GST, liability, and revenue-recognition treatment. Update Terms, Refund Policy, Privacy Notice, grievance procedure, vendor agreements, and internal SOPs before enabling production money movement.</w:t>
      </w:r>
    </w:p>
    <w:p>
      <w:pPr>
        <w:pStyle w:val="Heading1"/>
      </w:pPr>
      <w:r>
        <w:t>11 Dashboard and app experience</w:t>
      </w:r>
    </w:p>
    <w:p>
      <w:pPr>
        <w:pStyle w:val="Heading2"/>
      </w:pPr>
      <w:r>
        <w:t>Operations dashboard</w:t>
      </w:r>
    </w:p>
    <w:p>
      <w:pPr>
        <w:spacing w:after="50"/>
        <w:ind w:left="403" w:hanging="259"/>
      </w:pPr>
      <w:r>
        <w:t xml:space="preserve">• </w:t>
      </w:r>
      <w:r>
        <w:t>Add an Adjust items action separate from status changes.</w:t>
      </w:r>
    </w:p>
    <w:p>
      <w:pPr>
        <w:spacing w:after="50"/>
        <w:ind w:left="403" w:hanging="259"/>
      </w:pPr>
      <w:r>
        <w:t xml:space="preserve">• </w:t>
      </w:r>
      <w:r>
        <w:t>Display ordered, packed, delivered, rejected, adjusted, and remaining quantities per line.</w:t>
      </w:r>
    </w:p>
    <w:p>
      <w:pPr>
        <w:spacing w:after="50"/>
        <w:ind w:left="403" w:hanging="259"/>
      </w:pPr>
      <w:r>
        <w:t xml:space="preserve">• </w:t>
      </w:r>
      <w:r>
        <w:t>Require reason codes and optional evidence; calculate preview on server and show a transparent breakdown.</w:t>
      </w:r>
    </w:p>
    <w:p>
      <w:pPr>
        <w:spacing w:after="50"/>
        <w:ind w:left="403" w:hanging="259"/>
      </w:pPr>
      <w:r>
        <w:t xml:space="preserve">• </w:t>
      </w:r>
      <w:r>
        <w:t>Show customer destination state, approval history, Razorpay state, provider reference, credit note, and reconciliation status.</w:t>
      </w:r>
    </w:p>
    <w:p>
      <w:pPr>
        <w:spacing w:after="50"/>
        <w:ind w:left="403" w:hanging="259"/>
      </w:pPr>
      <w:r>
        <w:t xml:space="preserve">• </w:t>
      </w:r>
      <w:r>
        <w:t>Disable arbitrary status edits that create contradictions; use permitted transitions and server commands.</w:t>
      </w:r>
    </w:p>
    <w:p>
      <w:pPr>
        <w:spacing w:after="50"/>
        <w:ind w:left="403" w:hanging="259"/>
      </w:pPr>
      <w:r>
        <w:t xml:space="preserve">• </w:t>
      </w:r>
      <w:r>
        <w:t>Provide queues for awaiting customer, approval, pending provider, failed, unreconciled, and SLA breach.</w:t>
      </w:r>
    </w:p>
    <w:p>
      <w:pPr>
        <w:spacing w:after="50"/>
        <w:ind w:left="403" w:hanging="259"/>
      </w:pPr>
      <w:r>
        <w:t xml:space="preserve">• </w:t>
      </w:r>
      <w:r>
        <w:t>Expose manual retry only to finance, with the same operation key and a provider fetch first.</w:t>
      </w:r>
    </w:p>
    <w:p>
      <w:pPr>
        <w:pStyle w:val="Heading2"/>
      </w:pPr>
      <w:r>
        <w:t>Consumer app</w:t>
      </w:r>
    </w:p>
    <w:p>
      <w:pPr>
        <w:spacing w:after="50"/>
        <w:ind w:left="403" w:hanging="259"/>
      </w:pPr>
      <w:r>
        <w:t xml:space="preserve">• </w:t>
      </w:r>
      <w:r>
        <w:t>Order details show adjusted quantities, reason, exact amount, destination, case ID, timeline, and support link.</w:t>
      </w:r>
    </w:p>
    <w:p>
      <w:pPr>
        <w:spacing w:after="50"/>
        <w:ind w:left="403" w:hanging="259"/>
      </w:pPr>
      <w:r>
        <w:t xml:space="preserve">• </w:t>
      </w:r>
      <w:r>
        <w:t>Refund choice explains ‘original payment method’ and ‘Kissan Fresh Credit’ in equal visual weight; no preselected wallet and no misleading instant-cash language.</w:t>
      </w:r>
    </w:p>
    <w:p>
      <w:pPr>
        <w:spacing w:after="50"/>
        <w:ind w:left="403" w:hanging="259"/>
      </w:pPr>
      <w:r>
        <w:t xml:space="preserve">• </w:t>
      </w:r>
      <w:r>
        <w:t>Wallet screen shows available and reserved balance, chronological statement, expiry if any, and terms.</w:t>
      </w:r>
    </w:p>
    <w:p>
      <w:pPr>
        <w:spacing w:after="50"/>
        <w:ind w:left="403" w:hanging="259"/>
      </w:pPr>
      <w:r>
        <w:t xml:space="preserve">• </w:t>
      </w:r>
      <w:r>
        <w:t>Checkout shows wallet applied, remaining online/COD amount, and the split-refund rule before confirmation.</w:t>
      </w:r>
    </w:p>
    <w:p>
      <w:pPr>
        <w:spacing w:after="50"/>
        <w:ind w:left="403" w:hanging="259"/>
      </w:pPr>
      <w:r>
        <w:t xml:space="preserve">• </w:t>
      </w:r>
      <w:r>
        <w:t>Push notifications cover action required, approval, refund initiated, provider processed, provider failed, wallet credited, and wallet debited.</w:t>
      </w:r>
    </w:p>
    <w:p>
      <w:pPr>
        <w:pStyle w:val="Heading2"/>
      </w:pPr>
      <w:r>
        <w:t>Suggested customer copy</w:t>
      </w:r>
    </w:p>
    <w:p>
      <w:r>
        <w:t>Original payment method: ‘Rs X will be sent back to the payment method used for this order. Razorpay usually processes normal refunds within 5-7 working days; your bank may determine when it appears.’</w:t>
      </w:r>
    </w:p>
    <w:p>
      <w:r>
        <w:t>Kissan Fresh Credit: ‘Get Rs X in Kissan Fresh Credit immediately after confirmation. It can be used for eligible purchases from Kissan Fresh, cannot be transferred or withdrawn as cash, and is governed by the Credit Terms.’</w:t>
      </w:r>
    </w:p>
    <w:p>
      <w:r>
        <w:t>Default timeout: ‘If you do not choose by [time], we will refund the original payment method.’</w:t>
      </w:r>
    </w:p>
    <w:p>
      <w:pPr>
        <w:pStyle w:val="Heading2"/>
      </w:pPr>
      <w:r>
        <w:t>Accessibility and clarity</w:t>
      </w:r>
    </w:p>
    <w:p>
      <w:r>
        <w:t>Do not rely on color alone for state. Use plain status labels, readable timing, localized currency, accessible buttons, and screen-reader descriptions. Avoid dark patterns such as making the wallet button visually dominant, hiding the source-refund option, or adding extra steps to obtain money back.</w:t>
      </w:r>
    </w:p>
    <w:p>
      <w:r>
        <w:br w:type="page"/>
      </w:r>
    </w:p>
    <w:p>
      <w:pPr>
        <w:pStyle w:val="Heading1"/>
      </w:pPr>
      <w:r>
        <w:t>12 Testing and operational readiness</w:t>
      </w:r>
    </w:p>
    <w:p>
      <w:pPr>
        <w:pStyle w:val="Heading2"/>
      </w:pPr>
      <w:r>
        <w:t>Automated tests</w:t>
      </w:r>
    </w:p>
    <w:p>
      <w:pPr>
        <w:spacing w:after="50"/>
        <w:ind w:left="403" w:hanging="259"/>
      </w:pPr>
      <w:r>
        <w:t xml:space="preserve">• </w:t>
      </w:r>
      <w:r>
        <w:t>Unit tests for every discount, tax, fee, rounding, quantity, and split-tender calculation.</w:t>
      </w:r>
    </w:p>
    <w:p>
      <w:pPr>
        <w:spacing w:after="50"/>
        <w:ind w:left="403" w:hanging="259"/>
      </w:pPr>
      <w:r>
        <w:t xml:space="preserve">• </w:t>
      </w:r>
      <w:r>
        <w:t>Property-based tests for invariants: no over-refund, no negative balance, allocations sum exactly, and repeated commands are idempotent.</w:t>
      </w:r>
    </w:p>
    <w:p>
      <w:pPr>
        <w:spacing w:after="50"/>
        <w:ind w:left="403" w:hanging="259"/>
      </w:pPr>
      <w:r>
        <w:t xml:space="preserve">• </w:t>
      </w:r>
      <w:r>
        <w:t>Firestore emulator tests proving customers and normal staff cannot write protected financial fields or collections.</w:t>
      </w:r>
    </w:p>
    <w:p>
      <w:pPr>
        <w:spacing w:after="50"/>
        <w:ind w:left="403" w:hanging="259"/>
      </w:pPr>
      <w:r>
        <w:t xml:space="preserve">• </w:t>
      </w:r>
      <w:r>
        <w:t>Integration tests for Razorpay captured/pending/processed/failed/reversed refunds and out-of-order or duplicate webhooks.</w:t>
      </w:r>
    </w:p>
    <w:p>
      <w:pPr>
        <w:spacing w:after="50"/>
        <w:ind w:left="403" w:hanging="259"/>
      </w:pPr>
      <w:r>
        <w:t xml:space="preserve">• </w:t>
      </w:r>
      <w:r>
        <w:t>Concurrency tests for two adjustments, wallet spend versus refund, retry after timeout, and concurrent account deletion.</w:t>
      </w:r>
    </w:p>
    <w:p>
      <w:pPr>
        <w:spacing w:after="50"/>
        <w:ind w:left="403" w:hanging="259"/>
      </w:pPr>
      <w:r>
        <w:t xml:space="preserve">• </w:t>
      </w:r>
      <w:r>
        <w:t>End-to-end tests for online, COD, mixed tender, partial delivery, customer timeout, approval, reconciliation, and notification failure.</w:t>
      </w:r>
    </w:p>
    <w:p>
      <w:pPr>
        <w:pStyle w:val="Heading2"/>
      </w:pPr>
      <w:r>
        <w:t>Operational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128"/>
      </w:tblGrid>
      <w:tr>
        <w:trPr>
          <w:tblHeader w:val="true"/>
          <w:cantSplit/>
        </w:trPr>
        <w:tc>
          <w:tcPr>
            <w:tcW w:type="dxa" w:w="2664"/>
            <w:shd w:fill="17365D"/>
            <w:vAlign w:val="center"/>
            <w:tcMar>
              <w:top w:w="100" w:type="dxa"/>
              <w:start w:w="120" w:type="dxa"/>
              <w:bottom w:w="100" w:type="dxa"/>
              <w:end w:w="120" w:type="dxa"/>
            </w:tcMar>
          </w:tcPr>
          <w:p>
            <w:pPr>
              <w:spacing w:line="240" w:lineRule="auto"/>
              <w:jc w:val="center"/>
            </w:pPr>
            <w:r>
              <w:rPr>
                <w:b/>
                <w:color w:val="FFFFFF"/>
                <w:sz w:val="16"/>
              </w:rPr>
              <w:t>Control</w:t>
            </w:r>
          </w:p>
        </w:tc>
        <w:tc>
          <w:tcPr>
            <w:tcW w:type="dxa" w:w="7128"/>
            <w:shd w:fill="17365D"/>
            <w:vAlign w:val="center"/>
            <w:tcMar>
              <w:top w:w="100" w:type="dxa"/>
              <w:start w:w="120" w:type="dxa"/>
              <w:bottom w:w="100" w:type="dxa"/>
              <w:end w:w="120" w:type="dxa"/>
            </w:tcMar>
          </w:tcPr>
          <w:p>
            <w:pPr>
              <w:spacing w:line="240" w:lineRule="auto"/>
              <w:jc w:val="center"/>
            </w:pPr>
            <w:r>
              <w:rPr>
                <w:b/>
                <w:color w:val="FFFFFF"/>
                <w:sz w:val="16"/>
              </w:rPr>
              <w:t>Metric or evidence</w:t>
            </w:r>
          </w:p>
        </w:tc>
      </w:tr>
      <w:tr>
        <w:trPr>
          <w:cantSplit/>
        </w:trPr>
        <w:tc>
          <w:tcPr>
            <w:tcW w:type="dxa" w:w="2664"/>
            <w:vAlign w:val="center"/>
            <w:tcMar>
              <w:top w:w="100" w:type="dxa"/>
              <w:start w:w="120" w:type="dxa"/>
              <w:bottom w:w="100" w:type="dxa"/>
              <w:end w:w="120" w:type="dxa"/>
            </w:tcMar>
          </w:tcPr>
          <w:p>
            <w:pPr>
              <w:spacing w:after="0" w:line="240" w:lineRule="auto"/>
            </w:pPr>
            <w:r>
              <w:rPr>
                <w:color w:val="000000"/>
                <w:sz w:val="16"/>
              </w:rPr>
              <w:t>Refund reliability</w:t>
            </w:r>
          </w:p>
        </w:tc>
        <w:tc>
          <w:tcPr>
            <w:tcW w:type="dxa" w:w="7128"/>
            <w:vAlign w:val="center"/>
            <w:tcMar>
              <w:top w:w="100" w:type="dxa"/>
              <w:start w:w="120" w:type="dxa"/>
              <w:bottom w:w="100" w:type="dxa"/>
              <w:end w:w="120" w:type="dxa"/>
            </w:tcMar>
          </w:tcPr>
          <w:p>
            <w:pPr>
              <w:spacing w:after="0" w:line="240" w:lineRule="auto"/>
            </w:pPr>
            <w:r>
              <w:rPr>
                <w:color w:val="000000"/>
                <w:sz w:val="16"/>
              </w:rPr>
              <w:t>Initiation success, final success, pending age, failure reason, retry count, duplicate prevented.</w:t>
            </w:r>
          </w:p>
        </w:tc>
      </w:tr>
      <w:tr>
        <w:trPr>
          <w:cantSplit/>
        </w:trPr>
        <w:tc>
          <w:tcPr>
            <w:tcW w:type="dxa" w:w="2664"/>
            <w:shd w:fill="F5F7FA"/>
            <w:vAlign w:val="center"/>
            <w:tcMar>
              <w:top w:w="100" w:type="dxa"/>
              <w:start w:w="120" w:type="dxa"/>
              <w:bottom w:w="100" w:type="dxa"/>
              <w:end w:w="120" w:type="dxa"/>
            </w:tcMar>
          </w:tcPr>
          <w:p>
            <w:pPr>
              <w:spacing w:after="0" w:line="240" w:lineRule="auto"/>
            </w:pPr>
            <w:r>
              <w:rPr>
                <w:color w:val="000000"/>
                <w:sz w:val="16"/>
              </w:rPr>
              <w:t>Customer experience</w:t>
            </w:r>
          </w:p>
        </w:tc>
        <w:tc>
          <w:tcPr>
            <w:tcW w:type="dxa" w:w="7128"/>
            <w:shd w:fill="F5F7FA"/>
            <w:vAlign w:val="center"/>
            <w:tcMar>
              <w:top w:w="100" w:type="dxa"/>
              <w:start w:w="120" w:type="dxa"/>
              <w:bottom w:w="100" w:type="dxa"/>
              <w:end w:w="120" w:type="dxa"/>
            </w:tcMar>
          </w:tcPr>
          <w:p>
            <w:pPr>
              <w:spacing w:after="0" w:line="240" w:lineRule="auto"/>
            </w:pPr>
            <w:r>
              <w:rPr>
                <w:color w:val="000000"/>
                <w:sz w:val="16"/>
              </w:rPr>
              <w:t>Time to acknowledgement, approval, initiation, finalization, contact rate, complaint and chargeback rate.</w:t>
            </w:r>
          </w:p>
        </w:tc>
      </w:tr>
      <w:tr>
        <w:trPr>
          <w:cantSplit/>
        </w:trPr>
        <w:tc>
          <w:tcPr>
            <w:tcW w:type="dxa" w:w="2664"/>
            <w:vAlign w:val="center"/>
            <w:tcMar>
              <w:top w:w="100" w:type="dxa"/>
              <w:start w:w="120" w:type="dxa"/>
              <w:bottom w:w="100" w:type="dxa"/>
              <w:end w:w="120" w:type="dxa"/>
            </w:tcMar>
          </w:tcPr>
          <w:p>
            <w:pPr>
              <w:spacing w:after="0" w:line="240" w:lineRule="auto"/>
            </w:pPr>
            <w:r>
              <w:rPr>
                <w:color w:val="000000"/>
                <w:sz w:val="16"/>
              </w:rPr>
              <w:t>Ledger health</w:t>
            </w:r>
          </w:p>
        </w:tc>
        <w:tc>
          <w:tcPr>
            <w:tcW w:type="dxa" w:w="7128"/>
            <w:vAlign w:val="center"/>
            <w:tcMar>
              <w:top w:w="100" w:type="dxa"/>
              <w:start w:w="120" w:type="dxa"/>
              <w:bottom w:w="100" w:type="dxa"/>
              <w:end w:w="120" w:type="dxa"/>
            </w:tcMar>
          </w:tcPr>
          <w:p>
            <w:pPr>
              <w:spacing w:after="0" w:line="240" w:lineRule="auto"/>
            </w:pPr>
            <w:r>
              <w:rPr>
                <w:color w:val="000000"/>
                <w:sz w:val="16"/>
              </w:rPr>
              <w:t>Projection mismatch count, negative-balance attempts, orphan entries, unreconciled provider records.</w:t>
            </w:r>
          </w:p>
        </w:tc>
      </w:tr>
      <w:tr>
        <w:trPr>
          <w:cantSplit/>
        </w:trPr>
        <w:tc>
          <w:tcPr>
            <w:tcW w:type="dxa" w:w="2664"/>
            <w:shd w:fill="F5F7FA"/>
            <w:vAlign w:val="center"/>
            <w:tcMar>
              <w:top w:w="100" w:type="dxa"/>
              <w:start w:w="120" w:type="dxa"/>
              <w:bottom w:w="100" w:type="dxa"/>
              <w:end w:w="120" w:type="dxa"/>
            </w:tcMar>
          </w:tcPr>
          <w:p>
            <w:pPr>
              <w:spacing w:after="0" w:line="240" w:lineRule="auto"/>
            </w:pPr>
            <w:r>
              <w:rPr>
                <w:color w:val="000000"/>
                <w:sz w:val="16"/>
              </w:rPr>
              <w:t>Fraud</w:t>
            </w:r>
          </w:p>
        </w:tc>
        <w:tc>
          <w:tcPr>
            <w:tcW w:type="dxa" w:w="7128"/>
            <w:shd w:fill="F5F7FA"/>
            <w:vAlign w:val="center"/>
            <w:tcMar>
              <w:top w:w="100" w:type="dxa"/>
              <w:start w:w="120" w:type="dxa"/>
              <w:bottom w:w="100" w:type="dxa"/>
              <w:end w:w="120" w:type="dxa"/>
            </w:tcMar>
          </w:tcPr>
          <w:p>
            <w:pPr>
              <w:spacing w:after="0" w:line="240" w:lineRule="auto"/>
            </w:pPr>
            <w:r>
              <w:rPr>
                <w:color w:val="000000"/>
                <w:sz w:val="16"/>
              </w:rPr>
              <w:t>Claims per user/device/address, operator outliers, high-value and repeated goodwill credits.</w:t>
            </w:r>
          </w:p>
        </w:tc>
      </w:tr>
      <w:tr>
        <w:trPr>
          <w:cantSplit/>
        </w:trPr>
        <w:tc>
          <w:tcPr>
            <w:tcW w:type="dxa" w:w="2664"/>
            <w:vAlign w:val="center"/>
            <w:tcMar>
              <w:top w:w="100" w:type="dxa"/>
              <w:start w:w="120" w:type="dxa"/>
              <w:bottom w:w="100" w:type="dxa"/>
              <w:end w:w="120" w:type="dxa"/>
            </w:tcMar>
          </w:tcPr>
          <w:p>
            <w:pPr>
              <w:spacing w:after="0" w:line="240" w:lineRule="auto"/>
            </w:pPr>
            <w:r>
              <w:rPr>
                <w:color w:val="000000"/>
                <w:sz w:val="16"/>
              </w:rPr>
              <w:t>Accounting</w:t>
            </w:r>
          </w:p>
        </w:tc>
        <w:tc>
          <w:tcPr>
            <w:tcW w:type="dxa" w:w="7128"/>
            <w:vAlign w:val="center"/>
            <w:tcMar>
              <w:top w:w="100" w:type="dxa"/>
              <w:start w:w="120" w:type="dxa"/>
              <w:bottom w:w="100" w:type="dxa"/>
              <w:end w:w="120" w:type="dxa"/>
            </w:tcMar>
          </w:tcPr>
          <w:p>
            <w:pPr>
              <w:spacing w:after="0" w:line="240" w:lineRule="auto"/>
            </w:pPr>
            <w:r>
              <w:rPr>
                <w:color w:val="000000"/>
                <w:sz w:val="16"/>
              </w:rPr>
              <w:t>Wallet liability, credits issued/redeemed/expired, gateway refund total, GST credit-note reconciliation.</w:t>
            </w:r>
          </w:p>
        </w:tc>
      </w:tr>
      <w:tr>
        <w:trPr>
          <w:cantSplit/>
        </w:trPr>
        <w:tc>
          <w:tcPr>
            <w:tcW w:type="dxa" w:w="2664"/>
            <w:shd w:fill="F5F7FA"/>
            <w:vAlign w:val="center"/>
            <w:tcMar>
              <w:top w:w="100" w:type="dxa"/>
              <w:start w:w="120" w:type="dxa"/>
              <w:bottom w:w="100" w:type="dxa"/>
              <w:end w:w="120" w:type="dxa"/>
            </w:tcMar>
          </w:tcPr>
          <w:p>
            <w:pPr>
              <w:spacing w:after="0" w:line="240" w:lineRule="auto"/>
            </w:pPr>
            <w:r>
              <w:rPr>
                <w:color w:val="000000"/>
                <w:sz w:val="16"/>
              </w:rPr>
              <w:t>Security</w:t>
            </w:r>
          </w:p>
        </w:tc>
        <w:tc>
          <w:tcPr>
            <w:tcW w:type="dxa" w:w="7128"/>
            <w:shd w:fill="F5F7FA"/>
            <w:vAlign w:val="center"/>
            <w:tcMar>
              <w:top w:w="100" w:type="dxa"/>
              <w:start w:w="120" w:type="dxa"/>
              <w:bottom w:w="100" w:type="dxa"/>
              <w:end w:w="120" w:type="dxa"/>
            </w:tcMar>
          </w:tcPr>
          <w:p>
            <w:pPr>
              <w:spacing w:after="0" w:line="240" w:lineRule="auto"/>
            </w:pPr>
            <w:r>
              <w:rPr>
                <w:color w:val="000000"/>
                <w:sz w:val="16"/>
              </w:rPr>
              <w:t>Privileged actions, failed authorization, secret access, webhook signature failures, App Check rejection.</w:t>
            </w:r>
          </w:p>
        </w:tc>
      </w:tr>
    </w:tbl>
    <w:p>
      <w:pPr>
        <w:spacing w:after="20"/>
      </w:pPr>
    </w:p>
    <w:p>
      <w:pPr>
        <w:pStyle w:val="Heading2"/>
      </w:pPr>
      <w:r>
        <w:t>Incident playbooks</w:t>
      </w:r>
    </w:p>
    <w:p>
      <w:pPr>
        <w:spacing w:after="50"/>
        <w:ind w:left="403" w:hanging="259"/>
      </w:pPr>
      <w:r>
        <w:t xml:space="preserve">• </w:t>
      </w:r>
      <w:r>
        <w:t>Provider outage: stop new duplicate attempts, queue cases, communicate pending state, and reconcile after recovery.</w:t>
      </w:r>
    </w:p>
    <w:p>
      <w:pPr>
        <w:spacing w:after="50"/>
        <w:ind w:left="403" w:hanging="259"/>
      </w:pPr>
      <w:r>
        <w:t xml:space="preserve">• </w:t>
      </w:r>
      <w:r>
        <w:t>Ledger mismatch: freeze wallet debits for affected accounts, preserve logs, rebuild projection, and use compensating entries.</w:t>
      </w:r>
    </w:p>
    <w:p>
      <w:pPr>
        <w:spacing w:after="50"/>
        <w:ind w:left="403" w:hanging="259"/>
      </w:pPr>
      <w:r>
        <w:t xml:space="preserve">• </w:t>
      </w:r>
      <w:r>
        <w:t>Credential compromise: rotate keys, disable execution, verify recent refunds/webhooks, and activate breach assessment.</w:t>
      </w:r>
    </w:p>
    <w:p>
      <w:pPr>
        <w:spacing w:after="50"/>
        <w:ind w:left="403" w:hanging="259"/>
      </w:pPr>
      <w:r>
        <w:t xml:space="preserve">• </w:t>
      </w:r>
      <w:r>
        <w:t>Bad deployment: feature-flag new adjustment creation while continuing webhook consumption and reconciliation.</w:t>
      </w:r>
    </w:p>
    <w:p>
      <w:pPr>
        <w:spacing w:after="50"/>
        <w:ind w:left="403" w:hanging="259"/>
      </w:pPr>
      <w:r>
        <w:t xml:space="preserve">• </w:t>
      </w:r>
      <w:r>
        <w:t>Mass catalog shortage: use a batch case builder with per-order idempotency; never upload unvalidated arbitrary amounts.</w:t>
      </w:r>
    </w:p>
    <w:p>
      <w:pPr>
        <w:pStyle w:val="Heading2"/>
      </w:pPr>
      <w:r>
        <w:t>Launch acceptance criteria</w:t>
      </w:r>
    </w:p>
    <w:p>
      <w:pPr>
        <w:spacing w:after="50"/>
        <w:ind w:left="403" w:hanging="259"/>
      </w:pPr>
      <w:r>
        <w:t xml:space="preserve">• </w:t>
      </w:r>
      <w:r>
        <w:t>Zero client-authoritative prices, payment status, refund amounts, or wallet balances.</w:t>
      </w:r>
    </w:p>
    <w:p>
      <w:pPr>
        <w:spacing w:after="50"/>
        <w:ind w:left="403" w:hanging="259"/>
      </w:pPr>
      <w:r>
        <w:t xml:space="preserve">• </w:t>
      </w:r>
      <w:r>
        <w:t>All money movements idempotent under at-least-once delivery and network timeouts.</w:t>
      </w:r>
    </w:p>
    <w:p>
      <w:pPr>
        <w:spacing w:after="50"/>
        <w:ind w:left="403" w:hanging="259"/>
      </w:pPr>
      <w:r>
        <w:t xml:space="preserve">• </w:t>
      </w:r>
      <w:r>
        <w:t>100 percent of Razorpay refunds reconciled or in an owned exception queue.</w:t>
      </w:r>
    </w:p>
    <w:p>
      <w:pPr>
        <w:spacing w:after="50"/>
        <w:ind w:left="403" w:hanging="259"/>
      </w:pPr>
      <w:r>
        <w:t xml:space="preserve">• </w:t>
      </w:r>
      <w:r>
        <w:t>Access review and maker-checker tested with real roles.</w:t>
      </w:r>
    </w:p>
    <w:p>
      <w:pPr>
        <w:spacing w:after="50"/>
        <w:ind w:left="403" w:hanging="259"/>
      </w:pPr>
      <w:r>
        <w:t xml:space="preserve">• </w:t>
      </w:r>
      <w:r>
        <w:t>Terms, refund policy, privacy notice, grievance contact, legal review, and CA sign-off completed.</w:t>
      </w:r>
    </w:p>
    <w:p>
      <w:pPr>
        <w:spacing w:after="50"/>
        <w:ind w:left="403" w:hanging="259"/>
      </w:pPr>
      <w:r>
        <w:t xml:space="preserve">• </w:t>
      </w:r>
      <w:r>
        <w:t>Support and delivery staff trained with sandbox cases and escalation paths.</w:t>
      </w:r>
    </w:p>
    <w:p>
      <w:r>
        <w:br w:type="page"/>
      </w:r>
    </w:p>
    <w:p>
      <w:pPr>
        <w:pStyle w:val="Heading1"/>
      </w:pPr>
      <w:r>
        <w:t>13 Phased implementation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6336"/>
        <w:gridCol w:w="1872"/>
      </w:tblGrid>
      <w:tr>
        <w:trPr>
          <w:tblHeader w:val="true"/>
          <w:cantSplit/>
        </w:trPr>
        <w:tc>
          <w:tcPr>
            <w:tcW w:type="dxa" w:w="1584"/>
            <w:shd w:fill="17365D"/>
            <w:vAlign w:val="center"/>
            <w:tcMar>
              <w:top w:w="100" w:type="dxa"/>
              <w:start w:w="120" w:type="dxa"/>
              <w:bottom w:w="100" w:type="dxa"/>
              <w:end w:w="120" w:type="dxa"/>
            </w:tcMar>
          </w:tcPr>
          <w:p>
            <w:pPr>
              <w:spacing w:line="240" w:lineRule="auto"/>
              <w:jc w:val="center"/>
            </w:pPr>
            <w:r>
              <w:rPr>
                <w:b/>
                <w:color w:val="FFFFFF"/>
                <w:sz w:val="15"/>
              </w:rPr>
              <w:t>Phase</w:t>
            </w:r>
          </w:p>
        </w:tc>
        <w:tc>
          <w:tcPr>
            <w:tcW w:type="dxa" w:w="6336"/>
            <w:shd w:fill="17365D"/>
            <w:vAlign w:val="center"/>
            <w:tcMar>
              <w:top w:w="100" w:type="dxa"/>
              <w:start w:w="120" w:type="dxa"/>
              <w:bottom w:w="100" w:type="dxa"/>
              <w:end w:w="120" w:type="dxa"/>
            </w:tcMar>
          </w:tcPr>
          <w:p>
            <w:pPr>
              <w:spacing w:line="240" w:lineRule="auto"/>
              <w:jc w:val="center"/>
            </w:pPr>
            <w:r>
              <w:rPr>
                <w:b/>
                <w:color w:val="FFFFFF"/>
                <w:sz w:val="15"/>
              </w:rPr>
              <w:t>Engineering and product scope</w:t>
            </w:r>
          </w:p>
        </w:tc>
        <w:tc>
          <w:tcPr>
            <w:tcW w:type="dxa" w:w="1872"/>
            <w:shd w:fill="17365D"/>
            <w:vAlign w:val="center"/>
            <w:tcMar>
              <w:top w:w="100" w:type="dxa"/>
              <w:start w:w="120" w:type="dxa"/>
              <w:bottom w:w="100" w:type="dxa"/>
              <w:end w:w="120" w:type="dxa"/>
            </w:tcMar>
          </w:tcPr>
          <w:p>
            <w:pPr>
              <w:spacing w:line="240" w:lineRule="auto"/>
              <w:jc w:val="center"/>
            </w:pPr>
            <w:r>
              <w:rPr>
                <w:b/>
                <w:color w:val="FFFFFF"/>
                <w:sz w:val="15"/>
              </w:rPr>
              <w:t>Exit criterion</w:t>
            </w:r>
          </w:p>
        </w:tc>
      </w:tr>
      <w:tr>
        <w:trPr>
          <w:cantSplit/>
        </w:trPr>
        <w:tc>
          <w:tcPr>
            <w:tcW w:type="dxa" w:w="1584"/>
            <w:vAlign w:val="center"/>
            <w:tcMar>
              <w:top w:w="100" w:type="dxa"/>
              <w:start w:w="120" w:type="dxa"/>
              <w:bottom w:w="100" w:type="dxa"/>
              <w:end w:w="120" w:type="dxa"/>
            </w:tcMar>
          </w:tcPr>
          <w:p>
            <w:pPr>
              <w:spacing w:after="0" w:line="240" w:lineRule="auto"/>
            </w:pPr>
            <w:r>
              <w:rPr>
                <w:color w:val="000000"/>
                <w:sz w:val="15"/>
              </w:rPr>
              <w:t>0 Foundation</w:t>
            </w:r>
          </w:p>
        </w:tc>
        <w:tc>
          <w:tcPr>
            <w:tcW w:type="dxa" w:w="6336"/>
            <w:vAlign w:val="center"/>
            <w:tcMar>
              <w:top w:w="100" w:type="dxa"/>
              <w:start w:w="120" w:type="dxa"/>
              <w:bottom w:w="100" w:type="dxa"/>
              <w:end w:w="120" w:type="dxa"/>
            </w:tcMar>
          </w:tcPr>
          <w:p>
            <w:pPr>
              <w:spacing w:after="0" w:line="240" w:lineRule="auto"/>
            </w:pPr>
            <w:r>
              <w:rPr>
                <w:color w:val="000000"/>
                <w:sz w:val="15"/>
              </w:rPr>
              <w:t>Server-created Razorpay order; signature verification; verified webhooks; authoritative pricing; integer paise; idempotent checkout; protected server commands.</w:t>
            </w:r>
          </w:p>
        </w:tc>
        <w:tc>
          <w:tcPr>
            <w:tcW w:type="dxa" w:w="1872"/>
            <w:vAlign w:val="center"/>
            <w:tcMar>
              <w:top w:w="100" w:type="dxa"/>
              <w:start w:w="120" w:type="dxa"/>
              <w:bottom w:w="100" w:type="dxa"/>
              <w:end w:w="120" w:type="dxa"/>
            </w:tcMar>
          </w:tcPr>
          <w:p>
            <w:pPr>
              <w:spacing w:after="0" w:line="240" w:lineRule="auto"/>
            </w:pPr>
            <w:r>
              <w:rPr>
                <w:color w:val="000000"/>
                <w:sz w:val="15"/>
              </w:rPr>
              <w:t>A forged client total/payment cannot create an order or financial value.</w:t>
            </w:r>
          </w:p>
        </w:tc>
      </w:tr>
      <w:tr>
        <w:trPr>
          <w:cantSplit/>
        </w:trPr>
        <w:tc>
          <w:tcPr>
            <w:tcW w:type="dxa" w:w="1584"/>
            <w:shd w:fill="F5F7FA"/>
            <w:vAlign w:val="center"/>
            <w:tcMar>
              <w:top w:w="100" w:type="dxa"/>
              <w:start w:w="120" w:type="dxa"/>
              <w:bottom w:w="100" w:type="dxa"/>
              <w:end w:w="120" w:type="dxa"/>
            </w:tcMar>
          </w:tcPr>
          <w:p>
            <w:pPr>
              <w:spacing w:after="0" w:line="240" w:lineRule="auto"/>
            </w:pPr>
            <w:r>
              <w:rPr>
                <w:color w:val="000000"/>
                <w:sz w:val="15"/>
              </w:rPr>
              <w:t>1 Partial source refunds</w:t>
            </w:r>
          </w:p>
        </w:tc>
        <w:tc>
          <w:tcPr>
            <w:tcW w:type="dxa" w:w="6336"/>
            <w:shd w:fill="F5F7FA"/>
            <w:vAlign w:val="center"/>
            <w:tcMar>
              <w:top w:w="100" w:type="dxa"/>
              <w:start w:w="120" w:type="dxa"/>
              <w:bottom w:w="100" w:type="dxa"/>
              <w:end w:w="120" w:type="dxa"/>
            </w:tcMar>
          </w:tcPr>
          <w:p>
            <w:pPr>
              <w:spacing w:after="0" w:line="240" w:lineRule="auto"/>
            </w:pPr>
            <w:r>
              <w:rPr>
                <w:color w:val="000000"/>
                <w:sz w:val="15"/>
              </w:rPr>
              <w:t>Price allocations, adjustment cases, dashboard workflow, queue worker, Razorpay partial refund, refund timeline, reconciliation, credit notes, audit controls.</w:t>
            </w:r>
          </w:p>
        </w:tc>
        <w:tc>
          <w:tcPr>
            <w:tcW w:type="dxa" w:w="1872"/>
            <w:shd w:fill="F5F7FA"/>
            <w:vAlign w:val="center"/>
            <w:tcMar>
              <w:top w:w="100" w:type="dxa"/>
              <w:start w:w="120" w:type="dxa"/>
              <w:bottom w:w="100" w:type="dxa"/>
              <w:end w:w="120" w:type="dxa"/>
            </w:tcMar>
          </w:tcPr>
          <w:p>
            <w:pPr>
              <w:spacing w:after="0" w:line="240" w:lineRule="auto"/>
            </w:pPr>
            <w:r>
              <w:rPr>
                <w:color w:val="000000"/>
                <w:sz w:val="15"/>
              </w:rPr>
              <w:t>Online shortage/damage cases refund exactly once and reconcile end to end.</w:t>
            </w:r>
          </w:p>
        </w:tc>
      </w:tr>
      <w:tr>
        <w:trPr>
          <w:cantSplit/>
        </w:trPr>
        <w:tc>
          <w:tcPr>
            <w:tcW w:type="dxa" w:w="1584"/>
            <w:vAlign w:val="center"/>
            <w:tcMar>
              <w:top w:w="100" w:type="dxa"/>
              <w:start w:w="120" w:type="dxa"/>
              <w:bottom w:w="100" w:type="dxa"/>
              <w:end w:w="120" w:type="dxa"/>
            </w:tcMar>
          </w:tcPr>
          <w:p>
            <w:pPr>
              <w:spacing w:after="0" w:line="240" w:lineRule="auto"/>
            </w:pPr>
            <w:r>
              <w:rPr>
                <w:color w:val="000000"/>
                <w:sz w:val="15"/>
              </w:rPr>
              <w:t>2 COD and fulfillment</w:t>
            </w:r>
          </w:p>
        </w:tc>
        <w:tc>
          <w:tcPr>
            <w:tcW w:type="dxa" w:w="6336"/>
            <w:vAlign w:val="center"/>
            <w:tcMar>
              <w:top w:w="100" w:type="dxa"/>
              <w:start w:w="120" w:type="dxa"/>
              <w:bottom w:w="100" w:type="dxa"/>
              <w:end w:w="120" w:type="dxa"/>
            </w:tcMar>
          </w:tcPr>
          <w:p>
            <w:pPr>
              <w:spacing w:after="0" w:line="240" w:lineRule="auto"/>
            </w:pPr>
            <w:r>
              <w:rPr>
                <w:color w:val="000000"/>
                <w:sz w:val="15"/>
              </w:rPr>
              <w:t>Per-line packing/delivery quantities, rider rejection flow, adjusted COD collection, quarantine inventory, post-delivery claims.</w:t>
            </w:r>
          </w:p>
        </w:tc>
        <w:tc>
          <w:tcPr>
            <w:tcW w:type="dxa" w:w="1872"/>
            <w:vAlign w:val="center"/>
            <w:tcMar>
              <w:top w:w="100" w:type="dxa"/>
              <w:start w:w="120" w:type="dxa"/>
              <w:bottom w:w="100" w:type="dxa"/>
              <w:end w:w="120" w:type="dxa"/>
            </w:tcMar>
          </w:tcPr>
          <w:p>
            <w:pPr>
              <w:spacing w:after="0" w:line="240" w:lineRule="auto"/>
            </w:pPr>
            <w:r>
              <w:rPr>
                <w:color w:val="000000"/>
                <w:sz w:val="15"/>
              </w:rPr>
              <w:t>Physical, order, cash, and inventory states remain consistent.</w:t>
            </w:r>
          </w:p>
        </w:tc>
      </w:tr>
      <w:tr>
        <w:trPr>
          <w:cantSplit/>
        </w:trPr>
        <w:tc>
          <w:tcPr>
            <w:tcW w:type="dxa" w:w="1584"/>
            <w:shd w:fill="F5F7FA"/>
            <w:vAlign w:val="center"/>
            <w:tcMar>
              <w:top w:w="100" w:type="dxa"/>
              <w:start w:w="120" w:type="dxa"/>
              <w:bottom w:w="100" w:type="dxa"/>
              <w:end w:w="120" w:type="dxa"/>
            </w:tcMar>
          </w:tcPr>
          <w:p>
            <w:pPr>
              <w:spacing w:after="0" w:line="240" w:lineRule="auto"/>
            </w:pPr>
            <w:r>
              <w:rPr>
                <w:color w:val="000000"/>
                <w:sz w:val="15"/>
              </w:rPr>
              <w:t>3 Optional credit</w:t>
            </w:r>
          </w:p>
        </w:tc>
        <w:tc>
          <w:tcPr>
            <w:tcW w:type="dxa" w:w="6336"/>
            <w:shd w:fill="F5F7FA"/>
            <w:vAlign w:val="center"/>
            <w:tcMar>
              <w:top w:w="100" w:type="dxa"/>
              <w:start w:w="120" w:type="dxa"/>
              <w:bottom w:w="100" w:type="dxa"/>
              <w:end w:w="120" w:type="dxa"/>
            </w:tcMar>
          </w:tcPr>
          <w:p>
            <w:pPr>
              <w:spacing w:after="0" w:line="240" w:lineRule="auto"/>
            </w:pPr>
            <w:r>
              <w:rPr>
                <w:color w:val="000000"/>
                <w:sz w:val="15"/>
              </w:rPr>
              <w:t>Legal/CA sign-off, refund-only wallet ledger, explicit customer choice, wallet statement, no top-up/transfer/cash-out.</w:t>
            </w:r>
          </w:p>
        </w:tc>
        <w:tc>
          <w:tcPr>
            <w:tcW w:type="dxa" w:w="1872"/>
            <w:shd w:fill="F5F7FA"/>
            <w:vAlign w:val="center"/>
            <w:tcMar>
              <w:top w:w="100" w:type="dxa"/>
              <w:start w:w="120" w:type="dxa"/>
              <w:bottom w:w="100" w:type="dxa"/>
              <w:end w:w="120" w:type="dxa"/>
            </w:tcMar>
          </w:tcPr>
          <w:p>
            <w:pPr>
              <w:spacing w:after="0" w:line="240" w:lineRule="auto"/>
            </w:pPr>
            <w:r>
              <w:rPr>
                <w:color w:val="000000"/>
                <w:sz w:val="15"/>
              </w:rPr>
              <w:t>Wallet liability reconciles daily and consumer terms are live.</w:t>
            </w:r>
          </w:p>
        </w:tc>
      </w:tr>
      <w:tr>
        <w:trPr>
          <w:cantSplit/>
        </w:trPr>
        <w:tc>
          <w:tcPr>
            <w:tcW w:type="dxa" w:w="1584"/>
            <w:vAlign w:val="center"/>
            <w:tcMar>
              <w:top w:w="100" w:type="dxa"/>
              <w:start w:w="120" w:type="dxa"/>
              <w:bottom w:w="100" w:type="dxa"/>
              <w:end w:w="120" w:type="dxa"/>
            </w:tcMar>
          </w:tcPr>
          <w:p>
            <w:pPr>
              <w:spacing w:after="0" w:line="240" w:lineRule="auto"/>
            </w:pPr>
            <w:r>
              <w:rPr>
                <w:color w:val="000000"/>
                <w:sz w:val="15"/>
              </w:rPr>
              <w:t>4 Wallet checkout</w:t>
            </w:r>
          </w:p>
        </w:tc>
        <w:tc>
          <w:tcPr>
            <w:tcW w:type="dxa" w:w="6336"/>
            <w:vAlign w:val="center"/>
            <w:tcMar>
              <w:top w:w="100" w:type="dxa"/>
              <w:start w:w="120" w:type="dxa"/>
              <w:bottom w:w="100" w:type="dxa"/>
              <w:end w:w="120" w:type="dxa"/>
            </w:tcMar>
          </w:tcPr>
          <w:p>
            <w:pPr>
              <w:spacing w:after="0" w:line="240" w:lineRule="auto"/>
            </w:pPr>
            <w:r>
              <w:rPr>
                <w:color w:val="000000"/>
                <w:sz w:val="15"/>
              </w:rPr>
              <w:t>Reservation/debit/release, mixed tender, split refunds, account closure/recovery controls, fraud monitoring.</w:t>
            </w:r>
          </w:p>
        </w:tc>
        <w:tc>
          <w:tcPr>
            <w:tcW w:type="dxa" w:w="1872"/>
            <w:vAlign w:val="center"/>
            <w:tcMar>
              <w:top w:w="100" w:type="dxa"/>
              <w:start w:w="120" w:type="dxa"/>
              <w:bottom w:w="100" w:type="dxa"/>
              <w:end w:w="120" w:type="dxa"/>
            </w:tcMar>
          </w:tcPr>
          <w:p>
            <w:pPr>
              <w:spacing w:after="0" w:line="240" w:lineRule="auto"/>
            </w:pPr>
            <w:r>
              <w:rPr>
                <w:color w:val="000000"/>
                <w:sz w:val="15"/>
              </w:rPr>
              <w:t>Concurrent and failure tests preserve ledger invariants.</w:t>
            </w:r>
          </w:p>
        </w:tc>
      </w:tr>
      <w:tr>
        <w:trPr>
          <w:cantSplit/>
        </w:trPr>
        <w:tc>
          <w:tcPr>
            <w:tcW w:type="dxa" w:w="1584"/>
            <w:shd w:fill="F5F7FA"/>
            <w:vAlign w:val="center"/>
            <w:tcMar>
              <w:top w:w="100" w:type="dxa"/>
              <w:start w:w="120" w:type="dxa"/>
              <w:bottom w:w="100" w:type="dxa"/>
              <w:end w:w="120" w:type="dxa"/>
            </w:tcMar>
          </w:tcPr>
          <w:p>
            <w:pPr>
              <w:spacing w:after="0" w:line="240" w:lineRule="auto"/>
            </w:pPr>
            <w:r>
              <w:rPr>
                <w:color w:val="000000"/>
                <w:sz w:val="15"/>
              </w:rPr>
              <w:t>5 Optimization</w:t>
            </w:r>
          </w:p>
        </w:tc>
        <w:tc>
          <w:tcPr>
            <w:tcW w:type="dxa" w:w="6336"/>
            <w:shd w:fill="F5F7FA"/>
            <w:vAlign w:val="center"/>
            <w:tcMar>
              <w:top w:w="100" w:type="dxa"/>
              <w:start w:w="120" w:type="dxa"/>
              <w:bottom w:w="100" w:type="dxa"/>
              <w:end w:w="120" w:type="dxa"/>
            </w:tcMar>
          </w:tcPr>
          <w:p>
            <w:pPr>
              <w:spacing w:after="0" w:line="240" w:lineRule="auto"/>
            </w:pPr>
            <w:r>
              <w:rPr>
                <w:color w:val="000000"/>
                <w:sz w:val="15"/>
              </w:rPr>
              <w:t>Auto-approval rules, risk scoring, batch incidents, analytics, SLA automation, controlled goodwill.</w:t>
            </w:r>
          </w:p>
        </w:tc>
        <w:tc>
          <w:tcPr>
            <w:tcW w:type="dxa" w:w="1872"/>
            <w:shd w:fill="F5F7FA"/>
            <w:vAlign w:val="center"/>
            <w:tcMar>
              <w:top w:w="100" w:type="dxa"/>
              <w:start w:w="120" w:type="dxa"/>
              <w:bottom w:w="100" w:type="dxa"/>
              <w:end w:w="120" w:type="dxa"/>
            </w:tcMar>
          </w:tcPr>
          <w:p>
            <w:pPr>
              <w:spacing w:after="0" w:line="240" w:lineRule="auto"/>
            </w:pPr>
            <w:r>
              <w:rPr>
                <w:color w:val="000000"/>
                <w:sz w:val="15"/>
              </w:rPr>
              <w:t>Measured fraud, complaint, and reconciliation targets remain within approved thresholds.</w:t>
            </w:r>
          </w:p>
        </w:tc>
      </w:tr>
    </w:tbl>
    <w:p>
      <w:pPr>
        <w:spacing w:after="20"/>
      </w:pPr>
    </w:p>
    <w:p>
      <w:pPr>
        <w:pStyle w:val="Heading2"/>
      </w:pPr>
      <w:r>
        <w:t>Suggested engineering sequence</w:t>
      </w:r>
    </w:p>
    <w:p>
      <w:pPr>
        <w:spacing w:after="50"/>
        <w:ind w:left="403" w:hanging="317"/>
      </w:pPr>
      <w:r>
        <w:t xml:space="preserve">1. </w:t>
      </w:r>
      <w:r>
        <w:t>Write policy version 1 and calculation examples; get legal and accounting review.</w:t>
      </w:r>
    </w:p>
    <w:p>
      <w:pPr>
        <w:spacing w:after="50"/>
        <w:ind w:left="403" w:hanging="317"/>
      </w:pPr>
      <w:r>
        <w:t xml:space="preserve">2. </w:t>
      </w:r>
      <w:r>
        <w:t>Refactor checkout into a server-authoritative payment state machine.</w:t>
      </w:r>
    </w:p>
    <w:p>
      <w:pPr>
        <w:spacing w:after="50"/>
        <w:ind w:left="403" w:hanging="317"/>
      </w:pPr>
      <w:r>
        <w:t xml:space="preserve">3. </w:t>
      </w:r>
      <w:r>
        <w:t>Add immutable price/tax/discount allocations and tender details to new orders; define migration behavior for old orders.</w:t>
      </w:r>
    </w:p>
    <w:p>
      <w:pPr>
        <w:spacing w:after="50"/>
        <w:ind w:left="403" w:hanging="317"/>
      </w:pPr>
      <w:r>
        <w:t xml:space="preserve">4. </w:t>
      </w:r>
      <w:r>
        <w:t>Implement adjustment preview/create/approve commands and Firestore rules tests.</w:t>
      </w:r>
    </w:p>
    <w:p>
      <w:pPr>
        <w:spacing w:after="50"/>
        <w:ind w:left="403" w:hanging="317"/>
      </w:pPr>
      <w:r>
        <w:t xml:space="preserve">5. </w:t>
      </w:r>
      <w:r>
        <w:t>Implement refund worker, verified webhooks, reconciliation, and operational exception queues.</w:t>
      </w:r>
    </w:p>
    <w:p>
      <w:pPr>
        <w:spacing w:after="50"/>
        <w:ind w:left="403" w:hanging="317"/>
      </w:pPr>
      <w:r>
        <w:t xml:space="preserve">6. </w:t>
      </w:r>
      <w:r>
        <w:t>Add dashboard and app status UI, customer notices, and support tooling.</w:t>
      </w:r>
    </w:p>
    <w:p>
      <w:pPr>
        <w:spacing w:after="50"/>
        <w:ind w:left="403" w:hanging="317"/>
      </w:pPr>
      <w:r>
        <w:t xml:space="preserve">7. </w:t>
      </w:r>
      <w:r>
        <w:t>Pilot source refunds with staff-created low-value cases and a kill switch.</w:t>
      </w:r>
    </w:p>
    <w:p>
      <w:pPr>
        <w:spacing w:after="50"/>
        <w:ind w:left="403" w:hanging="317"/>
      </w:pPr>
      <w:r>
        <w:t xml:space="preserve">8. </w:t>
      </w:r>
      <w:r>
        <w:t>After stable reconciliation and legal sign-off, pilot optional store credit with a small cohort.</w:t>
      </w:r>
    </w:p>
    <w:p>
      <w:pPr>
        <w:pStyle w:val="Heading2"/>
      </w:pPr>
      <w:r>
        <w:t>Legacy order treatment</w:t>
      </w:r>
    </w:p>
    <w:p>
      <w:r>
        <w:t>Older orders lack authoritative allocation fields. Do not guess automatically. Either support source refunds using a reviewed legacy calculator with explicit limitations, or route old orders to a finance-reviewed case. New orders should carry a schemaVersion and immutable pricing breakdown so calculations stay reproducible after catalog and promotion changes.</w:t>
      </w:r>
    </w:p>
    <w:p>
      <w:pPr>
        <w:pStyle w:val="Heading2"/>
      </w:pPr>
      <w:r>
        <w:t>Final decision</w:t>
      </w:r>
    </w:p>
    <w:p>
      <w:r>
        <w:t>Kissan Fresh should implement partial refunds because grocery fulfillment naturally produces item-level shortages and damage. The wallet should be an optional convenience layer, not the remedy itself. Launch source refunds first, and add tightly closed Kissan Fresh Credit only after the platform’s merchant model, tax accounting, privacy obligations, and liability handling have been signed off. This sequence delivers customer value early without turning a refund feature into an ungoverned payments product.</w:t>
      </w:r>
    </w:p>
    <w:p>
      <w:r>
        <w:br w:type="page"/>
      </w:r>
    </w:p>
    <w:p>
      <w:pPr>
        <w:pStyle w:val="Heading1"/>
      </w:pPr>
      <w:r>
        <w:t>Sources</w:t>
      </w:r>
    </w:p>
    <w:p>
      <w:pPr>
        <w:ind w:left="259" w:hanging="259"/>
      </w:pPr>
      <w:r>
        <w:rPr>
          <w:b/>
        </w:rPr>
        <w:t xml:space="preserve">1. </w:t>
      </w:r>
      <w:r>
        <w:t xml:space="preserve">Razorpay, ‘Payments Refunds FAQs’ and ‘About Refunds,’ current documentation accessed September 2026. </w:t>
      </w:r>
      <w:hyperlink r:id="rId10">
        <w:r>
          <w:rPr>
            <w:color w:val="0563C1"/>
            <w:u w:val="single"/>
          </w:rPr>
          <w:t>https://razorpay.com/docs/payments/refunds/faqs/</w:t>
        </w:r>
      </w:hyperlink>
    </w:p>
    <w:p>
      <w:pPr>
        <w:ind w:left="259" w:hanging="259"/>
      </w:pPr>
      <w:r>
        <w:rPr>
          <w:b/>
        </w:rPr>
        <w:t xml:space="preserve">2. </w:t>
      </w:r>
      <w:r>
        <w:t xml:space="preserve">Department of Consumer Affairs, Consumer Protection E Commerce Rules 2020, rules on affirmative consent, grievance handling, disclosures, and accepted refunds. </w:t>
      </w:r>
      <w:hyperlink r:id="rId11">
        <w:r>
          <w:rPr>
            <w:color w:val="0563C1"/>
            <w:u w:val="single"/>
          </w:rPr>
          <w:t>https://consumeraffairs.nic.in/sites/default/files/E%20commerce%20rules_0.pdf</w:t>
        </w:r>
      </w:hyperlink>
    </w:p>
    <w:p>
      <w:pPr>
        <w:ind w:left="259" w:hanging="259"/>
      </w:pPr>
      <w:r>
        <w:rPr>
          <w:b/>
        </w:rPr>
        <w:t xml:space="preserve">3. </w:t>
      </w:r>
      <w:r>
        <w:t xml:space="preserve">Central Board of Indirect Taxes and Customs, Central Goods and Services Tax Act 2017, section 34 on credit and debit notes. </w:t>
      </w:r>
      <w:hyperlink r:id="rId12">
        <w:r>
          <w:rPr>
            <w:color w:val="0563C1"/>
            <w:u w:val="single"/>
          </w:rPr>
          <w:t>https://cbic-gst.gov.in/hindi/CGST-bill-e.html</w:t>
        </w:r>
      </w:hyperlink>
    </w:p>
    <w:p>
      <w:pPr>
        <w:ind w:left="259" w:hanging="259"/>
      </w:pPr>
      <w:r>
        <w:rPr>
          <w:b/>
        </w:rPr>
        <w:t xml:space="preserve">4. </w:t>
      </w:r>
      <w:r>
        <w:t xml:space="preserve">Reserve Bank of India, Master Directions on Prepaid Payment Instruments 2021, updated 27 December 2024, paragraph 2.1 and footnote on closed-system instruments. </w:t>
      </w:r>
      <w:hyperlink r:id="rId13">
        <w:r>
          <w:rPr>
            <w:color w:val="0563C1"/>
            <w:u w:val="single"/>
          </w:rPr>
          <w:t>https://www.rbi.org.in/Scripts/NotificationUser.aspx/NotificationUser.aspx?Id=12156</w:t>
        </w:r>
      </w:hyperlink>
    </w:p>
    <w:p>
      <w:pPr>
        <w:ind w:left="259" w:hanging="259"/>
      </w:pPr>
      <w:r>
        <w:rPr>
          <w:b/>
        </w:rPr>
        <w:t xml:space="preserve">5. </w:t>
      </w:r>
      <w:r>
        <w:t xml:space="preserve">Razorpay, Refund Webhook Events, signature validation guidance. </w:t>
      </w:r>
      <w:hyperlink r:id="rId14">
        <w:r>
          <w:rPr>
            <w:color w:val="0563C1"/>
            <w:u w:val="single"/>
          </w:rPr>
          <w:t>https://razorpay.com/docs/webhooks/refunds/</w:t>
        </w:r>
      </w:hyperlink>
    </w:p>
    <w:p>
      <w:pPr>
        <w:ind w:left="259" w:hanging="259"/>
      </w:pPr>
      <w:r>
        <w:rPr>
          <w:b/>
        </w:rPr>
        <w:t xml:space="preserve">6. </w:t>
      </w:r>
      <w:r>
        <w:t xml:space="preserve">Razorpay, About Webhooks, webhook and API verification guidance. </w:t>
      </w:r>
      <w:hyperlink r:id="rId15">
        <w:r>
          <w:rPr>
            <w:color w:val="0563C1"/>
            <w:u w:val="single"/>
          </w:rPr>
          <w:t>https://razorpay.com/docs/webhooks/</w:t>
        </w:r>
      </w:hyperlink>
    </w:p>
    <w:p>
      <w:pPr>
        <w:ind w:left="259" w:hanging="259"/>
      </w:pPr>
      <w:r>
        <w:rPr>
          <w:b/>
        </w:rPr>
        <w:t xml:space="preserve">7. </w:t>
      </w:r>
      <w:r>
        <w:t xml:space="preserve">India Code, Consumer Protection Act 2019, definition of unfair trade practice including refund of defective goods or deficient services. </w:t>
      </w:r>
      <w:hyperlink r:id="rId16">
        <w:r>
          <w:rPr>
            <w:color w:val="0563C1"/>
            <w:u w:val="single"/>
          </w:rPr>
          <w:t>https://www.indiacode.nic.in/bitstream/123456789/15256/5/A2019-35.pdf</w:t>
        </w:r>
      </w:hyperlink>
    </w:p>
    <w:p>
      <w:pPr>
        <w:ind w:left="259" w:hanging="259"/>
      </w:pPr>
      <w:r>
        <w:rPr>
          <w:b/>
        </w:rPr>
        <w:t xml:space="preserve">8. </w:t>
      </w:r>
      <w:r>
        <w:t xml:space="preserve">Ministry of Electronics and Information Technology, Digital Personal Data Protection Rules 2025, rule 1 commencement schedule. </w:t>
      </w:r>
      <w:hyperlink r:id="rId17">
        <w:r>
          <w:rPr>
            <w:color w:val="0563C1"/>
            <w:u w:val="single"/>
          </w:rPr>
          <w:t>https://www.meity.gov.in/static/uploads/2025/11/53450e6e5dc0bfa85ebd78686cadad39.pdf</w:t>
        </w:r>
      </w:hyperlink>
    </w:p>
    <w:p>
      <w:pPr>
        <w:ind w:left="259" w:hanging="259"/>
      </w:pPr>
      <w:r>
        <w:rPr>
          <w:b/>
        </w:rPr>
        <w:t xml:space="preserve">9. </w:t>
      </w:r>
      <w:r>
        <w:t xml:space="preserve">Ministry of Electronics and Information Technology, Digital Personal Data Protection Rules 2025, rule 6 reasonable security safeguards. </w:t>
      </w:r>
      <w:hyperlink r:id="rId17">
        <w:r>
          <w:rPr>
            <w:color w:val="0563C1"/>
            <w:u w:val="single"/>
          </w:rPr>
          <w:t>https://www.meity.gov.in/static/uploads/2025/11/53450e6e5dc0bfa85ebd78686cadad39.pdf</w:t>
        </w:r>
      </w:hyperlink>
    </w:p>
    <w:p>
      <w:pPr>
        <w:ind w:left="259" w:hanging="259"/>
      </w:pPr>
      <w:r>
        <w:rPr>
          <w:b/>
        </w:rPr>
        <w:t xml:space="preserve">10. </w:t>
      </w:r>
      <w:r>
        <w:t xml:space="preserve">Ministry of Electronics and Information Technology, Digital Personal Data Protection Rules 2025, rule 7 breach intimation. </w:t>
      </w:r>
      <w:hyperlink r:id="rId17">
        <w:r>
          <w:rPr>
            <w:color w:val="0563C1"/>
            <w:u w:val="single"/>
          </w:rPr>
          <w:t>https://www.meity.gov.in/static/uploads/2025/11/53450e6e5dc0bfa85ebd78686cadad39.pdf</w:t>
        </w:r>
      </w:hyperlink>
    </w:p>
    <w:p>
      <w:pPr>
        <w:ind w:left="259" w:hanging="259"/>
      </w:pPr>
      <w:r>
        <w:rPr>
          <w:b/>
        </w:rPr>
        <w:t xml:space="preserve">11. </w:t>
      </w:r>
      <w:r>
        <w:t xml:space="preserve">Central Board of Indirect Taxes and Customs, Accounts and Records Rules. </w:t>
      </w:r>
      <w:hyperlink r:id="rId18">
        <w:r>
          <w:rPr>
            <w:color w:val="0563C1"/>
            <w:u w:val="single"/>
          </w:rPr>
          <w:t>https://cbic-gst.gov.in/accnt-record-rules.html</w:t>
        </w:r>
      </w:hyperlink>
    </w:p>
    <w:p>
      <w:pPr>
        <w:ind w:left="259" w:hanging="259"/>
      </w:pPr>
      <w:r>
        <w:rPr>
          <w:b/>
        </w:rPr>
        <w:t xml:space="preserve">12. </w:t>
      </w:r>
      <w:r>
        <w:t xml:space="preserve">Razorpay, Refunds API, partial refunds and captured-payment requirement. </w:t>
      </w:r>
      <w:hyperlink r:id="rId19">
        <w:r>
          <w:rPr>
            <w:color w:val="0563C1"/>
            <w:u w:val="single"/>
          </w:rPr>
          <w:t>https://razorpay.com/docs/api/refunds/</w:t>
        </w:r>
      </w:hyperlink>
    </w:p>
    <w:p>
      <w:pPr>
        <w:pStyle w:val="Heading2"/>
      </w:pPr>
      <w:r>
        <w:t>Repository basis</w:t>
      </w:r>
    </w:p>
    <w:p>
      <w:r>
        <w:t>Architecture and gap findings were verified against the Kissan Fresh dashboard and consumer app workspaces, including the Firebase Cloud Functions refund/order logic, Firestore rules, Next.js order-management flow, Flutter cart checkout, and Flutter order model as of September 2026.</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Kissan Fresh wallet and partial refund strategy    |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razorpay.com/docs/payments/refunds/faqs/" TargetMode="External"/><Relationship Id="rId11" Type="http://schemas.openxmlformats.org/officeDocument/2006/relationships/hyperlink" Target="https://consumeraffairs.nic.in/sites/default/files/E%20commerce%20rules_0.pdf" TargetMode="External"/><Relationship Id="rId12" Type="http://schemas.openxmlformats.org/officeDocument/2006/relationships/hyperlink" Target="https://cbic-gst.gov.in/hindi/CGST-bill-e.html" TargetMode="External"/><Relationship Id="rId13" Type="http://schemas.openxmlformats.org/officeDocument/2006/relationships/hyperlink" Target="https://www.rbi.org.in/Scripts/NotificationUser.aspx/NotificationUser.aspx?Id=12156" TargetMode="External"/><Relationship Id="rId14" Type="http://schemas.openxmlformats.org/officeDocument/2006/relationships/hyperlink" Target="https://razorpay.com/docs/webhooks/refunds/" TargetMode="External"/><Relationship Id="rId15" Type="http://schemas.openxmlformats.org/officeDocument/2006/relationships/hyperlink" Target="https://razorpay.com/docs/webhooks/" TargetMode="External"/><Relationship Id="rId16" Type="http://schemas.openxmlformats.org/officeDocument/2006/relationships/hyperlink" Target="https://www.indiacode.nic.in/bitstream/123456789/15256/5/A2019-35.pdf" TargetMode="External"/><Relationship Id="rId17" Type="http://schemas.openxmlformats.org/officeDocument/2006/relationships/hyperlink" Target="https://www.meity.gov.in/static/uploads/2025/11/53450e6e5dc0bfa85ebd78686cadad39.pdf" TargetMode="External"/><Relationship Id="rId18" Type="http://schemas.openxmlformats.org/officeDocument/2006/relationships/hyperlink" Target="https://cbic-gst.gov.in/accnt-record-rules.html" TargetMode="External"/><Relationship Id="rId19" Type="http://schemas.openxmlformats.org/officeDocument/2006/relationships/hyperlink" Target="https://razorpay.com/docs/api/refu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Kissan Fresh Wallet and Partial Refund Strategy</dc:title>
  <dc:subject>Product, payments, security, legal, and implementation strategy</dc:subject>
  <dc:creator>Kissan Fresh</dc:creator>
  <cp:keywords/>
  <dc:description>generated by python-docx</dc:description>
  <cp:lastModifiedBy/>
  <cp:revision>1</cp:revision>
  <dcterms:created xsi:type="dcterms:W3CDTF">2013-12-23T23:15:00Z</dcterms:created>
  <dcterms:modified xsi:type="dcterms:W3CDTF">2013-12-23T23:15:00Z</dcterms:modified>
  <cp:category/>
</cp:coreProperties>
</file>