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t>Claude Build Directions</w:t>
        <w:br/>
        <w:t>Vendorea.PartnerConnect – SPR / Gemini Phase 1</w:t>
      </w:r>
    </w:p>
    <w:p>
      <w:pPr>
        <w:pStyle w:val="SubtitleCustom"/>
        <w:jc w:val="center"/>
      </w:pPr>
      <w:r>
        <w:t>Purpose: give Claude a concrete, build-ready implementation direction while SPR clarifications are pending.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b/>
              </w:rPr>
              <w:t>Primary goal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Build the core PartnerConnect pipeline for SPR using the document specifications already received.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b/>
              </w:rPr>
              <w:t>Use now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Merchant360 as client #1 for Gemini Office Products.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b/>
              </w:rPr>
              <w:t>Build later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External metered dealer connectivity service for other dealers and other suppliers.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b/>
              </w:rPr>
              <w:t>Do not wait 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Transport credential details, production hostnames, and a few scope clarifications from SPR.</w:t>
            </w:r>
          </w:p>
        </w:tc>
      </w:tr>
    </w:tbl>
    <w:p/>
    <w:p>
      <w:pPr>
        <w:pStyle w:val="Heading1"/>
      </w:pPr>
      <w:r>
        <w:t>1. What Claude should build now</w:t>
      </w:r>
    </w:p>
    <w:p>
      <w:r>
        <w:t>Claude should start with the parts that are already determined by the SPR specifications and by the PartnerConnect architecture. The safest current scope is the canonical document-processing pipeline plus the first SPR adapters.</w:t>
      </w:r>
    </w:p>
    <w:p>
      <w:pPr>
        <w:pStyle w:val="ListBullet"/>
        <w:spacing w:after="40"/>
      </w:pPr>
      <w:r>
        <w:t>Outbound XML Purchase Order (PO) generation</w:t>
      </w:r>
    </w:p>
    <w:p>
      <w:pPr>
        <w:pStyle w:val="ListBullet"/>
        <w:spacing w:after="40"/>
      </w:pPr>
      <w:r>
        <w:t>Inbound XML PO Acknowledgement (POACK) parsing</w:t>
      </w:r>
    </w:p>
    <w:p>
      <w:pPr>
        <w:pStyle w:val="ListBullet"/>
        <w:spacing w:after="40"/>
      </w:pPr>
      <w:r>
        <w:t>Inbound XML EZASNS shipment / manifest parsing</w:t>
      </w:r>
    </w:p>
    <w:p>
      <w:pPr>
        <w:pStyle w:val="ListBullet"/>
        <w:spacing w:after="40"/>
      </w:pPr>
      <w:r>
        <w:t>Inbound daily XML DC inventory import</w:t>
      </w:r>
    </w:p>
    <w:p>
      <w:pPr>
        <w:pStyle w:val="ListBullet"/>
        <w:spacing w:after="40"/>
      </w:pPr>
      <w:r>
        <w:t>SOAP client scaffolding for SPR web services</w:t>
      </w:r>
    </w:p>
    <w:p>
      <w:pPr>
        <w:pStyle w:val="ListBullet"/>
        <w:spacing w:after="40"/>
      </w:pPr>
      <w:r>
        <w:t>Merchant360-facing integration contracts and internal API surface</w:t>
      </w:r>
    </w:p>
    <w:p>
      <w:pPr>
        <w:pStyle w:val="ListBullet"/>
        <w:spacing w:after="40"/>
      </w:pPr>
      <w:r>
        <w:t>Operational visibility: raw document archive, processing status, retry/reprocess, job history</w:t>
      </w:r>
    </w:p>
    <w:p>
      <w:pPr>
        <w:pStyle w:val="Heading1"/>
      </w:pPr>
      <w:r>
        <w:t>2. What Claude should not finalize yet</w:t>
      </w:r>
    </w:p>
    <w:p>
      <w:r>
        <w:t>These items should stay configurable or marked TODO until SPR responds:</w:t>
      </w:r>
    </w:p>
    <w:p>
      <w:pPr>
        <w:pStyle w:val="ListBullet"/>
        <w:spacing w:after="40"/>
      </w:pPr>
      <w:r>
        <w:t>Final SFTP hostnames, usernames, passwords, and any production-only connectivity instructions</w:t>
      </w:r>
    </w:p>
    <w:p>
      <w:pPr>
        <w:pStyle w:val="ListBullet"/>
        <w:spacing w:after="40"/>
      </w:pPr>
      <w:r>
        <w:t>Whether invoice / credit memo returns for Gemini will be XML or EZINV4 record-layout files</w:t>
      </w:r>
    </w:p>
    <w:p>
      <w:pPr>
        <w:pStyle w:val="ListBullet"/>
        <w:spacing w:after="40"/>
      </w:pPr>
      <w:r>
        <w:t>The exact Gemini phase-1 scope SPR wants enabled first</w:t>
      </w:r>
    </w:p>
    <w:p>
      <w:pPr>
        <w:pStyle w:val="ListBullet"/>
        <w:spacing w:after="40"/>
      </w:pPr>
      <w:r>
        <w:t>Which SPR SOAP services are active for Gemini and which credentials apply</w:t>
      </w:r>
    </w:p>
    <w:p>
      <w:pPr>
        <w:pStyle w:val="ListBullet"/>
        <w:spacing w:after="40"/>
      </w:pPr>
      <w:r>
        <w:t>Any Gemini-specific routing or batching assumptions that are not explicit in the documents</w:t>
      </w:r>
    </w:p>
    <w:p>
      <w:pPr>
        <w:pStyle w:val="Heading1"/>
      </w:pPr>
      <w:r>
        <w:t>3. Core implementation sequence</w:t>
      </w:r>
    </w:p>
    <w:p>
      <w:r>
        <w:t>Claude should execute the build in the following order. Do not skip ahead to advanced features before the earlier layers are stable and tested.</w:t>
      </w:r>
    </w:p>
    <w:p>
      <w:pPr>
        <w:pStyle w:val="ListNumber"/>
      </w:pPr>
      <w:r>
        <w:rPr>
          <w:b/>
        </w:rPr>
        <w:t>Canonical domain models</w:t>
      </w:r>
    </w:p>
    <w:p>
      <w:pPr>
        <w:pStyle w:val="ListBullet2"/>
        <w:spacing w:after="40"/>
      </w:pPr>
      <w:r>
        <w:t>Create internal canonical models for PurchaseOrder, PurchaseOrderAck, ShipmentManifest, InventorySnapshot, SupplierInvoice, CreditMemo, PartnerDocument, DocumentProcessingAttempt, and DocumentCorrelation.</w:t>
      </w:r>
    </w:p>
    <w:p>
      <w:pPr>
        <w:pStyle w:val="ListBullet2"/>
        <w:spacing w:after="40"/>
      </w:pPr>
      <w:r>
        <w:t>Keep these canonical models partner-neutral. Do not leak SPR XML structure directly into Merchant360-facing models.</w:t>
      </w:r>
    </w:p>
    <w:p>
      <w:pPr>
        <w:pStyle w:val="ListNumber"/>
      </w:pPr>
      <w:r>
        <w:rPr>
          <w:b/>
        </w:rPr>
        <w:t>XML infrastructure</w:t>
      </w:r>
    </w:p>
    <w:p>
      <w:pPr>
        <w:pStyle w:val="ListBullet2"/>
        <w:spacing w:after="40"/>
      </w:pPr>
      <w:r>
        <w:t>Add XSD validation services for outbound and inbound XML documents.</w:t>
      </w:r>
    </w:p>
    <w:p>
      <w:pPr>
        <w:pStyle w:val="ListBullet2"/>
        <w:spacing w:after="40"/>
      </w:pPr>
      <w:r>
        <w:t>Add XML serialization / deserialization utilities.</w:t>
      </w:r>
    </w:p>
    <w:p>
      <w:pPr>
        <w:pStyle w:val="ListBullet2"/>
        <w:spacing w:after="40"/>
      </w:pPr>
      <w:r>
        <w:t>Store the raw source payload for every inbound and outbound document.</w:t>
      </w:r>
    </w:p>
    <w:p>
      <w:pPr>
        <w:pStyle w:val="ListNumber"/>
      </w:pPr>
      <w:r>
        <w:rPr>
          <w:b/>
        </w:rPr>
        <w:t>Outbound PO</w:t>
      </w:r>
    </w:p>
    <w:p>
      <w:pPr>
        <w:pStyle w:val="ListBullet2"/>
        <w:spacing w:after="40"/>
      </w:pPr>
      <w:r>
        <w:t>Map canonical purchase orders to the SPR XML PO schema.</w:t>
      </w:r>
    </w:p>
    <w:p>
      <w:pPr>
        <w:pStyle w:val="ListBullet2"/>
        <w:spacing w:after="40"/>
      </w:pPr>
      <w:r>
        <w:t>Serialize valid XML.</w:t>
      </w:r>
    </w:p>
    <w:p>
      <w:pPr>
        <w:pStyle w:val="ListBullet2"/>
        <w:spacing w:after="40"/>
      </w:pPr>
      <w:r>
        <w:t>Validate against the PO XSD before transport.</w:t>
      </w:r>
    </w:p>
    <w:p>
      <w:pPr>
        <w:pStyle w:val="ListBullet2"/>
        <w:spacing w:after="40"/>
      </w:pPr>
      <w:r>
        <w:t>Unit test against sample DropShip and Wrap &amp; Label orders.</w:t>
      </w:r>
    </w:p>
    <w:p>
      <w:pPr>
        <w:pStyle w:val="ListNumber"/>
      </w:pPr>
      <w:r>
        <w:rPr>
          <w:b/>
        </w:rPr>
        <w:t>Inbound POACK</w:t>
      </w:r>
    </w:p>
    <w:p>
      <w:pPr>
        <w:pStyle w:val="ListBullet2"/>
        <w:spacing w:after="40"/>
      </w:pPr>
      <w:r>
        <w:t>Parse the SPR XML POACK schema into canonical acknowledgment objects.</w:t>
      </w:r>
    </w:p>
    <w:p>
      <w:pPr>
        <w:pStyle w:val="ListBullet2"/>
        <w:spacing w:after="40"/>
      </w:pPr>
      <w:r>
        <w:t>Map line-level AckStatus and AckDesc into normalized business statuses.</w:t>
      </w:r>
    </w:p>
    <w:p>
      <w:pPr>
        <w:pStyle w:val="ListBullet2"/>
        <w:spacing w:after="40"/>
      </w:pPr>
      <w:r>
        <w:t>Preserve raw values from SPR for troubleshooting and support.</w:t>
      </w:r>
    </w:p>
    <w:p>
      <w:pPr>
        <w:pStyle w:val="ListNumber"/>
      </w:pPr>
      <w:r>
        <w:rPr>
          <w:b/>
        </w:rPr>
        <w:t>Inbound EZASNS</w:t>
      </w:r>
    </w:p>
    <w:p>
      <w:pPr>
        <w:pStyle w:val="ListBullet2"/>
        <w:spacing w:after="40"/>
      </w:pPr>
      <w:r>
        <w:t>Parse manifests, sales orders, order summaries, sales-order lines, cartons, carton items, and tracking identifiers.</w:t>
      </w:r>
    </w:p>
    <w:p>
      <w:pPr>
        <w:pStyle w:val="ListBullet2"/>
        <w:spacing w:after="40"/>
      </w:pPr>
      <w:r>
        <w:t>Support one file containing multiple sales orders.</w:t>
      </w:r>
    </w:p>
    <w:p>
      <w:pPr>
        <w:pStyle w:val="ListBullet2"/>
        <w:spacing w:after="40"/>
      </w:pPr>
      <w:r>
        <w:t>Correlate inbound shipments back to Merchant360 orders using durable document-correlation rules.</w:t>
      </w:r>
    </w:p>
    <w:p>
      <w:pPr>
        <w:pStyle w:val="ListNumber"/>
      </w:pPr>
      <w:r>
        <w:rPr>
          <w:b/>
        </w:rPr>
        <w:t>Daily inventory import</w:t>
      </w:r>
    </w:p>
    <w:p>
      <w:pPr>
        <w:pStyle w:val="ListBullet2"/>
        <w:spacing w:after="40"/>
      </w:pPr>
      <w:r>
        <w:t>Download and ingest the daily XML inventory file as a full refresh.</w:t>
      </w:r>
    </w:p>
    <w:p>
      <w:pPr>
        <w:pStyle w:val="ListBullet2"/>
        <w:spacing w:after="40"/>
      </w:pPr>
      <w:r>
        <w:t>Implement the load pattern as: zero out current inventory snapshot, then load the new file.</w:t>
      </w:r>
    </w:p>
    <w:p>
      <w:pPr>
        <w:pStyle w:val="ListBullet2"/>
        <w:spacing w:after="40"/>
      </w:pPr>
      <w:r>
        <w:t>Track inventory import job start time, end time, file name, counts, and failures.</w:t>
      </w:r>
    </w:p>
    <w:p>
      <w:pPr>
        <w:pStyle w:val="ListNumber"/>
      </w:pPr>
      <w:r>
        <w:rPr>
          <w:b/>
        </w:rPr>
        <w:t>Merchant360 connector</w:t>
      </w:r>
    </w:p>
    <w:p>
      <w:pPr>
        <w:pStyle w:val="ListBullet2"/>
        <w:spacing w:after="40"/>
      </w:pPr>
      <w:r>
        <w:t>Add the internal API / event contracts PartnerConnect will use to receive orders from Merchant360 and publish back acknowledgements, shipments, and inventory state.</w:t>
      </w:r>
    </w:p>
    <w:p>
      <w:pPr>
        <w:pStyle w:val="ListBullet2"/>
        <w:spacing w:after="40"/>
      </w:pPr>
      <w:r>
        <w:t>Keep Merchant360 decoupled from SPR-specific field names.</w:t>
      </w:r>
    </w:p>
    <w:p>
      <w:pPr>
        <w:pStyle w:val="ListNumber"/>
      </w:pPr>
      <w:r>
        <w:rPr>
          <w:b/>
        </w:rPr>
        <w:t>SOAP scaffolding</w:t>
      </w:r>
    </w:p>
    <w:p>
      <w:pPr>
        <w:pStyle w:val="ListBullet2"/>
        <w:spacing w:after="40"/>
      </w:pPr>
      <w:r>
        <w:t>Create client abstractions and DTOs for SPR SOAP services.</w:t>
      </w:r>
    </w:p>
    <w:p>
      <w:pPr>
        <w:pStyle w:val="ListBullet2"/>
        <w:spacing w:after="40"/>
      </w:pPr>
      <w:r>
        <w:t>Do not hardwire live Gemini credentials yet.</w:t>
      </w:r>
    </w:p>
    <w:p>
      <w:pPr>
        <w:pStyle w:val="ListBullet2"/>
        <w:spacing w:after="40"/>
      </w:pPr>
      <w:r>
        <w:t>Treat stock check, dealer stock check, zip-code stock check, and freight services as optional phase-1 support services.</w:t>
      </w:r>
    </w:p>
    <w:p>
      <w:pPr>
        <w:pStyle w:val="ListNumber"/>
      </w:pPr>
      <w:r>
        <w:rPr>
          <w:b/>
        </w:rPr>
        <w:t>Ops and support features</w:t>
      </w:r>
    </w:p>
    <w:p>
      <w:pPr>
        <w:pStyle w:val="ListBullet2"/>
        <w:spacing w:after="40"/>
      </w:pPr>
      <w:r>
        <w:t>Add document search, raw XML viewer, validation status, retry / reprocess action, and background job history.</w:t>
      </w:r>
    </w:p>
    <w:p>
      <w:pPr>
        <w:pStyle w:val="ListBullet2"/>
        <w:spacing w:after="40"/>
      </w:pPr>
      <w:r>
        <w:t>Every document should have a lifecycle status and a complete audit trail.</w:t>
      </w:r>
    </w:p>
    <w:p>
      <w:pPr>
        <w:pStyle w:val="Heading1"/>
      </w:pPr>
      <w:r>
        <w:t>4. Required project-level deliverables</w:t>
      </w:r>
    </w:p>
    <w:p>
      <w:r>
        <w:t>Claude should create or complete the following logical components inside the existing PartnerConnect solution: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What Claude should produce</w:t>
            </w:r>
          </w:p>
        </w:tc>
      </w:tr>
      <w:tr>
        <w:tc>
          <w:tcPr>
            <w:tcW w:type="dxa" w:w="4968"/>
          </w:tcPr>
          <w:p>
            <w:r>
              <w:t>Domain / Application</w:t>
            </w:r>
          </w:p>
        </w:tc>
        <w:tc>
          <w:tcPr>
            <w:tcW w:type="dxa" w:w="4968"/>
          </w:tcPr>
          <w:p>
            <w:r>
              <w:t>Canonical models, processing rules, status mapping, and service orchestration.</w:t>
            </w:r>
          </w:p>
        </w:tc>
      </w:tr>
      <w:tr>
        <w:tc>
          <w:tcPr>
            <w:tcW w:type="dxa" w:w="4968"/>
          </w:tcPr>
          <w:p>
            <w:r>
              <w:t>Transport</w:t>
            </w:r>
          </w:p>
        </w:tc>
        <w:tc>
          <w:tcPr>
            <w:tcW w:type="dxa" w:w="4968"/>
          </w:tcPr>
          <w:p>
            <w:r>
              <w:t>SFTP file send/receive abstractions, mailbox polling, download/upload pipeline, archive handling, temp-file strategy as configurable behavior.</w:t>
            </w:r>
          </w:p>
        </w:tc>
      </w:tr>
      <w:tr>
        <w:tc>
          <w:tcPr>
            <w:tcW w:type="dxa" w:w="4968"/>
          </w:tcPr>
          <w:p>
            <w:r>
              <w:t>Partner Adapters / SPR</w:t>
            </w:r>
          </w:p>
        </w:tc>
        <w:tc>
          <w:tcPr>
            <w:tcW w:type="dxa" w:w="4968"/>
          </w:tcPr>
          <w:p>
            <w:r>
              <w:t>SPR PO generator, POACK parser, EZASNS parser, inventory XML parser, and SOAP client wrappers.</w:t>
            </w:r>
          </w:p>
        </w:tc>
      </w:tr>
      <w:tr>
        <w:tc>
          <w:tcPr>
            <w:tcW w:type="dxa" w:w="4968"/>
          </w:tcPr>
          <w:p>
            <w:r>
              <w:t>Persistence</w:t>
            </w:r>
          </w:p>
        </w:tc>
        <w:tc>
          <w:tcPr>
            <w:tcW w:type="dxa" w:w="4968"/>
          </w:tcPr>
          <w:p>
            <w:r>
              <w:t>EF Core entities and tables for documents, correlations, transport sessions, processing attempts, inventory snapshots, and job runs.</w:t>
            </w:r>
          </w:p>
        </w:tc>
      </w:tr>
      <w:tr>
        <w:tc>
          <w:tcPr>
            <w:tcW w:type="dxa" w:w="4968"/>
          </w:tcPr>
          <w:p>
            <w:r>
              <w:t>Background Workers</w:t>
            </w:r>
          </w:p>
        </w:tc>
        <w:tc>
          <w:tcPr>
            <w:tcW w:type="dxa" w:w="4968"/>
          </w:tcPr>
          <w:p>
            <w:r>
              <w:t>Outbound dispatch worker, inbound polling worker, inventory import worker, retry/reprocess worker.</w:t>
            </w:r>
          </w:p>
        </w:tc>
      </w:tr>
      <w:tr>
        <w:tc>
          <w:tcPr>
            <w:tcW w:type="dxa" w:w="4968"/>
          </w:tcPr>
          <w:p>
            <w:r>
              <w:t>API</w:t>
            </w:r>
          </w:p>
        </w:tc>
        <w:tc>
          <w:tcPr>
            <w:tcW w:type="dxa" w:w="4968"/>
          </w:tcPr>
          <w:p>
            <w:r>
              <w:t>Health, document status, job status, reprocess endpoints, and Merchant360 integration endpoints.</w:t>
            </w:r>
          </w:p>
        </w:tc>
      </w:tr>
      <w:tr>
        <w:tc>
          <w:tcPr>
            <w:tcW w:type="dxa" w:w="4968"/>
          </w:tcPr>
          <w:p>
            <w:r>
              <w:t>Merchant360 Connector</w:t>
            </w:r>
          </w:p>
        </w:tc>
        <w:tc>
          <w:tcPr>
            <w:tcW w:type="dxa" w:w="4968"/>
          </w:tcPr>
          <w:p>
            <w:r>
              <w:t>Contracts and idempotent update callbacks / commands so Merchant360 stays supplier-agnostic.</w:t>
            </w:r>
          </w:p>
        </w:tc>
      </w:tr>
    </w:tbl>
    <w:p/>
    <w:p>
      <w:pPr>
        <w:pStyle w:val="Heading1"/>
      </w:pPr>
      <w:r>
        <w:t>5. Data model Claude should establish now</w:t>
      </w:r>
    </w:p>
    <w:p>
      <w:r>
        <w:t>At minimum, establish these tables or equivalent aggregates. The exact names can vary, but the responsibilities should not.</w:t>
      </w:r>
    </w:p>
    <w:p>
      <w:pPr>
        <w:pStyle w:val="ListBullet"/>
        <w:spacing w:after="40"/>
      </w:pPr>
      <w:r>
        <w:t>TradingPartner</w:t>
      </w:r>
    </w:p>
    <w:p>
      <w:pPr>
        <w:pStyle w:val="ListBullet"/>
        <w:spacing w:after="40"/>
      </w:pPr>
      <w:r>
        <w:t>DealerPartnerConnection</w:t>
      </w:r>
    </w:p>
    <w:p>
      <w:pPr>
        <w:pStyle w:val="ListBullet"/>
        <w:spacing w:after="40"/>
      </w:pPr>
      <w:r>
        <w:t>PartnerCapabilityConfiguration</w:t>
      </w:r>
    </w:p>
    <w:p>
      <w:pPr>
        <w:pStyle w:val="ListBullet"/>
        <w:spacing w:after="40"/>
      </w:pPr>
      <w:r>
        <w:t>PartnerCredentialSet</w:t>
      </w:r>
    </w:p>
    <w:p>
      <w:pPr>
        <w:pStyle w:val="ListBullet"/>
        <w:spacing w:after="40"/>
      </w:pPr>
      <w:r>
        <w:t>PartnerDocument</w:t>
      </w:r>
    </w:p>
    <w:p>
      <w:pPr>
        <w:pStyle w:val="ListBullet"/>
        <w:spacing w:after="40"/>
      </w:pPr>
      <w:r>
        <w:t>PartnerDocumentPayload</w:t>
      </w:r>
    </w:p>
    <w:p>
      <w:pPr>
        <w:pStyle w:val="ListBullet"/>
        <w:spacing w:after="40"/>
      </w:pPr>
      <w:r>
        <w:t>PartnerDocumentCorrelation</w:t>
      </w:r>
    </w:p>
    <w:p>
      <w:pPr>
        <w:pStyle w:val="ListBullet"/>
        <w:spacing w:after="40"/>
      </w:pPr>
      <w:r>
        <w:t>PartnerDocumentProcessingAttempt</w:t>
      </w:r>
    </w:p>
    <w:p>
      <w:pPr>
        <w:pStyle w:val="ListBullet"/>
        <w:spacing w:after="40"/>
      </w:pPr>
      <w:r>
        <w:t>PartnerTransportSession / TransferLog</w:t>
      </w:r>
    </w:p>
    <w:p>
      <w:pPr>
        <w:pStyle w:val="ListBullet"/>
        <w:spacing w:after="40"/>
      </w:pPr>
      <w:r>
        <w:t>InventorySnapshotHeader</w:t>
      </w:r>
    </w:p>
    <w:p>
      <w:pPr>
        <w:pStyle w:val="ListBullet"/>
        <w:spacing w:after="40"/>
      </w:pPr>
      <w:r>
        <w:t>InventorySnapshotLine</w:t>
      </w:r>
    </w:p>
    <w:p>
      <w:pPr>
        <w:pStyle w:val="ListBullet"/>
        <w:spacing w:after="40"/>
      </w:pPr>
      <w:r>
        <w:t>BackgroundJobRun</w:t>
      </w:r>
    </w:p>
    <w:p>
      <w:pPr>
        <w:pStyle w:val="ListBullet"/>
        <w:spacing w:after="40"/>
      </w:pPr>
      <w:r>
        <w:t>Merchant360SyncEvent / Outbox</w:t>
      </w:r>
    </w:p>
    <w:p>
      <w:pPr>
        <w:pStyle w:val="Heading1"/>
      </w:pPr>
      <w:r>
        <w:t>6. Specific mapping guidance for SPR Phase 1</w:t>
      </w:r>
    </w:p>
    <w:p>
      <w:r>
        <w:t>Claude should follow these implementation rules when building the SPR adapter layer.</w:t>
      </w:r>
    </w:p>
    <w:p>
      <w:pPr>
        <w:pStyle w:val="ListBullet"/>
        <w:spacing w:after="40"/>
      </w:pPr>
      <w:r>
        <w:t>Do not expose SPR XML models directly to Merchant360. Always map through canonical PartnerConnect models.</w:t>
      </w:r>
    </w:p>
    <w:p>
      <w:pPr>
        <w:pStyle w:val="ListBullet"/>
        <w:spacing w:after="40"/>
      </w:pPr>
      <w:r>
        <w:t>Support multiple order types from the XML PO specification, especially regular order, Wrap &amp; Label, and Drop Ship.</w:t>
      </w:r>
    </w:p>
    <w:p>
      <w:pPr>
        <w:pStyle w:val="ListBullet"/>
        <w:spacing w:after="40"/>
      </w:pPr>
      <w:r>
        <w:t>Preserve line-level substitution, backorder, partial shipment, and UOM options from the outbound PO model.</w:t>
      </w:r>
    </w:p>
    <w:p>
      <w:pPr>
        <w:pStyle w:val="ListBullet"/>
        <w:spacing w:after="40"/>
      </w:pPr>
      <w:r>
        <w:t>Preserve line-level acknowledgement codes and descriptions from POACK, even after mapping to normalized internal statuses.</w:t>
      </w:r>
    </w:p>
    <w:p>
      <w:pPr>
        <w:pStyle w:val="ListBullet"/>
        <w:spacing w:after="40"/>
      </w:pPr>
      <w:r>
        <w:t>Treat EZASNS as a shipment / manifest document, not as a simple shipment flag. The parser must handle order summary, lines, cartons, and tracking data.</w:t>
      </w:r>
    </w:p>
    <w:p>
      <w:pPr>
        <w:pStyle w:val="ListBullet"/>
        <w:spacing w:after="40"/>
      </w:pPr>
      <w:r>
        <w:t>Treat the daily DC inventory file as a full refresh source rather than an incremental delta source.</w:t>
      </w:r>
    </w:p>
    <w:p>
      <w:pPr>
        <w:pStyle w:val="ListBullet"/>
        <w:spacing w:after="40"/>
      </w:pPr>
      <w:r>
        <w:t>Build SOAP services behind interfaces so they can be enabled per dealer / per partner configuration later.</w:t>
      </w:r>
    </w:p>
    <w:p>
      <w:pPr>
        <w:pStyle w:val="Heading1"/>
      </w:pPr>
      <w:r>
        <w:t>7. Acceptance criteria for Claude’s first build pass</w:t>
      </w:r>
    </w:p>
    <w:p>
      <w:pPr>
        <w:pStyle w:val="ListBullet"/>
        <w:spacing w:after="40"/>
      </w:pPr>
      <w:r>
        <w:t>Solution builds cleanly and all new projects restore successfully.</w:t>
      </w:r>
    </w:p>
    <w:p>
      <w:pPr>
        <w:pStyle w:val="ListBullet"/>
        <w:spacing w:after="40"/>
      </w:pPr>
      <w:r>
        <w:t>A canonical purchase order can be converted into valid SPR XML PO and validated against the provided XSD.</w:t>
      </w:r>
    </w:p>
    <w:p>
      <w:pPr>
        <w:pStyle w:val="ListBullet"/>
        <w:spacing w:after="40"/>
      </w:pPr>
      <w:r>
        <w:t>A sample POACK file can be parsed into canonical acknowledgment data.</w:t>
      </w:r>
    </w:p>
    <w:p>
      <w:pPr>
        <w:pStyle w:val="ListBullet"/>
        <w:spacing w:after="40"/>
      </w:pPr>
      <w:r>
        <w:t>A sample EZASNS file can be parsed into canonical shipment and carton data.</w:t>
      </w:r>
    </w:p>
    <w:p>
      <w:pPr>
        <w:pStyle w:val="ListBullet"/>
        <w:spacing w:after="40"/>
      </w:pPr>
      <w:r>
        <w:t>A sample inventory XML file can be loaded into the inventory snapshot model.</w:t>
      </w:r>
    </w:p>
    <w:p>
      <w:pPr>
        <w:pStyle w:val="ListBullet"/>
        <w:spacing w:after="40"/>
      </w:pPr>
      <w:r>
        <w:t>Every document is stored in raw form and has a processing status.</w:t>
      </w:r>
    </w:p>
    <w:p>
      <w:pPr>
        <w:pStyle w:val="ListBullet"/>
        <w:spacing w:after="40"/>
      </w:pPr>
      <w:r>
        <w:t>The system supports correlation from Merchant360 order → outbound PO → inbound POACK / shipment / inventory update.</w:t>
      </w:r>
    </w:p>
    <w:p>
      <w:pPr>
        <w:pStyle w:val="ListBullet"/>
        <w:spacing w:after="40"/>
      </w:pPr>
      <w:r>
        <w:t>Background workers can be run locally in development with placeholder configuration.</w:t>
      </w:r>
    </w:p>
    <w:p>
      <w:pPr>
        <w:pStyle w:val="ListBullet"/>
        <w:spacing w:after="40"/>
      </w:pPr>
      <w:r>
        <w:t>Unit tests exist for the primary XML mapping/parsing behaviors.</w:t>
      </w:r>
    </w:p>
    <w:p>
      <w:pPr>
        <w:pStyle w:val="Heading1"/>
      </w:pPr>
      <w:r>
        <w:t>8. Exact prompt to give Claude</w:t>
      </w:r>
    </w:p>
    <w:p>
      <w:r>
        <w:t>Copy the following prompt into Claude to direct the build.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You are working inside the existing Vendorea.PartnerConnect solution.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Your task is to build the first usable SPR/Gemini integration slice without waiting on the remaining SPR clarification email.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Important constraints: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 Do not modify Merchant360 except for clearly isolated connector contracts if needed.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 Keep PartnerConnect decoupled from Merchant360 domain internals.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 Use the existing solution structure and same technology stack as Merchant360.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 Keep transport details configurable; do not hardcode final Gemini credentials or production hostnames.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 Build the format-driven parts now and leave environment-dependent items behind configuration or TODO markers.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Build this in order: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1. Create canonical internal models for: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PurchaseOrder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PurchaseOrderAck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ShipmentManifest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InventorySnapshot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SupplierInvoice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CreditMemo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PartnerDocument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PartnerDocumentCorrelation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PartnerDocumentProcessingAttempt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2. Add XML infrastructure: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XML serialization / deserialization helpers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XSD validation service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raw payload archival for all documents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document lifecycle statuses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3. Build outbound SPR XML PO generation: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canonical order -&gt; SPR PO mapper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XML serializer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XSD validation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unit tests using sample PO scenarios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4. Build inbound SPR XML POACK parsing: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parse XML into canonical PO acknowledgment model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map AckStatus / AckDesc into normalized internal statuses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preserve original SPR values for support and audit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5. Build inbound SPR XML EZASNS parsing: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parse manifests, sales orders, order summaries, line groups, cartons, carton items, tracking identifiers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support multiple sales orders in one file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map into canonical shipment / carton model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6. Build daily SPR inventory XML import: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parser for the XML DC inventory file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full refresh logic: zero out existing quantities, then load new file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job history and audit logging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7. Build Merchant360-facing contracts / API surface: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submit supplier order request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publish processed order acknowledgment status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publish shipment status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publish inventory refresh status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keep contracts supplier-agnostic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8. Build SOAP service scaffolding only: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interfaces and request/response DTOs for SPR services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stock check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dealer stock check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zip-code stock check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freight services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do not assume live Gemini credentials yet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9. Add operational support: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document list/detail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raw XML viewer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validation result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retry/reprocess capability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background job history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10. Persistence: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implement EF Core tables/entities for documents, correlations, processing attempts, transport logs, inventory snapshots, and job runs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Non-goals for this pass: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 final production SFTP settings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 final invoice format if still unclear from SPR response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 broad commercial admin portal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 direct storefront dependency on SPR systems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At the end: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 build and run tests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 summarize what was implemented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 list what is still blocked by SPR clarifications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 identify the next highest-value implementation step</w:t>
            </w:r>
          </w:p>
        </w:tc>
      </w:tr>
    </w:tbl>
    <w:p>
      <w:pPr>
        <w:pStyle w:val="Heading1"/>
      </w:pPr>
      <w:r>
        <w:t>9. Notes for you before you send this to Claude</w:t>
      </w:r>
    </w:p>
    <w:p>
      <w:pPr>
        <w:pStyle w:val="ListBullet"/>
        <w:spacing w:after="40"/>
      </w:pPr>
      <w:r>
        <w:t>Have Claude show its plan first, then execute.</w:t>
      </w:r>
    </w:p>
    <w:p>
      <w:pPr>
        <w:pStyle w:val="ListBullet"/>
        <w:spacing w:after="40"/>
      </w:pPr>
      <w:r>
        <w:t>Require Claude to build and test before stopping.</w:t>
      </w:r>
    </w:p>
    <w:p>
      <w:pPr>
        <w:pStyle w:val="ListBullet"/>
        <w:spacing w:after="40"/>
      </w:pPr>
      <w:r>
        <w:t>Tell Claude not to overreach into unresolved invoice-format details.</w:t>
      </w:r>
    </w:p>
    <w:p>
      <w:pPr>
        <w:pStyle w:val="ListBullet"/>
        <w:spacing w:after="40"/>
      </w:pPr>
      <w:r>
        <w:t>Tell Claude to keep any SFTP temp-file / rename behavior configurable, because SPR may confirm different handling for Gemini XML.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 Custom"/>
    <w:basedOn w:val="Title"/>
    <w:rPr>
      <w:rFonts w:ascii="Calibri" w:hAnsi="Calibri"/>
      <w:b/>
      <w:color w:val="1F4E79"/>
      <w:sz w:val="44"/>
    </w:rPr>
  </w:style>
  <w:style w:type="paragraph" w:customStyle="1" w:styleId="SubtitleCustom">
    <w:name w:val="Subtitle Custom"/>
    <w:basedOn w:val="Normal"/>
    <w:rPr>
      <w:rFonts w:ascii="Calibri" w:hAnsi="Calibri"/>
      <w:i/>
      <w:color w:val="5555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