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Vendorea EDI Platform Requirements</w:t>
      </w:r>
    </w:p>
    <w:p>
      <w:pPr>
        <w:jc w:val="center"/>
      </w:pPr>
      <w:r>
        <w:rPr>
          <w:sz w:val="22"/>
        </w:rPr>
        <w:t>Decoupled integration service for Merchant360 and future external dealers</w:t>
      </w:r>
    </w:p>
    <w:p/>
    <w:p>
      <w:pPr>
        <w:jc w:val="center"/>
      </w:pPr>
      <w:r>
        <w:rPr>
          <w:i/>
          <w:sz w:val="21"/>
        </w:rPr>
        <w:t>Prepared for Vendorea / Merchant360 planning</w:t>
      </w:r>
    </w:p>
    <w:p>
      <w:r>
        <w:br w:type="page"/>
      </w:r>
    </w:p>
    <w:p>
      <w:pPr>
        <w:pStyle w:val="Heading1"/>
      </w:pPr>
      <w:r>
        <w:t>1. Executive decision</w:t>
      </w:r>
    </w:p>
    <w:p>
      <w:pPr>
        <w:spacing w:after="80"/>
      </w:pPr>
      <w:r>
        <w:t>The EDI capability should be implemented as a separate bounded solution and deployable service, not as tightly embedded Merchant360 logic. Merchant360 will be the first client of the service. Gemini will be the first dealer onboarded through Merchant360. The design must support many Merchant360 dealers later and must also be productized as a metered external service for dealers that do not run Merchant360.</w:t>
      </w:r>
    </w:p>
    <w:tbl>
      <w:tblPr>
        <w:tblStyle w:val="TableGrid"/>
        <w:tblW w:type="auto" w:w="0"/>
        <w:jc w:val="center"/>
        <w:tblLook w:firstColumn="1" w:firstRow="1" w:lastColumn="0" w:lastRow="0" w:noHBand="0" w:noVBand="1" w:val="04A0"/>
      </w:tblPr>
      <w:tblGrid>
        <w:gridCol w:w="4968"/>
        <w:gridCol w:w="4968"/>
      </w:tblGrid>
      <w:tr>
        <w:tc>
          <w:tcPr>
            <w:tcW w:type="dxa" w:w="2880"/>
            <w:vAlign w:val="center"/>
          </w:tcPr>
          <w:p>
            <w:pPr>
              <w:spacing w:after="0"/>
            </w:pPr>
            <w:r>
              <w:rPr>
                <w:b/>
                <w:sz w:val="18"/>
              </w:rPr>
              <w:t>Decision</w:t>
            </w:r>
          </w:p>
        </w:tc>
        <w:tc>
          <w:tcPr>
            <w:tcW w:type="dxa" w:w="6768"/>
            <w:vAlign w:val="center"/>
          </w:tcPr>
          <w:p>
            <w:pPr>
              <w:spacing w:after="0"/>
            </w:pPr>
            <w:r>
              <w:rPr>
                <w:b/>
                <w:sz w:val="18"/>
              </w:rPr>
              <w:t>Recommendation</w:t>
            </w:r>
          </w:p>
        </w:tc>
      </w:tr>
      <w:tr>
        <w:tc>
          <w:tcPr>
            <w:tcW w:type="dxa" w:w="2880"/>
            <w:vAlign w:val="center"/>
          </w:tcPr>
          <w:p>
            <w:pPr>
              <w:spacing w:after="0"/>
            </w:pPr>
            <w:r>
              <w:rPr>
                <w:sz w:val="18"/>
              </w:rPr>
              <w:t>Separate solution?</w:t>
            </w:r>
          </w:p>
        </w:tc>
        <w:tc>
          <w:tcPr>
            <w:tcW w:type="dxa" w:w="6768"/>
            <w:vAlign w:val="center"/>
          </w:tcPr>
          <w:p>
            <w:pPr>
              <w:spacing w:after="0"/>
            </w:pPr>
            <w:r>
              <w:rPr>
                <w:sz w:val="18"/>
              </w:rPr>
              <w:t>Yes. Separate service boundary, separate database, separate processing workers, separate partner adapters.</w:t>
            </w:r>
          </w:p>
        </w:tc>
      </w:tr>
      <w:tr>
        <w:tc>
          <w:tcPr>
            <w:tcW w:type="dxa" w:w="2880"/>
            <w:vAlign w:val="center"/>
          </w:tcPr>
          <w:p>
            <w:pPr>
              <w:spacing w:after="0"/>
            </w:pPr>
            <w:r>
              <w:rPr>
                <w:sz w:val="18"/>
              </w:rPr>
              <w:t>Same tech stack?</w:t>
            </w:r>
          </w:p>
        </w:tc>
        <w:tc>
          <w:tcPr>
            <w:tcW w:type="dxa" w:w="6768"/>
            <w:vAlign w:val="center"/>
          </w:tcPr>
          <w:p>
            <w:pPr>
              <w:spacing w:after="0"/>
            </w:pPr>
            <w:r>
              <w:rPr>
                <w:sz w:val="18"/>
              </w:rPr>
              <w:t>Yes. ASP.NET Core, C#, SQL Server, EF Core, Azure hosting, same engineering conventions as Merchant360.</w:t>
            </w:r>
          </w:p>
        </w:tc>
      </w:tr>
      <w:tr>
        <w:tc>
          <w:tcPr>
            <w:tcW w:type="dxa" w:w="2880"/>
            <w:vAlign w:val="center"/>
          </w:tcPr>
          <w:p>
            <w:pPr>
              <w:spacing w:after="0"/>
            </w:pPr>
            <w:r>
              <w:rPr>
                <w:sz w:val="18"/>
              </w:rPr>
              <w:t>Merchant360 relationship</w:t>
            </w:r>
          </w:p>
        </w:tc>
        <w:tc>
          <w:tcPr>
            <w:tcW w:type="dxa" w:w="6768"/>
            <w:vAlign w:val="center"/>
          </w:tcPr>
          <w:p>
            <w:pPr>
              <w:spacing w:after="0"/>
            </w:pPr>
            <w:r>
              <w:rPr>
                <w:sz w:val="18"/>
              </w:rPr>
              <w:t>Merchant360 acts as the first client and sends/receives integration requests through APIs and events.</w:t>
            </w:r>
          </w:p>
        </w:tc>
      </w:tr>
      <w:tr>
        <w:tc>
          <w:tcPr>
            <w:tcW w:type="dxa" w:w="2880"/>
            <w:vAlign w:val="center"/>
          </w:tcPr>
          <w:p>
            <w:pPr>
              <w:spacing w:after="0"/>
            </w:pPr>
            <w:r>
              <w:rPr>
                <w:sz w:val="18"/>
              </w:rPr>
              <w:t>External commercialization</w:t>
            </w:r>
          </w:p>
        </w:tc>
        <w:tc>
          <w:tcPr>
            <w:tcW w:type="dxa" w:w="6768"/>
            <w:vAlign w:val="center"/>
          </w:tcPr>
          <w:p>
            <w:pPr>
              <w:spacing w:after="0"/>
            </w:pPr>
            <w:r>
              <w:rPr>
                <w:sz w:val="18"/>
              </w:rPr>
              <w:t>Built in from day one through metering, tenant isolation, partner configuration, audit, and support tooling.</w:t>
            </w:r>
          </w:p>
        </w:tc>
      </w:tr>
    </w:tbl>
    <w:p/>
    <w:p>
      <w:pPr>
        <w:pStyle w:val="Heading1"/>
      </w:pPr>
      <w:r>
        <w:t>2. Business goals</w:t>
      </w:r>
    </w:p>
    <w:p>
      <w:pPr>
        <w:spacing w:after="60"/>
        <w:ind w:left="0"/>
      </w:pPr>
      <w:r>
        <w:rPr>
          <w:b/>
        </w:rPr>
        <w:t xml:space="preserve">1. </w:t>
      </w:r>
      <w:r>
        <w:rPr>
          <w:b/>
        </w:rPr>
        <w:t>Primary goal</w:t>
      </w:r>
      <w:r>
        <w:t xml:space="preserve"> use the service with Merchant360 for Gemini and later for other Merchant360-hosted dealers.</w:t>
      </w:r>
    </w:p>
    <w:p>
      <w:pPr>
        <w:spacing w:after="60"/>
        <w:ind w:left="0"/>
      </w:pPr>
      <w:r>
        <w:rPr>
          <w:b/>
        </w:rPr>
        <w:t xml:space="preserve">2. </w:t>
      </w:r>
      <w:r>
        <w:rPr>
          <w:b/>
        </w:rPr>
        <w:t>Secondary goal</w:t>
      </w:r>
      <w:r>
        <w:t xml:space="preserve"> expose the same service as a metered dealer connectivity product for external dealers in the future.</w:t>
      </w:r>
    </w:p>
    <w:p>
      <w:pPr>
        <w:spacing w:after="60"/>
        <w:ind w:left="0"/>
      </w:pPr>
      <w:r>
        <w:rPr>
          <w:b/>
        </w:rPr>
        <w:t xml:space="preserve">3. </w:t>
      </w:r>
      <w:r>
        <w:rPr>
          <w:b/>
        </w:rPr>
        <w:t>Design goal</w:t>
      </w:r>
      <w:r>
        <w:t xml:space="preserve"> keep partner-specific logic out of Merchant360 business modules.</w:t>
      </w:r>
    </w:p>
    <w:p>
      <w:pPr>
        <w:spacing w:after="60"/>
        <w:ind w:left="0"/>
      </w:pPr>
      <w:r>
        <w:rPr>
          <w:b/>
        </w:rPr>
        <w:t xml:space="preserve">4. </w:t>
      </w:r>
      <w:r>
        <w:rPr>
          <w:b/>
        </w:rPr>
        <w:t>Operational goal</w:t>
      </w:r>
      <w:r>
        <w:t xml:space="preserve"> provide reliable document exchange, replay, monitoring, validation, and support workflows.</w:t>
      </w:r>
    </w:p>
    <w:p>
      <w:pPr>
        <w:spacing w:after="60"/>
        <w:ind w:left="0"/>
      </w:pPr>
      <w:r>
        <w:rPr>
          <w:b/>
        </w:rPr>
        <w:t xml:space="preserve">5. </w:t>
      </w:r>
      <w:r>
        <w:rPr>
          <w:b/>
        </w:rPr>
        <w:t>Commercial goal</w:t>
      </w:r>
      <w:r>
        <w:t xml:space="preserve"> support usage-based billing, partner-based pricing, and premium features such as real-time inventory and managed onboarding.</w:t>
      </w:r>
    </w:p>
    <w:p>
      <w:pPr>
        <w:pStyle w:val="Heading1"/>
      </w:pPr>
      <w:r>
        <w:t>3. Scope</w:t>
      </w:r>
    </w:p>
    <w:tbl>
      <w:tblPr>
        <w:tblStyle w:val="TableGrid"/>
        <w:tblW w:type="auto" w:w="0"/>
        <w:jc w:val="center"/>
        <w:tblLook w:firstColumn="1" w:firstRow="1" w:lastColumn="0" w:lastRow="0" w:noHBand="0" w:noVBand="1" w:val="04A0"/>
      </w:tblPr>
      <w:tblGrid>
        <w:gridCol w:w="4968"/>
        <w:gridCol w:w="4968"/>
      </w:tblGrid>
      <w:tr>
        <w:tc>
          <w:tcPr>
            <w:tcW w:type="dxa" w:w="4896"/>
            <w:vAlign w:val="center"/>
          </w:tcPr>
          <w:p>
            <w:pPr>
              <w:spacing w:after="0"/>
            </w:pPr>
            <w:r>
              <w:rPr>
                <w:b/>
                <w:sz w:val="18"/>
              </w:rPr>
              <w:t>In scope for v1</w:t>
            </w:r>
          </w:p>
        </w:tc>
        <w:tc>
          <w:tcPr>
            <w:tcW w:type="dxa" w:w="4896"/>
            <w:vAlign w:val="center"/>
          </w:tcPr>
          <w:p>
            <w:pPr>
              <w:spacing w:after="0"/>
            </w:pPr>
            <w:r>
              <w:rPr>
                <w:b/>
                <w:sz w:val="18"/>
              </w:rPr>
              <w:t>Out of scope for v1</w:t>
            </w:r>
          </w:p>
        </w:tc>
      </w:tr>
      <w:tr>
        <w:tc>
          <w:tcPr>
            <w:tcW w:type="dxa" w:w="4896"/>
            <w:vAlign w:val="center"/>
          </w:tcPr>
          <w:p>
            <w:pPr>
              <w:spacing w:after="0"/>
            </w:pPr>
            <w:r>
              <w:rPr>
                <w:sz w:val="18"/>
              </w:rPr>
              <w:t>SPR onboarding for Gemini via Merchant360</w:t>
            </w:r>
          </w:p>
        </w:tc>
        <w:tc>
          <w:tcPr>
            <w:tcW w:type="dxa" w:w="4896"/>
            <w:vAlign w:val="center"/>
          </w:tcPr>
          <w:p>
            <w:pPr>
              <w:spacing w:after="0"/>
            </w:pPr>
            <w:r>
              <w:rPr>
                <w:sz w:val="18"/>
              </w:rPr>
              <w:t>Universal support for every EDI standard and transport on day one</w:t>
            </w:r>
          </w:p>
        </w:tc>
      </w:tr>
      <w:tr>
        <w:tc>
          <w:tcPr>
            <w:tcW w:type="dxa" w:w="4896"/>
            <w:vAlign w:val="center"/>
          </w:tcPr>
          <w:p>
            <w:pPr>
              <w:spacing w:after="0"/>
            </w:pPr>
            <w:r>
              <w:rPr>
                <w:sz w:val="18"/>
              </w:rPr>
              <w:t>Price file intake and document exchange foundation</w:t>
            </w:r>
          </w:p>
        </w:tc>
        <w:tc>
          <w:tcPr>
            <w:tcW w:type="dxa" w:w="4896"/>
            <w:vAlign w:val="center"/>
          </w:tcPr>
          <w:p>
            <w:pPr>
              <w:spacing w:after="0"/>
            </w:pPr>
            <w:r>
              <w:rPr>
                <w:sz w:val="18"/>
              </w:rPr>
              <w:t>Full self-service reseller marketplace for onboarding many external dealers</w:t>
            </w:r>
          </w:p>
        </w:tc>
      </w:tr>
      <w:tr>
        <w:tc>
          <w:tcPr>
            <w:tcW w:type="dxa" w:w="4896"/>
            <w:vAlign w:val="center"/>
          </w:tcPr>
          <w:p>
            <w:pPr>
              <w:spacing w:after="0"/>
            </w:pPr>
            <w:r>
              <w:rPr>
                <w:sz w:val="18"/>
              </w:rPr>
              <w:t>850, 855, 856, 810, 997 and partner file processing</w:t>
            </w:r>
          </w:p>
        </w:tc>
        <w:tc>
          <w:tcPr>
            <w:tcW w:type="dxa" w:w="4896"/>
            <w:vAlign w:val="center"/>
          </w:tcPr>
          <w:p>
            <w:pPr>
              <w:spacing w:after="0"/>
            </w:pPr>
            <w:r>
              <w:rPr>
                <w:sz w:val="18"/>
              </w:rPr>
              <w:t>Broad support for every wholesaler before SPR is live</w:t>
            </w:r>
          </w:p>
        </w:tc>
      </w:tr>
      <w:tr>
        <w:tc>
          <w:tcPr>
            <w:tcW w:type="dxa" w:w="4896"/>
            <w:vAlign w:val="center"/>
          </w:tcPr>
          <w:p>
            <w:pPr>
              <w:spacing w:after="0"/>
            </w:pPr>
            <w:r>
              <w:rPr>
                <w:sz w:val="18"/>
              </w:rPr>
              <w:t>Partner configuration, mappings, validation, audit, retries</w:t>
            </w:r>
          </w:p>
        </w:tc>
        <w:tc>
          <w:tcPr>
            <w:tcW w:type="dxa" w:w="4896"/>
            <w:vAlign w:val="center"/>
          </w:tcPr>
          <w:p>
            <w:pPr>
              <w:spacing w:after="0"/>
            </w:pPr>
            <w:r>
              <w:rPr>
                <w:sz w:val="18"/>
              </w:rPr>
              <w:t>Highly customized customer-specific transformation UI in v1</w:t>
            </w:r>
          </w:p>
        </w:tc>
      </w:tr>
      <w:tr>
        <w:tc>
          <w:tcPr>
            <w:tcW w:type="dxa" w:w="4896"/>
            <w:vAlign w:val="center"/>
          </w:tcPr>
          <w:p>
            <w:pPr>
              <w:spacing w:after="0"/>
            </w:pPr>
            <w:r>
              <w:rPr>
                <w:sz w:val="18"/>
              </w:rPr>
              <w:t>Metering foundation and operational dashboard</w:t>
            </w:r>
          </w:p>
        </w:tc>
        <w:tc>
          <w:tcPr>
            <w:tcW w:type="dxa" w:w="4896"/>
            <w:vAlign w:val="center"/>
          </w:tcPr>
          <w:p>
            <w:pPr>
              <w:spacing w:after="0"/>
            </w:pPr>
            <w:r>
              <w:rPr>
                <w:sz w:val="18"/>
              </w:rPr>
              <w:t>Complex financial billing engine beyond metering capture</w:t>
            </w:r>
          </w:p>
        </w:tc>
      </w:tr>
    </w:tbl>
    <w:p/>
    <w:p>
      <w:pPr>
        <w:pStyle w:val="Heading1"/>
      </w:pPr>
      <w:r>
        <w:t>4. Guiding principles</w:t>
      </w:r>
    </w:p>
    <w:p>
      <w:pPr>
        <w:spacing w:after="60"/>
        <w:ind w:left="0"/>
      </w:pPr>
      <w:r>
        <w:rPr>
          <w:b/>
        </w:rPr>
        <w:t xml:space="preserve">• </w:t>
      </w:r>
      <w:r>
        <w:rPr>
          <w:b/>
        </w:rPr>
        <w:t xml:space="preserve">Decoupled by boundary: </w:t>
      </w:r>
      <w:r>
        <w:t>Merchant360 must call a clean integration API instead of embedding partner rules in order, catalog, or finance modules.</w:t>
      </w:r>
    </w:p>
    <w:p>
      <w:pPr>
        <w:spacing w:after="60"/>
        <w:ind w:left="0"/>
      </w:pPr>
      <w:r>
        <w:rPr>
          <w:b/>
        </w:rPr>
        <w:t xml:space="preserve">• </w:t>
      </w:r>
      <w:r>
        <w:rPr>
          <w:b/>
        </w:rPr>
        <w:t xml:space="preserve">Canonical model first: </w:t>
      </w:r>
      <w:r>
        <w:t>Each partner adapter must map to canonical objects such as PurchaseOrder, PriceUpdate, InventoryUpdate, ShipmentNotice, and SupplierInvoice.</w:t>
      </w:r>
    </w:p>
    <w:p>
      <w:pPr>
        <w:spacing w:after="60"/>
        <w:ind w:left="0"/>
      </w:pPr>
      <w:r>
        <w:rPr>
          <w:b/>
        </w:rPr>
        <w:t xml:space="preserve">• </w:t>
      </w:r>
      <w:r>
        <w:rPr>
          <w:b/>
        </w:rPr>
        <w:t xml:space="preserve">Partner adapters isolate variability: </w:t>
      </w:r>
      <w:r>
        <w:t>SPR-specific identifiers, files, rules, and transport details belong in adapter modules, not in shared core logic.</w:t>
      </w:r>
    </w:p>
    <w:p>
      <w:pPr>
        <w:spacing w:after="60"/>
        <w:ind w:left="0"/>
      </w:pPr>
      <w:r>
        <w:rPr>
          <w:b/>
        </w:rPr>
        <w:t xml:space="preserve">• </w:t>
      </w:r>
      <w:r>
        <w:rPr>
          <w:b/>
        </w:rPr>
        <w:t xml:space="preserve">Multi-tenant from day one: </w:t>
      </w:r>
      <w:r>
        <w:t>Gemini is only one dealer. The model must support many Merchant360 dealers and later external non-Merchant360 dealers.</w:t>
      </w:r>
    </w:p>
    <w:p>
      <w:pPr>
        <w:spacing w:after="60"/>
        <w:ind w:left="0"/>
      </w:pPr>
      <w:r>
        <w:rPr>
          <w:b/>
        </w:rPr>
        <w:t xml:space="preserve">• </w:t>
      </w:r>
      <w:r>
        <w:rPr>
          <w:b/>
        </w:rPr>
        <w:t xml:space="preserve">Operationally supportable: </w:t>
      </w:r>
      <w:r>
        <w:t>Every inbound and outbound document must be traceable, reprocessable, and supportable by operations staff.</w:t>
      </w:r>
    </w:p>
    <w:p>
      <w:pPr>
        <w:spacing w:after="60"/>
        <w:ind w:left="0"/>
      </w:pPr>
      <w:r>
        <w:rPr>
          <w:b/>
        </w:rPr>
        <w:t xml:space="preserve">• </w:t>
      </w:r>
      <w:r>
        <w:rPr>
          <w:b/>
        </w:rPr>
        <w:t xml:space="preserve">Metering by design: </w:t>
      </w:r>
      <w:r>
        <w:t>Usage records must be created for documents, lines, API calls, storage, and premium features.</w:t>
      </w:r>
    </w:p>
    <w:p>
      <w:pPr>
        <w:pStyle w:val="Heading1"/>
      </w:pPr>
      <w:r>
        <w:t>5. Solution positioning</w:t>
      </w:r>
    </w:p>
    <w:p>
      <w:pPr>
        <w:spacing w:after="80"/>
      </w:pPr>
      <w:r>
        <w:t>The service should be positioned as a reusable Vendorea connectivity product, with Merchant360 as client number one. Internally it can be referred to as the Vendorea EDI Platform or Vendorea Connect. The solution may live in the same repository family as Merchant360, but it must have its own deployable services, its own data store, and its own release cadence.</w:t>
      </w:r>
    </w:p>
    <w:p>
      <w:pPr>
        <w:pStyle w:val="Heading1"/>
      </w:pPr>
      <w:r>
        <w:t>6. Stakeholders</w:t>
      </w:r>
    </w:p>
    <w:tbl>
      <w:tblPr>
        <w:tblStyle w:val="TableGrid"/>
        <w:tblW w:type="auto" w:w="0"/>
        <w:jc w:val="center"/>
        <w:tblLook w:firstColumn="1" w:firstRow="1" w:lastColumn="0" w:lastRow="0" w:noHBand="0" w:noVBand="1" w:val="04A0"/>
      </w:tblPr>
      <w:tblGrid>
        <w:gridCol w:w="4968"/>
        <w:gridCol w:w="4968"/>
      </w:tblGrid>
      <w:tr>
        <w:tc>
          <w:tcPr>
            <w:tcW w:type="dxa" w:w="2880"/>
            <w:vAlign w:val="center"/>
          </w:tcPr>
          <w:p>
            <w:pPr>
              <w:spacing w:after="0"/>
            </w:pPr>
            <w:r>
              <w:rPr>
                <w:b/>
                <w:sz w:val="18"/>
              </w:rPr>
              <w:t>Stakeholder</w:t>
            </w:r>
          </w:p>
        </w:tc>
        <w:tc>
          <w:tcPr>
            <w:tcW w:type="dxa" w:w="6768"/>
            <w:vAlign w:val="center"/>
          </w:tcPr>
          <w:p>
            <w:pPr>
              <w:spacing w:after="0"/>
            </w:pPr>
            <w:r>
              <w:rPr>
                <w:b/>
                <w:sz w:val="18"/>
              </w:rPr>
              <w:t>Need from the platform</w:t>
            </w:r>
          </w:p>
        </w:tc>
      </w:tr>
      <w:tr>
        <w:tc>
          <w:tcPr>
            <w:tcW w:type="dxa" w:w="2880"/>
            <w:vAlign w:val="center"/>
          </w:tcPr>
          <w:p>
            <w:pPr>
              <w:spacing w:after="0"/>
            </w:pPr>
            <w:r>
              <w:rPr>
                <w:sz w:val="18"/>
              </w:rPr>
              <w:t>Merchant360 product team</w:t>
            </w:r>
          </w:p>
        </w:tc>
        <w:tc>
          <w:tcPr>
            <w:tcW w:type="dxa" w:w="6768"/>
            <w:vAlign w:val="center"/>
          </w:tcPr>
          <w:p>
            <w:pPr>
              <w:spacing w:after="0"/>
            </w:pPr>
            <w:r>
              <w:rPr>
                <w:sz w:val="18"/>
              </w:rPr>
              <w:t>Stable APIs and events for catalog, price, inventory, purchase order, shipment, and invoice integration</w:t>
            </w:r>
          </w:p>
        </w:tc>
      </w:tr>
      <w:tr>
        <w:tc>
          <w:tcPr>
            <w:tcW w:type="dxa" w:w="2880"/>
            <w:vAlign w:val="center"/>
          </w:tcPr>
          <w:p>
            <w:pPr>
              <w:spacing w:after="0"/>
            </w:pPr>
            <w:r>
              <w:rPr>
                <w:sz w:val="18"/>
              </w:rPr>
              <w:t>Gemini / future dealers</w:t>
            </w:r>
          </w:p>
        </w:tc>
        <w:tc>
          <w:tcPr>
            <w:tcW w:type="dxa" w:w="6768"/>
            <w:vAlign w:val="center"/>
          </w:tcPr>
          <w:p>
            <w:pPr>
              <w:spacing w:after="0"/>
            </w:pPr>
            <w:r>
              <w:rPr>
                <w:sz w:val="18"/>
              </w:rPr>
              <w:t>Reliable supplier connectivity without manual portal work</w:t>
            </w:r>
          </w:p>
        </w:tc>
      </w:tr>
      <w:tr>
        <w:tc>
          <w:tcPr>
            <w:tcW w:type="dxa" w:w="2880"/>
            <w:vAlign w:val="center"/>
          </w:tcPr>
          <w:p>
            <w:pPr>
              <w:spacing w:after="0"/>
            </w:pPr>
            <w:r>
              <w:rPr>
                <w:sz w:val="18"/>
              </w:rPr>
              <w:t>Vendorea support/admin team</w:t>
            </w:r>
          </w:p>
        </w:tc>
        <w:tc>
          <w:tcPr>
            <w:tcW w:type="dxa" w:w="6768"/>
            <w:vAlign w:val="center"/>
          </w:tcPr>
          <w:p>
            <w:pPr>
              <w:spacing w:after="0"/>
            </w:pPr>
            <w:r>
              <w:rPr>
                <w:sz w:val="18"/>
              </w:rPr>
              <w:t>Visibility into document lifecycle, errors, replays, and partner status</w:t>
            </w:r>
          </w:p>
        </w:tc>
      </w:tr>
      <w:tr>
        <w:tc>
          <w:tcPr>
            <w:tcW w:type="dxa" w:w="2880"/>
            <w:vAlign w:val="center"/>
          </w:tcPr>
          <w:p>
            <w:pPr>
              <w:spacing w:after="0"/>
            </w:pPr>
            <w:r>
              <w:rPr>
                <w:sz w:val="18"/>
              </w:rPr>
              <w:t>Future external dealers</w:t>
            </w:r>
          </w:p>
        </w:tc>
        <w:tc>
          <w:tcPr>
            <w:tcW w:type="dxa" w:w="6768"/>
            <w:vAlign w:val="center"/>
          </w:tcPr>
          <w:p>
            <w:pPr>
              <w:spacing w:after="0"/>
            </w:pPr>
            <w:r>
              <w:rPr>
                <w:sz w:val="18"/>
              </w:rPr>
              <w:t>A metered integration service that can be consumed without full Merchant360 adoption</w:t>
            </w:r>
          </w:p>
        </w:tc>
      </w:tr>
      <w:tr>
        <w:tc>
          <w:tcPr>
            <w:tcW w:type="dxa" w:w="2880"/>
            <w:vAlign w:val="center"/>
          </w:tcPr>
          <w:p>
            <w:pPr>
              <w:spacing w:after="0"/>
            </w:pPr>
            <w:r>
              <w:rPr>
                <w:sz w:val="18"/>
              </w:rPr>
              <w:t>Trading partners such as SPR</w:t>
            </w:r>
          </w:p>
        </w:tc>
        <w:tc>
          <w:tcPr>
            <w:tcW w:type="dxa" w:w="6768"/>
            <w:vAlign w:val="center"/>
          </w:tcPr>
          <w:p>
            <w:pPr>
              <w:spacing w:after="0"/>
            </w:pPr>
            <w:r>
              <w:rPr>
                <w:sz w:val="18"/>
              </w:rPr>
              <w:t>Predictable document formats, transport methods, duplicate protection, and operational discipline</w:t>
            </w:r>
          </w:p>
        </w:tc>
      </w:tr>
    </w:tbl>
    <w:p/>
    <w:p>
      <w:pPr>
        <w:pStyle w:val="Heading1"/>
      </w:pPr>
      <w:r>
        <w:t>7. Functional requirements</w:t>
      </w:r>
    </w:p>
    <w:p>
      <w:pPr>
        <w:pStyle w:val="Heading2"/>
      </w:pPr>
      <w:r>
        <w:t>7.1 Tenant and dealer management</w:t>
      </w:r>
    </w:p>
    <w:p>
      <w:pPr>
        <w:spacing w:after="60"/>
        <w:ind w:left="0"/>
      </w:pPr>
      <w:r>
        <w:rPr>
          <w:b/>
        </w:rPr>
        <w:t xml:space="preserve">• </w:t>
      </w:r>
      <w:r>
        <w:t>The platform shall maintain a distinct record for each dealer account that uses the service.</w:t>
      </w:r>
    </w:p>
    <w:p>
      <w:pPr>
        <w:spacing w:after="60"/>
        <w:ind w:left="0"/>
      </w:pPr>
      <w:r>
        <w:rPr>
          <w:b/>
        </w:rPr>
        <w:t xml:space="preserve">• </w:t>
      </w:r>
      <w:r>
        <w:t>The platform shall support dealers sourced from Merchant360 tenants and, later, dealers onboarded directly into the EDI service.</w:t>
      </w:r>
    </w:p>
    <w:p>
      <w:pPr>
        <w:spacing w:after="60"/>
        <w:ind w:left="0"/>
      </w:pPr>
      <w:r>
        <w:rPr>
          <w:b/>
        </w:rPr>
        <w:t xml:space="preserve">• </w:t>
      </w:r>
      <w:r>
        <w:t>The platform shall support many dealer accounts per platform environment.</w:t>
      </w:r>
    </w:p>
    <w:p>
      <w:pPr>
        <w:spacing w:after="60"/>
        <w:ind w:left="0"/>
      </w:pPr>
      <w:r>
        <w:rPr>
          <w:b/>
        </w:rPr>
        <w:t xml:space="preserve">• </w:t>
      </w:r>
      <w:r>
        <w:t>The platform shall store dealer-specific identifiers such as customer numbers, trading partner IDs, qualifiers, ship-from defaults, and support contacts.</w:t>
      </w:r>
    </w:p>
    <w:p>
      <w:pPr>
        <w:spacing w:after="60"/>
        <w:ind w:left="0"/>
      </w:pPr>
      <w:r>
        <w:rPr>
          <w:b/>
        </w:rPr>
        <w:t xml:space="preserve">• </w:t>
      </w:r>
      <w:r>
        <w:t>The platform shall support enablement flags by dealer, by partner, by document type, and by environment.</w:t>
      </w:r>
    </w:p>
    <w:p>
      <w:pPr>
        <w:pStyle w:val="Heading2"/>
      </w:pPr>
      <w:r>
        <w:t>7.2 Trading partner management</w:t>
      </w:r>
    </w:p>
    <w:p>
      <w:pPr>
        <w:spacing w:after="60"/>
        <w:ind w:left="0"/>
      </w:pPr>
      <w:r>
        <w:rPr>
          <w:b/>
        </w:rPr>
        <w:t xml:space="preserve">• </w:t>
      </w:r>
      <w:r>
        <w:t>The platform shall maintain a configuration record for each trading partner such as SPR.</w:t>
      </w:r>
    </w:p>
    <w:p>
      <w:pPr>
        <w:spacing w:after="60"/>
        <w:ind w:left="0"/>
      </w:pPr>
      <w:r>
        <w:rPr>
          <w:b/>
        </w:rPr>
        <w:t xml:space="preserve">• </w:t>
      </w:r>
      <w:r>
        <w:t>The platform shall support multiple partner accounts per dealer when required.</w:t>
      </w:r>
    </w:p>
    <w:p>
      <w:pPr>
        <w:spacing w:after="60"/>
        <w:ind w:left="0"/>
      </w:pPr>
      <w:r>
        <w:rPr>
          <w:b/>
        </w:rPr>
        <w:t xml:space="preserve">• </w:t>
      </w:r>
      <w:r>
        <w:t>The platform shall store transport settings, folder locations, identifiers, certificates or keys, expected schedules, supported documents, and validation rules.</w:t>
      </w:r>
    </w:p>
    <w:p>
      <w:pPr>
        <w:spacing w:after="60"/>
        <w:ind w:left="0"/>
      </w:pPr>
      <w:r>
        <w:rPr>
          <w:b/>
        </w:rPr>
        <w:t xml:space="preserve">• </w:t>
      </w:r>
      <w:r>
        <w:t>The platform shall support partner-specific operating modes such as test, certification, and production.</w:t>
      </w:r>
    </w:p>
    <w:p>
      <w:pPr>
        <w:spacing w:after="60"/>
        <w:ind w:left="0"/>
      </w:pPr>
      <w:r>
        <w:rPr>
          <w:b/>
        </w:rPr>
        <w:t xml:space="preserve">• </w:t>
      </w:r>
      <w:r>
        <w:t>The platform shall support future partners without redesigning Merchant360.</w:t>
      </w:r>
    </w:p>
    <w:p>
      <w:pPr>
        <w:pStyle w:val="Heading2"/>
      </w:pPr>
      <w:r>
        <w:t>7.3 Connectivity and transport</w:t>
      </w:r>
    </w:p>
    <w:p>
      <w:pPr>
        <w:spacing w:after="60"/>
        <w:ind w:left="0"/>
      </w:pPr>
      <w:r>
        <w:rPr>
          <w:b/>
        </w:rPr>
        <w:t xml:space="preserve">• </w:t>
      </w:r>
      <w:r>
        <w:t>The platform shall support SFTP in v1 and shall be extensible to AS2, API, and web service transports later.</w:t>
      </w:r>
    </w:p>
    <w:p>
      <w:pPr>
        <w:spacing w:after="60"/>
        <w:ind w:left="0"/>
      </w:pPr>
      <w:r>
        <w:rPr>
          <w:b/>
        </w:rPr>
        <w:t xml:space="preserve">• </w:t>
      </w:r>
      <w:r>
        <w:t>The platform shall support inbound file polling and outbound file delivery.</w:t>
      </w:r>
    </w:p>
    <w:p>
      <w:pPr>
        <w:spacing w:after="60"/>
        <w:ind w:left="0"/>
      </w:pPr>
      <w:r>
        <w:rPr>
          <w:b/>
        </w:rPr>
        <w:t xml:space="preserve">• </w:t>
      </w:r>
      <w:r>
        <w:t>The platform shall support per-partner transport credential rotation.</w:t>
      </w:r>
    </w:p>
    <w:p>
      <w:pPr>
        <w:spacing w:after="60"/>
        <w:ind w:left="0"/>
      </w:pPr>
      <w:r>
        <w:rPr>
          <w:b/>
        </w:rPr>
        <w:t xml:space="preserve">• </w:t>
      </w:r>
      <w:r>
        <w:t>The platform shall isolate test and production connection settings.</w:t>
      </w:r>
    </w:p>
    <w:p>
      <w:pPr>
        <w:spacing w:after="60"/>
        <w:ind w:left="0"/>
      </w:pPr>
      <w:r>
        <w:rPr>
          <w:b/>
        </w:rPr>
        <w:t xml:space="preserve">• </w:t>
      </w:r>
      <w:r>
        <w:t>The platform shall record every transport attempt, response, and failure.</w:t>
      </w:r>
    </w:p>
    <w:p>
      <w:pPr>
        <w:pStyle w:val="Heading2"/>
      </w:pPr>
      <w:r>
        <w:t>7.4 Document and file handling</w:t>
      </w:r>
    </w:p>
    <w:p>
      <w:pPr>
        <w:spacing w:after="60"/>
        <w:ind w:left="0"/>
      </w:pPr>
      <w:r>
        <w:rPr>
          <w:b/>
        </w:rPr>
        <w:t xml:space="preserve">• </w:t>
      </w:r>
      <w:r>
        <w:t>The platform shall support inbound and outbound handling for 850, 855, 856, 810, 997, and partner file feeds in v1.</w:t>
      </w:r>
    </w:p>
    <w:p>
      <w:pPr>
        <w:spacing w:after="60"/>
        <w:ind w:left="0"/>
      </w:pPr>
      <w:r>
        <w:rPr>
          <w:b/>
        </w:rPr>
        <w:t xml:space="preserve">• </w:t>
      </w:r>
      <w:r>
        <w:t>The platform shall support scheduled file imports such as price files and, later, inventory and catalog files.</w:t>
      </w:r>
    </w:p>
    <w:p>
      <w:pPr>
        <w:spacing w:after="60"/>
        <w:ind w:left="0"/>
      </w:pPr>
      <w:r>
        <w:rPr>
          <w:b/>
        </w:rPr>
        <w:t xml:space="preserve">• </w:t>
      </w:r>
      <w:r>
        <w:t>The platform shall store raw documents exactly as received or sent before transformation.</w:t>
      </w:r>
    </w:p>
    <w:p>
      <w:pPr>
        <w:spacing w:after="60"/>
        <w:ind w:left="0"/>
      </w:pPr>
      <w:r>
        <w:rPr>
          <w:b/>
        </w:rPr>
        <w:t xml:space="preserve">• </w:t>
      </w:r>
      <w:r>
        <w:t>The platform shall support replay and reprocessing without modifying the original raw payload.</w:t>
      </w:r>
    </w:p>
    <w:p>
      <w:pPr>
        <w:spacing w:after="60"/>
        <w:ind w:left="0"/>
      </w:pPr>
      <w:r>
        <w:rPr>
          <w:b/>
        </w:rPr>
        <w:t xml:space="preserve">• </w:t>
      </w:r>
      <w:r>
        <w:t>The platform shall preserve file provenance, timestamps, and source metadata.</w:t>
      </w:r>
    </w:p>
    <w:p>
      <w:pPr>
        <w:pStyle w:val="Heading2"/>
      </w:pPr>
      <w:r>
        <w:t>7.5 Mapping and transformation</w:t>
      </w:r>
    </w:p>
    <w:p>
      <w:pPr>
        <w:spacing w:after="60"/>
        <w:ind w:left="0"/>
      </w:pPr>
      <w:r>
        <w:rPr>
          <w:b/>
        </w:rPr>
        <w:t xml:space="preserve">• </w:t>
      </w:r>
      <w:r>
        <w:t>The platform shall transform partner-specific payloads into canonical internal business objects.</w:t>
      </w:r>
    </w:p>
    <w:p>
      <w:pPr>
        <w:spacing w:after="60"/>
        <w:ind w:left="0"/>
      </w:pPr>
      <w:r>
        <w:rPr>
          <w:b/>
        </w:rPr>
        <w:t xml:space="preserve">• </w:t>
      </w:r>
      <w:r>
        <w:t>The platform shall version mappings so changes can be rolled forward without corrupting prior documents.</w:t>
      </w:r>
    </w:p>
    <w:p>
      <w:pPr>
        <w:spacing w:after="60"/>
        <w:ind w:left="0"/>
      </w:pPr>
      <w:r>
        <w:rPr>
          <w:b/>
        </w:rPr>
        <w:t xml:space="preserve">• </w:t>
      </w:r>
      <w:r>
        <w:t>The platform shall support document validation before canonical conversion and before outbound generation.</w:t>
      </w:r>
    </w:p>
    <w:p>
      <w:pPr>
        <w:spacing w:after="60"/>
        <w:ind w:left="0"/>
      </w:pPr>
      <w:r>
        <w:rPr>
          <w:b/>
        </w:rPr>
        <w:t xml:space="preserve">• </w:t>
      </w:r>
      <w:r>
        <w:t>The platform shall support partner-specific code translations such as units of measure, warehouse codes, and status codes.</w:t>
      </w:r>
    </w:p>
    <w:p>
      <w:pPr>
        <w:spacing w:after="60"/>
        <w:ind w:left="0"/>
      </w:pPr>
      <w:r>
        <w:rPr>
          <w:b/>
        </w:rPr>
        <w:t xml:space="preserve">• </w:t>
      </w:r>
      <w:r>
        <w:t>The platform shall keep transformation logic in adapter modules, not in Merchant360.</w:t>
      </w:r>
    </w:p>
    <w:p>
      <w:pPr>
        <w:pStyle w:val="Heading2"/>
      </w:pPr>
      <w:r>
        <w:t>7.6 Validation and duplicate protection</w:t>
      </w:r>
    </w:p>
    <w:p>
      <w:pPr>
        <w:spacing w:after="60"/>
        <w:ind w:left="0"/>
      </w:pPr>
      <w:r>
        <w:rPr>
          <w:b/>
        </w:rPr>
        <w:t xml:space="preserve">• </w:t>
      </w:r>
      <w:r>
        <w:t>The platform shall validate mandatory fields, identifiers, quantities, units of measure, and reference integrity before outbound transmission.</w:t>
      </w:r>
    </w:p>
    <w:p>
      <w:pPr>
        <w:spacing w:after="60"/>
        <w:ind w:left="0"/>
      </w:pPr>
      <w:r>
        <w:rPr>
          <w:b/>
        </w:rPr>
        <w:t xml:space="preserve">• </w:t>
      </w:r>
      <w:r>
        <w:t>The platform shall support PO duplicate checking for outbound purchase orders.</w:t>
      </w:r>
    </w:p>
    <w:p>
      <w:pPr>
        <w:spacing w:after="60"/>
        <w:ind w:left="0"/>
      </w:pPr>
      <w:r>
        <w:rPr>
          <w:b/>
        </w:rPr>
        <w:t xml:space="preserve">• </w:t>
      </w:r>
      <w:r>
        <w:t>The platform shall support acknowledgement reconciliation for 997 where used.</w:t>
      </w:r>
    </w:p>
    <w:p>
      <w:pPr>
        <w:spacing w:after="60"/>
        <w:ind w:left="0"/>
      </w:pPr>
      <w:r>
        <w:rPr>
          <w:b/>
        </w:rPr>
        <w:t xml:space="preserve">• </w:t>
      </w:r>
      <w:r>
        <w:t>The platform shall quarantine invalid documents for operator review instead of silently dropping them.</w:t>
      </w:r>
    </w:p>
    <w:p>
      <w:pPr>
        <w:spacing w:after="60"/>
        <w:ind w:left="0"/>
      </w:pPr>
      <w:r>
        <w:rPr>
          <w:b/>
        </w:rPr>
        <w:t xml:space="preserve">• </w:t>
      </w:r>
      <w:r>
        <w:t>The platform shall produce machine-readable and human-readable error messages.</w:t>
      </w:r>
    </w:p>
    <w:p>
      <w:pPr>
        <w:pStyle w:val="Heading2"/>
      </w:pPr>
      <w:r>
        <w:t>7.7 Workflow and processing</w:t>
      </w:r>
    </w:p>
    <w:p>
      <w:pPr>
        <w:spacing w:after="60"/>
        <w:ind w:left="0"/>
      </w:pPr>
      <w:r>
        <w:rPr>
          <w:b/>
        </w:rPr>
        <w:t xml:space="preserve">• </w:t>
      </w:r>
      <w:r>
        <w:t>The platform shall process documents asynchronously through worker services.</w:t>
      </w:r>
    </w:p>
    <w:p>
      <w:pPr>
        <w:spacing w:after="60"/>
        <w:ind w:left="0"/>
      </w:pPr>
      <w:r>
        <w:rPr>
          <w:b/>
        </w:rPr>
        <w:t xml:space="preserve">• </w:t>
      </w:r>
      <w:r>
        <w:t>The platform shall maintain lifecycle states such as Received, Validated, Mapped, Queued, Sent, Acknowledged, Failed, and Reprocessed.</w:t>
      </w:r>
    </w:p>
    <w:p>
      <w:pPr>
        <w:spacing w:after="60"/>
        <w:ind w:left="0"/>
      </w:pPr>
      <w:r>
        <w:rPr>
          <w:b/>
        </w:rPr>
        <w:t xml:space="preserve">• </w:t>
      </w:r>
      <w:r>
        <w:t>The platform shall support manual retry, manual cancel, and manual resubmit actions where business-safe.</w:t>
      </w:r>
    </w:p>
    <w:p>
      <w:pPr>
        <w:spacing w:after="60"/>
        <w:ind w:left="0"/>
      </w:pPr>
      <w:r>
        <w:rPr>
          <w:b/>
        </w:rPr>
        <w:t xml:space="preserve">• </w:t>
      </w:r>
      <w:r>
        <w:t>The platform shall support dealer-level and partner-level scheduling.</w:t>
      </w:r>
    </w:p>
    <w:p>
      <w:pPr>
        <w:spacing w:after="60"/>
        <w:ind w:left="0"/>
      </w:pPr>
      <w:r>
        <w:rPr>
          <w:b/>
        </w:rPr>
        <w:t xml:space="preserve">• </w:t>
      </w:r>
      <w:r>
        <w:t>The platform shall support idempotent processing to prevent duplicates during retries.</w:t>
      </w:r>
    </w:p>
    <w:p>
      <w:pPr>
        <w:pStyle w:val="Heading2"/>
      </w:pPr>
      <w:r>
        <w:t>7.8 Merchant360 interaction</w:t>
      </w:r>
    </w:p>
    <w:p>
      <w:pPr>
        <w:spacing w:after="60"/>
        <w:ind w:left="0"/>
      </w:pPr>
      <w:r>
        <w:rPr>
          <w:b/>
        </w:rPr>
        <w:t xml:space="preserve">• </w:t>
      </w:r>
      <w:r>
        <w:t>Merchant360 shall not write partner payloads directly.</w:t>
      </w:r>
    </w:p>
    <w:p>
      <w:pPr>
        <w:spacing w:after="60"/>
        <w:ind w:left="0"/>
      </w:pPr>
      <w:r>
        <w:rPr>
          <w:b/>
        </w:rPr>
        <w:t xml:space="preserve">• </w:t>
      </w:r>
      <w:r>
        <w:t>Merchant360 shall call the EDI platform through internal APIs and/or event contracts using canonical request models.</w:t>
      </w:r>
    </w:p>
    <w:p>
      <w:pPr>
        <w:spacing w:after="60"/>
        <w:ind w:left="0"/>
      </w:pPr>
      <w:r>
        <w:rPr>
          <w:b/>
        </w:rPr>
        <w:t xml:space="preserve">• </w:t>
      </w:r>
      <w:r>
        <w:t>Merchant360 shall send dealer context with every request, including TenantId and DealerAccountId.</w:t>
      </w:r>
    </w:p>
    <w:p>
      <w:pPr>
        <w:spacing w:after="60"/>
        <w:ind w:left="0"/>
      </w:pPr>
      <w:r>
        <w:rPr>
          <w:b/>
        </w:rPr>
        <w:t xml:space="preserve">• </w:t>
      </w:r>
      <w:r>
        <w:t>Merchant360 shall receive normalized statuses, acknowledgements, shipments, invoices, and errors from the EDI platform.</w:t>
      </w:r>
    </w:p>
    <w:p>
      <w:pPr>
        <w:spacing w:after="60"/>
        <w:ind w:left="0"/>
      </w:pPr>
      <w:r>
        <w:rPr>
          <w:b/>
        </w:rPr>
        <w:t xml:space="preserve">• </w:t>
      </w:r>
      <w:r>
        <w:t>Merchant360 shall remain the system of engagement for dealer workflows, while the EDI platform remains the system of connectivity and document orchestration.</w:t>
      </w:r>
    </w:p>
    <w:p>
      <w:pPr>
        <w:pStyle w:val="Heading2"/>
      </w:pPr>
      <w:r>
        <w:t>7.9 External dealer service readiness</w:t>
      </w:r>
    </w:p>
    <w:p>
      <w:pPr>
        <w:spacing w:after="60"/>
        <w:ind w:left="0"/>
      </w:pPr>
      <w:r>
        <w:rPr>
          <w:b/>
        </w:rPr>
        <w:t xml:space="preserve">• </w:t>
      </w:r>
      <w:r>
        <w:t>The platform shall support onboarding a dealer without requiring Merchant360 in the future.</w:t>
      </w:r>
    </w:p>
    <w:p>
      <w:pPr>
        <w:spacing w:after="60"/>
        <w:ind w:left="0"/>
      </w:pPr>
      <w:r>
        <w:rPr>
          <w:b/>
        </w:rPr>
        <w:t xml:space="preserve">• </w:t>
      </w:r>
      <w:r>
        <w:t>The platform shall expose externally consumable APIs with API keys or OAuth client credentials later.</w:t>
      </w:r>
    </w:p>
    <w:p>
      <w:pPr>
        <w:spacing w:after="60"/>
        <w:ind w:left="0"/>
      </w:pPr>
      <w:r>
        <w:rPr>
          <w:b/>
        </w:rPr>
        <w:t xml:space="preserve">• </w:t>
      </w:r>
      <w:r>
        <w:t>The platform shall support usage metering per dealer, per trading partner, and per document type.</w:t>
      </w:r>
    </w:p>
    <w:p>
      <w:pPr>
        <w:spacing w:after="60"/>
        <w:ind w:left="0"/>
      </w:pPr>
      <w:r>
        <w:rPr>
          <w:b/>
        </w:rPr>
        <w:t xml:space="preserve">• </w:t>
      </w:r>
      <w:r>
        <w:t>The platform shall support a future external operations portal without changing core processing flows.</w:t>
      </w:r>
    </w:p>
    <w:p>
      <w:pPr>
        <w:pStyle w:val="Heading2"/>
      </w:pPr>
      <w:r>
        <w:t>7.10 Metering and commercial controls</w:t>
      </w:r>
    </w:p>
    <w:p>
      <w:pPr>
        <w:spacing w:after="60"/>
        <w:ind w:left="0"/>
      </w:pPr>
      <w:r>
        <w:rPr>
          <w:b/>
        </w:rPr>
        <w:t xml:space="preserve">• </w:t>
      </w:r>
      <w:r>
        <w:t>The platform shall meter inbound documents, outbound documents, document lines, API calls, storage usage, and premium feature usage.</w:t>
      </w:r>
    </w:p>
    <w:p>
      <w:pPr>
        <w:spacing w:after="60"/>
        <w:ind w:left="0"/>
      </w:pPr>
      <w:r>
        <w:rPr>
          <w:b/>
        </w:rPr>
        <w:t xml:space="preserve">• </w:t>
      </w:r>
      <w:r>
        <w:t>The platform shall support dealer plan definitions and partner add-ons.</w:t>
      </w:r>
    </w:p>
    <w:p>
      <w:pPr>
        <w:spacing w:after="60"/>
        <w:ind w:left="0"/>
      </w:pPr>
      <w:r>
        <w:rPr>
          <w:b/>
        </w:rPr>
        <w:t xml:space="preserve">• </w:t>
      </w:r>
      <w:r>
        <w:t>The platform shall support soft and hard limits for metered usage.</w:t>
      </w:r>
    </w:p>
    <w:p>
      <w:pPr>
        <w:spacing w:after="60"/>
        <w:ind w:left="0"/>
      </w:pPr>
      <w:r>
        <w:rPr>
          <w:b/>
        </w:rPr>
        <w:t xml:space="preserve">• </w:t>
      </w:r>
      <w:r>
        <w:t>The platform shall maintain immutable metering records for billing and support review.</w:t>
      </w:r>
    </w:p>
    <w:p>
      <w:pPr>
        <w:pStyle w:val="Heading2"/>
      </w:pPr>
      <w:r>
        <w:t>7.11 Administration and support</w:t>
      </w:r>
    </w:p>
    <w:p>
      <w:pPr>
        <w:spacing w:after="60"/>
        <w:ind w:left="0"/>
      </w:pPr>
      <w:r>
        <w:rPr>
          <w:b/>
        </w:rPr>
        <w:t xml:space="preserve">• </w:t>
      </w:r>
      <w:r>
        <w:t>The platform shall provide operational views for dealer configuration, partner connectivity, document queues, failures, retries, and audit history.</w:t>
      </w:r>
    </w:p>
    <w:p>
      <w:pPr>
        <w:spacing w:after="60"/>
        <w:ind w:left="0"/>
      </w:pPr>
      <w:r>
        <w:rPr>
          <w:b/>
        </w:rPr>
        <w:t xml:space="preserve">• </w:t>
      </w:r>
      <w:r>
        <w:t>The platform shall provide searchable document history by dealer, partner, document type, reference number, and date range.</w:t>
      </w:r>
    </w:p>
    <w:p>
      <w:pPr>
        <w:spacing w:after="60"/>
        <w:ind w:left="0"/>
      </w:pPr>
      <w:r>
        <w:rPr>
          <w:b/>
        </w:rPr>
        <w:t xml:space="preserve">• </w:t>
      </w:r>
      <w:r>
        <w:t>The platform shall support download of original payloads and transformed payloads for troubleshooting.</w:t>
      </w:r>
    </w:p>
    <w:p>
      <w:pPr>
        <w:spacing w:after="60"/>
        <w:ind w:left="0"/>
      </w:pPr>
      <w:r>
        <w:rPr>
          <w:b/>
        </w:rPr>
        <w:t xml:space="preserve">• </w:t>
      </w:r>
      <w:r>
        <w:t>The platform shall support role-based access for platform admins, support analysts, and dealer admins.</w:t>
      </w:r>
    </w:p>
    <w:p>
      <w:pPr>
        <w:pStyle w:val="Heading2"/>
      </w:pPr>
      <w:r>
        <w:t>7.12 Security and compliance</w:t>
      </w:r>
    </w:p>
    <w:p>
      <w:pPr>
        <w:spacing w:after="60"/>
        <w:ind w:left="0"/>
      </w:pPr>
      <w:r>
        <w:rPr>
          <w:b/>
        </w:rPr>
        <w:t xml:space="preserve">• </w:t>
      </w:r>
      <w:r>
        <w:t>The platform shall encrypt credentials and sensitive partner settings at rest.</w:t>
      </w:r>
    </w:p>
    <w:p>
      <w:pPr>
        <w:spacing w:after="60"/>
        <w:ind w:left="0"/>
      </w:pPr>
      <w:r>
        <w:rPr>
          <w:b/>
        </w:rPr>
        <w:t xml:space="preserve">• </w:t>
      </w:r>
      <w:r>
        <w:t>The platform shall support secure secrets storage and rotation.</w:t>
      </w:r>
    </w:p>
    <w:p>
      <w:pPr>
        <w:spacing w:after="60"/>
        <w:ind w:left="0"/>
      </w:pPr>
      <w:r>
        <w:rPr>
          <w:b/>
        </w:rPr>
        <w:t xml:space="preserve">• </w:t>
      </w:r>
      <w:r>
        <w:t>The platform shall maintain audit logs for configuration changes and operational actions.</w:t>
      </w:r>
    </w:p>
    <w:p>
      <w:pPr>
        <w:spacing w:after="60"/>
        <w:ind w:left="0"/>
      </w:pPr>
      <w:r>
        <w:rPr>
          <w:b/>
        </w:rPr>
        <w:t xml:space="preserve">• </w:t>
      </w:r>
      <w:r>
        <w:t>The platform shall enforce tenant isolation between dealers.</w:t>
      </w:r>
    </w:p>
    <w:p>
      <w:pPr>
        <w:spacing w:after="60"/>
        <w:ind w:left="0"/>
      </w:pPr>
      <w:r>
        <w:rPr>
          <w:b/>
        </w:rPr>
        <w:t xml:space="preserve">• </w:t>
      </w:r>
      <w:r>
        <w:t>The platform shall support retention policies for raw documents, logs, and metering data.</w:t>
      </w:r>
    </w:p>
    <w:p>
      <w:pPr>
        <w:pStyle w:val="Heading1"/>
      </w:pPr>
      <w:r>
        <w:t>8. Decoupling requirements</w:t>
      </w:r>
    </w:p>
    <w:tbl>
      <w:tblPr>
        <w:tblStyle w:val="TableGrid"/>
        <w:tblW w:type="auto" w:w="0"/>
        <w:jc w:val="center"/>
        <w:tblLook w:firstColumn="1" w:firstRow="1" w:lastColumn="0" w:lastRow="0" w:noHBand="0" w:noVBand="1" w:val="04A0"/>
      </w:tblPr>
      <w:tblGrid>
        <w:gridCol w:w="4968"/>
        <w:gridCol w:w="4968"/>
      </w:tblGrid>
      <w:tr>
        <w:tc>
          <w:tcPr>
            <w:tcW w:type="dxa" w:w="3168"/>
            <w:vAlign w:val="center"/>
          </w:tcPr>
          <w:p>
            <w:pPr>
              <w:spacing w:after="0"/>
            </w:pPr>
            <w:r>
              <w:rPr>
                <w:b/>
                <w:sz w:val="18"/>
              </w:rPr>
              <w:t>Requirement</w:t>
            </w:r>
          </w:p>
        </w:tc>
        <w:tc>
          <w:tcPr>
            <w:tcW w:type="dxa" w:w="6480"/>
            <w:vAlign w:val="center"/>
          </w:tcPr>
          <w:p>
            <w:pPr>
              <w:spacing w:after="0"/>
            </w:pPr>
            <w:r>
              <w:rPr>
                <w:b/>
                <w:sz w:val="18"/>
              </w:rPr>
              <w:t>Expected behavior</w:t>
            </w:r>
          </w:p>
        </w:tc>
      </w:tr>
      <w:tr>
        <w:tc>
          <w:tcPr>
            <w:tcW w:type="dxa" w:w="3168"/>
            <w:vAlign w:val="center"/>
          </w:tcPr>
          <w:p>
            <w:pPr>
              <w:spacing w:after="0"/>
            </w:pPr>
            <w:r>
              <w:rPr>
                <w:sz w:val="18"/>
              </w:rPr>
              <w:t>Separate database</w:t>
            </w:r>
          </w:p>
        </w:tc>
        <w:tc>
          <w:tcPr>
            <w:tcW w:type="dxa" w:w="6480"/>
            <w:vAlign w:val="center"/>
          </w:tcPr>
          <w:p>
            <w:pPr>
              <w:spacing w:after="0"/>
            </w:pPr>
            <w:r>
              <w:rPr>
                <w:sz w:val="18"/>
              </w:rPr>
              <w:t>The EDI platform shall have its own operational database. Merchant360 must not own partner transport state or document lifecycle tables.</w:t>
            </w:r>
          </w:p>
        </w:tc>
      </w:tr>
      <w:tr>
        <w:tc>
          <w:tcPr>
            <w:tcW w:type="dxa" w:w="3168"/>
            <w:vAlign w:val="center"/>
          </w:tcPr>
          <w:p>
            <w:pPr>
              <w:spacing w:after="0"/>
            </w:pPr>
            <w:r>
              <w:rPr>
                <w:sz w:val="18"/>
              </w:rPr>
              <w:t>Separate workers</w:t>
            </w:r>
          </w:p>
        </w:tc>
        <w:tc>
          <w:tcPr>
            <w:tcW w:type="dxa" w:w="6480"/>
            <w:vAlign w:val="center"/>
          </w:tcPr>
          <w:p>
            <w:pPr>
              <w:spacing w:after="0"/>
            </w:pPr>
            <w:r>
              <w:rPr>
                <w:sz w:val="18"/>
              </w:rPr>
              <w:t>Polling, mapping, validation, and transmission jobs shall run in dedicated EDI worker services.</w:t>
            </w:r>
          </w:p>
        </w:tc>
      </w:tr>
      <w:tr>
        <w:tc>
          <w:tcPr>
            <w:tcW w:type="dxa" w:w="3168"/>
            <w:vAlign w:val="center"/>
          </w:tcPr>
          <w:p>
            <w:pPr>
              <w:spacing w:after="0"/>
            </w:pPr>
            <w:r>
              <w:rPr>
                <w:sz w:val="18"/>
              </w:rPr>
              <w:t>Separate deployment</w:t>
            </w:r>
          </w:p>
        </w:tc>
        <w:tc>
          <w:tcPr>
            <w:tcW w:type="dxa" w:w="6480"/>
            <w:vAlign w:val="center"/>
          </w:tcPr>
          <w:p>
            <w:pPr>
              <w:spacing w:after="0"/>
            </w:pPr>
            <w:r>
              <w:rPr>
                <w:sz w:val="18"/>
              </w:rPr>
              <w:t>The EDI platform shall be deployable independently from Merchant360 releases.</w:t>
            </w:r>
          </w:p>
        </w:tc>
      </w:tr>
      <w:tr>
        <w:tc>
          <w:tcPr>
            <w:tcW w:type="dxa" w:w="3168"/>
            <w:vAlign w:val="center"/>
          </w:tcPr>
          <w:p>
            <w:pPr>
              <w:spacing w:after="0"/>
            </w:pPr>
            <w:r>
              <w:rPr>
                <w:sz w:val="18"/>
              </w:rPr>
              <w:t>Shared contracts only</w:t>
            </w:r>
          </w:p>
        </w:tc>
        <w:tc>
          <w:tcPr>
            <w:tcW w:type="dxa" w:w="6480"/>
            <w:vAlign w:val="center"/>
          </w:tcPr>
          <w:p>
            <w:pPr>
              <w:spacing w:after="0"/>
            </w:pPr>
            <w:r>
              <w:rPr>
                <w:sz w:val="18"/>
              </w:rPr>
              <w:t>Interaction with Merchant360 shall occur through documented APIs, events, and shared contracts packages.</w:t>
            </w:r>
          </w:p>
        </w:tc>
      </w:tr>
      <w:tr>
        <w:tc>
          <w:tcPr>
            <w:tcW w:type="dxa" w:w="3168"/>
            <w:vAlign w:val="center"/>
          </w:tcPr>
          <w:p>
            <w:pPr>
              <w:spacing w:after="0"/>
            </w:pPr>
            <w:r>
              <w:rPr>
                <w:sz w:val="18"/>
              </w:rPr>
              <w:t>No direct partner logic in Merchant360</w:t>
            </w:r>
          </w:p>
        </w:tc>
        <w:tc>
          <w:tcPr>
            <w:tcW w:type="dxa" w:w="6480"/>
            <w:vAlign w:val="center"/>
          </w:tcPr>
          <w:p>
            <w:pPr>
              <w:spacing w:after="0"/>
            </w:pPr>
            <w:r>
              <w:rPr>
                <w:sz w:val="18"/>
              </w:rPr>
              <w:t>Merchant360 shall not parse X12, SFTP files, or partner-specific codes directly.</w:t>
            </w:r>
          </w:p>
        </w:tc>
      </w:tr>
      <w:tr>
        <w:tc>
          <w:tcPr>
            <w:tcW w:type="dxa" w:w="3168"/>
            <w:vAlign w:val="center"/>
          </w:tcPr>
          <w:p>
            <w:pPr>
              <w:spacing w:after="0"/>
            </w:pPr>
            <w:r>
              <w:rPr>
                <w:sz w:val="18"/>
              </w:rPr>
              <w:t>Independent commercialization</w:t>
            </w:r>
          </w:p>
        </w:tc>
        <w:tc>
          <w:tcPr>
            <w:tcW w:type="dxa" w:w="6480"/>
            <w:vAlign w:val="center"/>
          </w:tcPr>
          <w:p>
            <w:pPr>
              <w:spacing w:after="0"/>
            </w:pPr>
            <w:r>
              <w:rPr>
                <w:sz w:val="18"/>
              </w:rPr>
              <w:t>The EDI platform shall be capable of serving non-Merchant360 dealers later.</w:t>
            </w:r>
          </w:p>
        </w:tc>
      </w:tr>
    </w:tbl>
    <w:p/>
    <w:p>
      <w:pPr>
        <w:pStyle w:val="Heading1"/>
      </w:pPr>
      <w:r>
        <w:t>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160"/>
            <w:vAlign w:val="center"/>
          </w:tcPr>
          <w:p>
            <w:pPr>
              <w:spacing w:after="0"/>
            </w:pPr>
            <w:r>
              <w:rPr>
                <w:b/>
                <w:sz w:val="18"/>
              </w:rPr>
              <w:t>Category</w:t>
            </w:r>
          </w:p>
        </w:tc>
        <w:tc>
          <w:tcPr>
            <w:tcW w:type="dxa" w:w="7488"/>
            <w:vAlign w:val="center"/>
          </w:tcPr>
          <w:p>
            <w:pPr>
              <w:spacing w:after="0"/>
            </w:pPr>
            <w:r>
              <w:rPr>
                <w:b/>
                <w:sz w:val="18"/>
              </w:rPr>
              <w:t>Requirement</w:t>
            </w:r>
          </w:p>
        </w:tc>
      </w:tr>
      <w:tr>
        <w:tc>
          <w:tcPr>
            <w:tcW w:type="dxa" w:w="2160"/>
            <w:vAlign w:val="center"/>
          </w:tcPr>
          <w:p>
            <w:pPr>
              <w:spacing w:after="0"/>
            </w:pPr>
            <w:r>
              <w:rPr>
                <w:sz w:val="18"/>
              </w:rPr>
              <w:t>Availability</w:t>
            </w:r>
          </w:p>
        </w:tc>
        <w:tc>
          <w:tcPr>
            <w:tcW w:type="dxa" w:w="7488"/>
            <w:vAlign w:val="center"/>
          </w:tcPr>
          <w:p>
            <w:pPr>
              <w:spacing w:after="0"/>
            </w:pPr>
            <w:r>
              <w:rPr>
                <w:sz w:val="18"/>
              </w:rPr>
              <w:t>Core APIs and workers shall support business-hour reliability and queued recovery outside partner windows.</w:t>
            </w:r>
          </w:p>
        </w:tc>
      </w:tr>
      <w:tr>
        <w:tc>
          <w:tcPr>
            <w:tcW w:type="dxa" w:w="2160"/>
            <w:vAlign w:val="center"/>
          </w:tcPr>
          <w:p>
            <w:pPr>
              <w:spacing w:after="0"/>
            </w:pPr>
            <w:r>
              <w:rPr>
                <w:sz w:val="18"/>
              </w:rPr>
              <w:t>Scalability</w:t>
            </w:r>
          </w:p>
        </w:tc>
        <w:tc>
          <w:tcPr>
            <w:tcW w:type="dxa" w:w="7488"/>
            <w:vAlign w:val="center"/>
          </w:tcPr>
          <w:p>
            <w:pPr>
              <w:spacing w:after="0"/>
            </w:pPr>
            <w:r>
              <w:rPr>
                <w:sz w:val="18"/>
              </w:rPr>
              <w:t>The design shall support many dealers, many partners, and high document volumes without redesign.</w:t>
            </w:r>
          </w:p>
        </w:tc>
      </w:tr>
      <w:tr>
        <w:tc>
          <w:tcPr>
            <w:tcW w:type="dxa" w:w="2160"/>
            <w:vAlign w:val="center"/>
          </w:tcPr>
          <w:p>
            <w:pPr>
              <w:spacing w:after="0"/>
            </w:pPr>
            <w:r>
              <w:rPr>
                <w:sz w:val="18"/>
              </w:rPr>
              <w:t>Performance</w:t>
            </w:r>
          </w:p>
        </w:tc>
        <w:tc>
          <w:tcPr>
            <w:tcW w:type="dxa" w:w="7488"/>
            <w:vAlign w:val="center"/>
          </w:tcPr>
          <w:p>
            <w:pPr>
              <w:spacing w:after="0"/>
            </w:pPr>
            <w:r>
              <w:rPr>
                <w:sz w:val="18"/>
              </w:rPr>
              <w:t>Outbound order submissions and inbound file processing shall be asynchronous and horizontally scalable.</w:t>
            </w:r>
          </w:p>
        </w:tc>
      </w:tr>
      <w:tr>
        <w:tc>
          <w:tcPr>
            <w:tcW w:type="dxa" w:w="2160"/>
            <w:vAlign w:val="center"/>
          </w:tcPr>
          <w:p>
            <w:pPr>
              <w:spacing w:after="0"/>
            </w:pPr>
            <w:r>
              <w:rPr>
                <w:sz w:val="18"/>
              </w:rPr>
              <w:t>Observability</w:t>
            </w:r>
          </w:p>
        </w:tc>
        <w:tc>
          <w:tcPr>
            <w:tcW w:type="dxa" w:w="7488"/>
            <w:vAlign w:val="center"/>
          </w:tcPr>
          <w:p>
            <w:pPr>
              <w:spacing w:after="0"/>
            </w:pPr>
            <w:r>
              <w:rPr>
                <w:sz w:val="18"/>
              </w:rPr>
              <w:t>Structured logs, correlation IDs, metrics, queue depth, partner health, and failure alerts are required.</w:t>
            </w:r>
          </w:p>
        </w:tc>
      </w:tr>
      <w:tr>
        <w:tc>
          <w:tcPr>
            <w:tcW w:type="dxa" w:w="2160"/>
            <w:vAlign w:val="center"/>
          </w:tcPr>
          <w:p>
            <w:pPr>
              <w:spacing w:after="0"/>
            </w:pPr>
            <w:r>
              <w:rPr>
                <w:sz w:val="18"/>
              </w:rPr>
              <w:t>Recoverability</w:t>
            </w:r>
          </w:p>
        </w:tc>
        <w:tc>
          <w:tcPr>
            <w:tcW w:type="dxa" w:w="7488"/>
            <w:vAlign w:val="center"/>
          </w:tcPr>
          <w:p>
            <w:pPr>
              <w:spacing w:after="0"/>
            </w:pPr>
            <w:r>
              <w:rPr>
                <w:sz w:val="18"/>
              </w:rPr>
              <w:t>Operators shall be able to replay and reprocess documents safely.</w:t>
            </w:r>
          </w:p>
        </w:tc>
      </w:tr>
      <w:tr>
        <w:tc>
          <w:tcPr>
            <w:tcW w:type="dxa" w:w="2160"/>
            <w:vAlign w:val="center"/>
          </w:tcPr>
          <w:p>
            <w:pPr>
              <w:spacing w:after="0"/>
            </w:pPr>
            <w:r>
              <w:rPr>
                <w:sz w:val="18"/>
              </w:rPr>
              <w:t>Maintainability</w:t>
            </w:r>
          </w:p>
        </w:tc>
        <w:tc>
          <w:tcPr>
            <w:tcW w:type="dxa" w:w="7488"/>
            <w:vAlign w:val="center"/>
          </w:tcPr>
          <w:p>
            <w:pPr>
              <w:spacing w:after="0"/>
            </w:pPr>
            <w:r>
              <w:rPr>
                <w:sz w:val="18"/>
              </w:rPr>
              <w:t>Partner adapters shall be independently testable and independently releasable.</w:t>
            </w:r>
          </w:p>
        </w:tc>
      </w:tr>
      <w:tr>
        <w:tc>
          <w:tcPr>
            <w:tcW w:type="dxa" w:w="2160"/>
            <w:vAlign w:val="center"/>
          </w:tcPr>
          <w:p>
            <w:pPr>
              <w:spacing w:after="0"/>
            </w:pPr>
            <w:r>
              <w:rPr>
                <w:sz w:val="18"/>
              </w:rPr>
              <w:t>Security</w:t>
            </w:r>
          </w:p>
        </w:tc>
        <w:tc>
          <w:tcPr>
            <w:tcW w:type="dxa" w:w="7488"/>
            <w:vAlign w:val="center"/>
          </w:tcPr>
          <w:p>
            <w:pPr>
              <w:spacing w:after="0"/>
            </w:pPr>
            <w:r>
              <w:rPr>
                <w:sz w:val="18"/>
              </w:rPr>
              <w:t>Credentials, certificates, and sensitive payload data shall be protected according to enterprise security practices.</w:t>
            </w:r>
          </w:p>
        </w:tc>
      </w:tr>
      <w:tr>
        <w:tc>
          <w:tcPr>
            <w:tcW w:type="dxa" w:w="2160"/>
            <w:vAlign w:val="center"/>
          </w:tcPr>
          <w:p>
            <w:pPr>
              <w:spacing w:after="0"/>
            </w:pPr>
            <w:r>
              <w:rPr>
                <w:sz w:val="18"/>
              </w:rPr>
              <w:t>Auditability</w:t>
            </w:r>
          </w:p>
        </w:tc>
        <w:tc>
          <w:tcPr>
            <w:tcW w:type="dxa" w:w="7488"/>
            <w:vAlign w:val="center"/>
          </w:tcPr>
          <w:p>
            <w:pPr>
              <w:spacing w:after="0"/>
            </w:pPr>
            <w:r>
              <w:rPr>
                <w:sz w:val="18"/>
              </w:rPr>
              <w:t>Every document state transition and config change shall be traceable.</w:t>
            </w:r>
          </w:p>
        </w:tc>
      </w:tr>
    </w:tbl>
    <w:p/>
    <w:p>
      <w:pPr>
        <w:pStyle w:val="Heading1"/>
      </w:pPr>
      <w:r>
        <w:t>10. Technology constraints and standards</w:t>
      </w:r>
    </w:p>
    <w:p>
      <w:pPr>
        <w:spacing w:after="60"/>
        <w:ind w:left="0"/>
      </w:pPr>
      <w:r>
        <w:rPr>
          <w:b/>
        </w:rPr>
        <w:t xml:space="preserve">• </w:t>
      </w:r>
      <w:r>
        <w:t>Use the same core technology family as Merchant360: ASP.NET Core, C#, SQL Server, EF Core, Azure hosting, and the same CI/CD standards.</w:t>
      </w:r>
    </w:p>
    <w:p>
      <w:pPr>
        <w:spacing w:after="60"/>
        <w:ind w:left="0"/>
      </w:pPr>
      <w:r>
        <w:rPr>
          <w:b/>
        </w:rPr>
        <w:t xml:space="preserve">• </w:t>
      </w:r>
      <w:r>
        <w:t>Use the same identity and authorization patterns where practical.</w:t>
      </w:r>
    </w:p>
    <w:p>
      <w:pPr>
        <w:spacing w:after="60"/>
        <w:ind w:left="0"/>
      </w:pPr>
      <w:r>
        <w:rPr>
          <w:b/>
        </w:rPr>
        <w:t xml:space="preserve">• </w:t>
      </w:r>
      <w:r>
        <w:t>Use the same observability conventions, correlation IDs, and error contract patterns.</w:t>
      </w:r>
    </w:p>
    <w:p>
      <w:pPr>
        <w:spacing w:after="60"/>
        <w:ind w:left="0"/>
      </w:pPr>
      <w:r>
        <w:rPr>
          <w:b/>
        </w:rPr>
        <w:t xml:space="preserve">• </w:t>
      </w:r>
      <w:r>
        <w:t>Prefer shared internal contracts libraries, not shared databases.</w:t>
      </w:r>
    </w:p>
    <w:p>
      <w:pPr>
        <w:spacing w:after="60"/>
        <w:ind w:left="0"/>
      </w:pPr>
      <w:r>
        <w:rPr>
          <w:b/>
        </w:rPr>
        <w:t xml:space="preserve">• </w:t>
      </w:r>
      <w:r>
        <w:t>Support eventual queue-based processing. Initial implementation may use SQL-backed outbox with worker services; Azure messaging can be introduced behind an abstraction if needed.</w:t>
      </w:r>
    </w:p>
    <w:p>
      <w:pPr>
        <w:pStyle w:val="Heading1"/>
      </w:pPr>
      <w:r>
        <w:t>11. MVP recommendation</w:t>
      </w:r>
    </w:p>
    <w:tbl>
      <w:tblPr>
        <w:tblStyle w:val="TableGrid"/>
        <w:tblW w:type="auto" w:w="0"/>
        <w:jc w:val="center"/>
        <w:tblLook w:firstColumn="1" w:firstRow="1" w:lastColumn="0" w:lastRow="0" w:noHBand="0" w:noVBand="1" w:val="04A0"/>
      </w:tblPr>
      <w:tblGrid>
        <w:gridCol w:w="4968"/>
        <w:gridCol w:w="4968"/>
      </w:tblGrid>
      <w:tr>
        <w:tc>
          <w:tcPr>
            <w:tcW w:type="dxa" w:w="2016"/>
            <w:vAlign w:val="center"/>
          </w:tcPr>
          <w:p>
            <w:pPr>
              <w:spacing w:after="0"/>
            </w:pPr>
            <w:r>
              <w:rPr>
                <w:b/>
                <w:sz w:val="18"/>
              </w:rPr>
              <w:t>Priority</w:t>
            </w:r>
          </w:p>
        </w:tc>
        <w:tc>
          <w:tcPr>
            <w:tcW w:type="dxa" w:w="7632"/>
            <w:vAlign w:val="center"/>
          </w:tcPr>
          <w:p>
            <w:pPr>
              <w:spacing w:after="0"/>
            </w:pPr>
            <w:r>
              <w:rPr>
                <w:b/>
                <w:sz w:val="18"/>
              </w:rPr>
              <w:t>MVP content</w:t>
            </w:r>
          </w:p>
        </w:tc>
      </w:tr>
      <w:tr>
        <w:tc>
          <w:tcPr>
            <w:tcW w:type="dxa" w:w="2016"/>
            <w:vAlign w:val="center"/>
          </w:tcPr>
          <w:p>
            <w:pPr>
              <w:spacing w:after="0"/>
            </w:pPr>
            <w:r>
              <w:rPr>
                <w:sz w:val="18"/>
              </w:rPr>
              <w:t>Must have</w:t>
            </w:r>
          </w:p>
        </w:tc>
        <w:tc>
          <w:tcPr>
            <w:tcW w:type="dxa" w:w="7632"/>
            <w:vAlign w:val="center"/>
          </w:tcPr>
          <w:p>
            <w:pPr>
              <w:spacing w:after="0"/>
            </w:pPr>
            <w:r>
              <w:rPr>
                <w:sz w:val="18"/>
              </w:rPr>
              <w:t>Dealer/partner configuration, raw document store, canonical model, SPR adapter, SFTP transport, 850/855/856/810/997, staging imports, duplicate checks, retry/replay, audit, metering records</w:t>
            </w:r>
          </w:p>
        </w:tc>
      </w:tr>
      <w:tr>
        <w:tc>
          <w:tcPr>
            <w:tcW w:type="dxa" w:w="2016"/>
            <w:vAlign w:val="center"/>
          </w:tcPr>
          <w:p>
            <w:pPr>
              <w:spacing w:after="0"/>
            </w:pPr>
            <w:r>
              <w:rPr>
                <w:sz w:val="18"/>
              </w:rPr>
              <w:t>Should have</w:t>
            </w:r>
          </w:p>
        </w:tc>
        <w:tc>
          <w:tcPr>
            <w:tcW w:type="dxa" w:w="7632"/>
            <w:vAlign w:val="center"/>
          </w:tcPr>
          <w:p>
            <w:pPr>
              <w:spacing w:after="0"/>
            </w:pPr>
            <w:r>
              <w:rPr>
                <w:sz w:val="18"/>
              </w:rPr>
              <w:t>Price file import automation, configurable schedules, support dashboard, role-based admin, webhook/event notifications back to Merchant360</w:t>
            </w:r>
          </w:p>
        </w:tc>
      </w:tr>
      <w:tr>
        <w:tc>
          <w:tcPr>
            <w:tcW w:type="dxa" w:w="2016"/>
            <w:vAlign w:val="center"/>
          </w:tcPr>
          <w:p>
            <w:pPr>
              <w:spacing w:after="0"/>
            </w:pPr>
            <w:r>
              <w:rPr>
                <w:sz w:val="18"/>
              </w:rPr>
              <w:t>Could have</w:t>
            </w:r>
          </w:p>
        </w:tc>
        <w:tc>
          <w:tcPr>
            <w:tcW w:type="dxa" w:w="7632"/>
            <w:vAlign w:val="center"/>
          </w:tcPr>
          <w:p>
            <w:pPr>
              <w:spacing w:after="0"/>
            </w:pPr>
            <w:r>
              <w:rPr>
                <w:sz w:val="18"/>
              </w:rPr>
              <w:t>846 inventory, 832 price/sales, real-time stock check integration, external dealer self-service onboarding</w:t>
            </w:r>
          </w:p>
        </w:tc>
      </w:tr>
    </w:tbl>
    <w:p/>
    <w:p>
      <w:pPr>
        <w:pStyle w:val="Heading1"/>
      </w:pPr>
      <w:r>
        <w:t>12. Acceptance criteria</w:t>
      </w:r>
    </w:p>
    <w:p>
      <w:pPr>
        <w:spacing w:after="60"/>
        <w:ind w:left="0"/>
      </w:pPr>
      <w:r>
        <w:rPr>
          <w:b/>
        </w:rPr>
        <w:t xml:space="preserve">1. </w:t>
      </w:r>
      <w:r>
        <w:t>Merchant360 can submit a purchase order for a specific dealer to the EDI platform without embedding partner-specific logic.</w:t>
      </w:r>
    </w:p>
    <w:p>
      <w:pPr>
        <w:spacing w:after="60"/>
        <w:ind w:left="0"/>
      </w:pPr>
      <w:r>
        <w:rPr>
          <w:b/>
        </w:rPr>
        <w:t xml:space="preserve">2. </w:t>
      </w:r>
      <w:r>
        <w:t>The platform can transmit an outbound 850 for Gemini to SPR and track the document lifecycle end to end.</w:t>
      </w:r>
    </w:p>
    <w:p>
      <w:pPr>
        <w:spacing w:after="60"/>
        <w:ind w:left="0"/>
      </w:pPr>
      <w:r>
        <w:rPr>
          <w:b/>
        </w:rPr>
        <w:t xml:space="preserve">3. </w:t>
      </w:r>
      <w:r>
        <w:t>The platform can ingest and normalize 855, 856, and 810 payloads and return dealer-facing statuses to Merchant360.</w:t>
      </w:r>
    </w:p>
    <w:p>
      <w:pPr>
        <w:spacing w:after="60"/>
        <w:ind w:left="0"/>
      </w:pPr>
      <w:r>
        <w:rPr>
          <w:b/>
        </w:rPr>
        <w:t xml:space="preserve">4. </w:t>
      </w:r>
      <w:r>
        <w:t>Operational users can view raw payloads, normalized payloads, errors, and retries.</w:t>
      </w:r>
    </w:p>
    <w:p>
      <w:pPr>
        <w:spacing w:after="60"/>
        <w:ind w:left="0"/>
      </w:pPr>
      <w:r>
        <w:rPr>
          <w:b/>
        </w:rPr>
        <w:t xml:space="preserve">5. </w:t>
      </w:r>
      <w:r>
        <w:t>A second dealer can be onboarded without redesigning the core platform data model.</w:t>
      </w:r>
    </w:p>
    <w:p>
      <w:pPr>
        <w:spacing w:after="60"/>
        <w:ind w:left="0"/>
      </w:pPr>
      <w:r>
        <w:rPr>
          <w:b/>
        </w:rPr>
        <w:t xml:space="preserve">6. </w:t>
      </w:r>
      <w:r>
        <w:t>Usage data is captured so the service can later be monetized as a metered offering.</w:t>
      </w:r>
    </w:p>
    <w:p>
      <w:pPr>
        <w:pStyle w:val="Heading1"/>
      </w:pPr>
      <w:r>
        <w:t>13. Implementation phases</w:t>
      </w:r>
    </w:p>
    <w:tbl>
      <w:tblPr>
        <w:tblStyle w:val="TableGrid"/>
        <w:tblW w:type="auto" w:w="0"/>
        <w:jc w:val="center"/>
        <w:tblLook w:firstColumn="1" w:firstRow="1" w:lastColumn="0" w:lastRow="0" w:noHBand="0" w:noVBand="1" w:val="04A0"/>
      </w:tblPr>
      <w:tblGrid>
        <w:gridCol w:w="4968"/>
        <w:gridCol w:w="4968"/>
      </w:tblGrid>
      <w:tr>
        <w:tc>
          <w:tcPr>
            <w:tcW w:type="dxa" w:w="1728"/>
            <w:vAlign w:val="center"/>
          </w:tcPr>
          <w:p>
            <w:pPr>
              <w:spacing w:after="0"/>
            </w:pPr>
            <w:r>
              <w:rPr>
                <w:b/>
                <w:sz w:val="18"/>
              </w:rPr>
              <w:t>Phase</w:t>
            </w:r>
          </w:p>
        </w:tc>
        <w:tc>
          <w:tcPr>
            <w:tcW w:type="dxa" w:w="7920"/>
            <w:vAlign w:val="center"/>
          </w:tcPr>
          <w:p>
            <w:pPr>
              <w:spacing w:after="0"/>
            </w:pPr>
            <w:r>
              <w:rPr>
                <w:b/>
                <w:sz w:val="18"/>
              </w:rPr>
              <w:t>Outcome</w:t>
            </w:r>
          </w:p>
        </w:tc>
      </w:tr>
      <w:tr>
        <w:tc>
          <w:tcPr>
            <w:tcW w:type="dxa" w:w="1728"/>
            <w:vAlign w:val="center"/>
          </w:tcPr>
          <w:p>
            <w:pPr>
              <w:spacing w:after="0"/>
            </w:pPr>
            <w:r>
              <w:rPr>
                <w:sz w:val="18"/>
              </w:rPr>
              <w:t>Phase 1</w:t>
            </w:r>
          </w:p>
        </w:tc>
        <w:tc>
          <w:tcPr>
            <w:tcW w:type="dxa" w:w="7920"/>
            <w:vAlign w:val="center"/>
          </w:tcPr>
          <w:p>
            <w:pPr>
              <w:spacing w:after="0"/>
            </w:pPr>
            <w:r>
              <w:rPr>
                <w:sz w:val="18"/>
              </w:rPr>
              <w:t>Gemini + SPR through Merchant360, core documents and file intake, operations tooling, metering capture</w:t>
            </w:r>
          </w:p>
        </w:tc>
      </w:tr>
      <w:tr>
        <w:tc>
          <w:tcPr>
            <w:tcW w:type="dxa" w:w="1728"/>
            <w:vAlign w:val="center"/>
          </w:tcPr>
          <w:p>
            <w:pPr>
              <w:spacing w:after="0"/>
            </w:pPr>
            <w:r>
              <w:rPr>
                <w:sz w:val="18"/>
              </w:rPr>
              <w:t>Phase 2</w:t>
            </w:r>
          </w:p>
        </w:tc>
        <w:tc>
          <w:tcPr>
            <w:tcW w:type="dxa" w:w="7920"/>
            <w:vAlign w:val="center"/>
          </w:tcPr>
          <w:p>
            <w:pPr>
              <w:spacing w:after="0"/>
            </w:pPr>
            <w:r>
              <w:rPr>
                <w:sz w:val="18"/>
              </w:rPr>
              <w:t>Additional Merchant360 dealers, additional partner adapters, richer import flows such as inventory and catalog</w:t>
            </w:r>
          </w:p>
        </w:tc>
      </w:tr>
      <w:tr>
        <w:tc>
          <w:tcPr>
            <w:tcW w:type="dxa" w:w="1728"/>
            <w:vAlign w:val="center"/>
          </w:tcPr>
          <w:p>
            <w:pPr>
              <w:spacing w:after="0"/>
            </w:pPr>
            <w:r>
              <w:rPr>
                <w:sz w:val="18"/>
              </w:rPr>
              <w:t>Phase 3</w:t>
            </w:r>
          </w:p>
        </w:tc>
        <w:tc>
          <w:tcPr>
            <w:tcW w:type="dxa" w:w="7920"/>
            <w:vAlign w:val="center"/>
          </w:tcPr>
          <w:p>
            <w:pPr>
              <w:spacing w:after="0"/>
            </w:pPr>
            <w:r>
              <w:rPr>
                <w:sz w:val="18"/>
              </w:rPr>
              <w:t>External dealer onboarding, public API surface, service plans, billing integration, managed support workflows</w:t>
            </w:r>
          </w:p>
        </w:tc>
      </w:tr>
    </w:tbl>
    <w:p/>
    <w:p>
      <w:pPr>
        <w:pStyle w:val="Heading1"/>
      </w:pPr>
      <w:r>
        <w:t>14. Final recommendation</w:t>
      </w:r>
    </w:p>
    <w:p>
      <w:pPr>
        <w:spacing w:after="80"/>
      </w:pPr>
      <w:r>
        <w:t>Build the EDI capability as a separate solution and service boundary now. Keep Merchant360 as the first client. Build the design around a canonical dealer connectivity platform, not around SPR-specific shortcuts. Prove the product with Gemini and SPR, then scale it across Merchant360 dealers and later commercialize it externally.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8"/>
    </w:rPr>
  </w:style>
  <w:style w:type="paragraph" w:customStyle="1" w:styleId="Small">
    <w:name w:val="Small"/>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