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Vendorea EDI Platform Technical Architecture</w:t>
      </w:r>
    </w:p>
    <w:p>
      <w:pPr>
        <w:jc w:val="center"/>
      </w:pPr>
      <w:r>
        <w:rPr>
          <w:sz w:val="22"/>
        </w:rPr>
        <w:t>Service architecture, tables, APIs, module boundaries, and Merchant360 interaction model</w:t>
      </w:r>
    </w:p>
    <w:p/>
    <w:p>
      <w:pPr>
        <w:jc w:val="center"/>
      </w:pPr>
      <w:r>
        <w:rPr>
          <w:i/>
          <w:sz w:val="21"/>
        </w:rPr>
        <w:t>Prepared for Vendorea / Merchant360 planning</w:t>
      </w:r>
    </w:p>
    <w:p>
      <w:r>
        <w:br w:type="page"/>
      </w:r>
    </w:p>
    <w:p>
      <w:pPr>
        <w:pStyle w:val="Heading1"/>
      </w:pPr>
      <w:r>
        <w:t>1. Architecture decision</w:t>
      </w:r>
    </w:p>
    <w:p>
      <w:pPr>
        <w:spacing w:after="80"/>
      </w:pPr>
      <w:r>
        <w:t>The EDI platform should be implemented as a separate bounded context and separate solution from Merchant360. It should share the same technology stack and engineering conventions, but it must own its own data, workers, and partner adapters. Merchant360 should integrate with it as an internal client. This allows Gemini to be the first hosted dealer while preserving a path for many additional dealers later.</w:t>
      </w:r>
    </w:p>
    <w:tbl>
      <w:tblPr>
        <w:tblStyle w:val="TableGrid"/>
        <w:tblW w:type="auto" w:w="0"/>
        <w:jc w:val="center"/>
        <w:tblLook w:firstColumn="1" w:firstRow="1" w:lastColumn="0" w:lastRow="0" w:noHBand="0" w:noVBand="1" w:val="04A0"/>
      </w:tblPr>
      <w:tblGrid>
        <w:gridCol w:w="4968"/>
        <w:gridCol w:w="4968"/>
      </w:tblGrid>
      <w:tr>
        <w:tc>
          <w:tcPr>
            <w:tcW w:type="dxa" w:w="3168"/>
            <w:vAlign w:val="center"/>
          </w:tcPr>
          <w:p>
            <w:pPr>
              <w:spacing w:after="0"/>
            </w:pPr>
            <w:r>
              <w:rPr>
                <w:b/>
                <w:sz w:val="18"/>
              </w:rPr>
              <w:t>Question</w:t>
            </w:r>
          </w:p>
        </w:tc>
        <w:tc>
          <w:tcPr>
            <w:tcW w:type="dxa" w:w="6480"/>
            <w:vAlign w:val="center"/>
          </w:tcPr>
          <w:p>
            <w:pPr>
              <w:spacing w:after="0"/>
            </w:pPr>
            <w:r>
              <w:rPr>
                <w:b/>
                <w:sz w:val="18"/>
              </w:rPr>
              <w:t>Answer</w:t>
            </w:r>
          </w:p>
        </w:tc>
      </w:tr>
      <w:tr>
        <w:tc>
          <w:tcPr>
            <w:tcW w:type="dxa" w:w="3168"/>
            <w:vAlign w:val="center"/>
          </w:tcPr>
          <w:p>
            <w:pPr>
              <w:spacing w:after="0"/>
            </w:pPr>
            <w:r>
              <w:rPr>
                <w:sz w:val="18"/>
              </w:rPr>
              <w:t>Separate solution from Merchant360?</w:t>
            </w:r>
          </w:p>
        </w:tc>
        <w:tc>
          <w:tcPr>
            <w:tcW w:type="dxa" w:w="6480"/>
            <w:vAlign w:val="center"/>
          </w:tcPr>
          <w:p>
            <w:pPr>
              <w:spacing w:after="0"/>
            </w:pPr>
            <w:r>
              <w:rPr>
                <w:sz w:val="18"/>
              </w:rPr>
              <w:t>Yes. Separate deployable solution and database, with internal integration contracts.</w:t>
            </w:r>
          </w:p>
        </w:tc>
      </w:tr>
      <w:tr>
        <w:tc>
          <w:tcPr>
            <w:tcW w:type="dxa" w:w="3168"/>
            <w:vAlign w:val="center"/>
          </w:tcPr>
          <w:p>
            <w:pPr>
              <w:spacing w:after="0"/>
            </w:pPr>
            <w:r>
              <w:rPr>
                <w:sz w:val="18"/>
              </w:rPr>
              <w:t>Same repository family?</w:t>
            </w:r>
          </w:p>
        </w:tc>
        <w:tc>
          <w:tcPr>
            <w:tcW w:type="dxa" w:w="6480"/>
            <w:vAlign w:val="center"/>
          </w:tcPr>
          <w:p>
            <w:pPr>
              <w:spacing w:after="0"/>
            </w:pPr>
            <w:r>
              <w:rPr>
                <w:sz w:val="18"/>
              </w:rPr>
              <w:t>Recommended. It may live in the same monorepo or repo family for shared CI/CD and code reuse.</w:t>
            </w:r>
          </w:p>
        </w:tc>
      </w:tr>
      <w:tr>
        <w:tc>
          <w:tcPr>
            <w:tcW w:type="dxa" w:w="3168"/>
            <w:vAlign w:val="center"/>
          </w:tcPr>
          <w:p>
            <w:pPr>
              <w:spacing w:after="0"/>
            </w:pPr>
            <w:r>
              <w:rPr>
                <w:sz w:val="18"/>
              </w:rPr>
              <w:t>Same tech stack?</w:t>
            </w:r>
          </w:p>
        </w:tc>
        <w:tc>
          <w:tcPr>
            <w:tcW w:type="dxa" w:w="6480"/>
            <w:vAlign w:val="center"/>
          </w:tcPr>
          <w:p>
            <w:pPr>
              <w:spacing w:after="0"/>
            </w:pPr>
            <w:r>
              <w:rPr>
                <w:sz w:val="18"/>
              </w:rPr>
              <w:t>Yes. ASP.NET Core, C#, EF Core, SQL Server, Azure hosting, same authentication and ops standards.</w:t>
            </w:r>
          </w:p>
        </w:tc>
      </w:tr>
      <w:tr>
        <w:tc>
          <w:tcPr>
            <w:tcW w:type="dxa" w:w="3168"/>
            <w:vAlign w:val="center"/>
          </w:tcPr>
          <w:p>
            <w:pPr>
              <w:spacing w:after="0"/>
            </w:pPr>
            <w:r>
              <w:rPr>
                <w:sz w:val="18"/>
              </w:rPr>
              <w:t>First client?</w:t>
            </w:r>
          </w:p>
        </w:tc>
        <w:tc>
          <w:tcPr>
            <w:tcW w:type="dxa" w:w="6480"/>
            <w:vAlign w:val="center"/>
          </w:tcPr>
          <w:p>
            <w:pPr>
              <w:spacing w:after="0"/>
            </w:pPr>
            <w:r>
              <w:rPr>
                <w:sz w:val="18"/>
              </w:rPr>
              <w:t>Merchant360.</w:t>
            </w:r>
          </w:p>
        </w:tc>
      </w:tr>
      <w:tr>
        <w:tc>
          <w:tcPr>
            <w:tcW w:type="dxa" w:w="3168"/>
            <w:vAlign w:val="center"/>
          </w:tcPr>
          <w:p>
            <w:pPr>
              <w:spacing w:after="0"/>
            </w:pPr>
            <w:r>
              <w:rPr>
                <w:sz w:val="18"/>
              </w:rPr>
              <w:t>First dealer?</w:t>
            </w:r>
          </w:p>
        </w:tc>
        <w:tc>
          <w:tcPr>
            <w:tcW w:type="dxa" w:w="6480"/>
            <w:vAlign w:val="center"/>
          </w:tcPr>
          <w:p>
            <w:pPr>
              <w:spacing w:after="0"/>
            </w:pPr>
            <w:r>
              <w:rPr>
                <w:sz w:val="18"/>
              </w:rPr>
              <w:t>Gemini.</w:t>
            </w:r>
          </w:p>
        </w:tc>
      </w:tr>
      <w:tr>
        <w:tc>
          <w:tcPr>
            <w:tcW w:type="dxa" w:w="3168"/>
            <w:vAlign w:val="center"/>
          </w:tcPr>
          <w:p>
            <w:pPr>
              <w:spacing w:after="0"/>
            </w:pPr>
            <w:r>
              <w:rPr>
                <w:sz w:val="18"/>
              </w:rPr>
              <w:t>Future model?</w:t>
            </w:r>
          </w:p>
        </w:tc>
        <w:tc>
          <w:tcPr>
            <w:tcW w:type="dxa" w:w="6480"/>
            <w:vAlign w:val="center"/>
          </w:tcPr>
          <w:p>
            <w:pPr>
              <w:spacing w:after="0"/>
            </w:pPr>
            <w:r>
              <w:rPr>
                <w:sz w:val="18"/>
              </w:rPr>
              <w:t>Many Merchant360 dealers plus optional external direct dealers.</w:t>
            </w:r>
          </w:p>
        </w:tc>
      </w:tr>
    </w:tbl>
    <w:p/>
    <w:p>
      <w:pPr>
        <w:pStyle w:val="Heading1"/>
      </w:pPr>
      <w:r>
        <w:t>2. Recommended solution structure</w:t>
      </w:r>
    </w:p>
    <w:tbl>
      <w:tblPr>
        <w:tblStyle w:val="TableGrid"/>
        <w:tblW w:type="auto" w:w="0"/>
        <w:jc w:val="center"/>
        <w:tblLook w:firstColumn="1" w:firstRow="1" w:lastColumn="0" w:lastRow="0" w:noHBand="0" w:noVBand="1" w:val="04A0"/>
      </w:tblPr>
      <w:tblGrid>
        <w:gridCol w:w="4968"/>
        <w:gridCol w:w="4968"/>
      </w:tblGrid>
      <w:tr>
        <w:tc>
          <w:tcPr>
            <w:tcW w:type="dxa" w:w="3456"/>
            <w:vAlign w:val="center"/>
          </w:tcPr>
          <w:p>
            <w:pPr>
              <w:spacing w:after="0"/>
            </w:pPr>
            <w:r>
              <w:rPr>
                <w:b/>
                <w:sz w:val="18"/>
              </w:rPr>
              <w:t>Project / module</w:t>
            </w:r>
          </w:p>
        </w:tc>
        <w:tc>
          <w:tcPr>
            <w:tcW w:type="dxa" w:w="6192"/>
            <w:vAlign w:val="center"/>
          </w:tcPr>
          <w:p>
            <w:pPr>
              <w:spacing w:after="0"/>
            </w:pPr>
            <w:r>
              <w:rPr>
                <w:b/>
                <w:sz w:val="18"/>
              </w:rPr>
              <w:t>Purpose</w:t>
            </w:r>
          </w:p>
        </w:tc>
      </w:tr>
      <w:tr>
        <w:tc>
          <w:tcPr>
            <w:tcW w:type="dxa" w:w="3456"/>
            <w:vAlign w:val="center"/>
          </w:tcPr>
          <w:p>
            <w:pPr>
              <w:spacing w:after="0"/>
            </w:pPr>
            <w:r>
              <w:rPr>
                <w:sz w:val="18"/>
              </w:rPr>
              <w:t>Vendorea.Integrations.Api</w:t>
            </w:r>
          </w:p>
        </w:tc>
        <w:tc>
          <w:tcPr>
            <w:tcW w:type="dxa" w:w="6192"/>
            <w:vAlign w:val="center"/>
          </w:tcPr>
          <w:p>
            <w:pPr>
              <w:spacing w:after="0"/>
            </w:pPr>
            <w:r>
              <w:rPr>
                <w:sz w:val="18"/>
              </w:rPr>
              <w:t>Internal and future external HTTP API for dealer, partner, document, and operational endpoints</w:t>
            </w:r>
          </w:p>
        </w:tc>
      </w:tr>
      <w:tr>
        <w:tc>
          <w:tcPr>
            <w:tcW w:type="dxa" w:w="3456"/>
            <w:vAlign w:val="center"/>
          </w:tcPr>
          <w:p>
            <w:pPr>
              <w:spacing w:after="0"/>
            </w:pPr>
            <w:r>
              <w:rPr>
                <w:sz w:val="18"/>
              </w:rPr>
              <w:t>Vendorea.Integrations.Workers</w:t>
            </w:r>
          </w:p>
        </w:tc>
        <w:tc>
          <w:tcPr>
            <w:tcW w:type="dxa" w:w="6192"/>
            <w:vAlign w:val="center"/>
          </w:tcPr>
          <w:p>
            <w:pPr>
              <w:spacing w:after="0"/>
            </w:pPr>
            <w:r>
              <w:rPr>
                <w:sz w:val="18"/>
              </w:rPr>
              <w:t>Background services for polling, import, mapping, validation, outbound transmission, acknowledgements, retries</w:t>
            </w:r>
          </w:p>
        </w:tc>
      </w:tr>
      <w:tr>
        <w:tc>
          <w:tcPr>
            <w:tcW w:type="dxa" w:w="3456"/>
            <w:vAlign w:val="center"/>
          </w:tcPr>
          <w:p>
            <w:pPr>
              <w:spacing w:after="0"/>
            </w:pPr>
            <w:r>
              <w:rPr>
                <w:sz w:val="18"/>
              </w:rPr>
              <w:t>Vendorea.Integrations.Domain</w:t>
            </w:r>
          </w:p>
        </w:tc>
        <w:tc>
          <w:tcPr>
            <w:tcW w:type="dxa" w:w="6192"/>
            <w:vAlign w:val="center"/>
          </w:tcPr>
          <w:p>
            <w:pPr>
              <w:spacing w:after="0"/>
            </w:pPr>
            <w:r>
              <w:rPr>
                <w:sz w:val="18"/>
              </w:rPr>
              <w:t>Canonical entities, enums, business rules, document lifecycle logic</w:t>
            </w:r>
          </w:p>
        </w:tc>
      </w:tr>
      <w:tr>
        <w:tc>
          <w:tcPr>
            <w:tcW w:type="dxa" w:w="3456"/>
            <w:vAlign w:val="center"/>
          </w:tcPr>
          <w:p>
            <w:pPr>
              <w:spacing w:after="0"/>
            </w:pPr>
            <w:r>
              <w:rPr>
                <w:sz w:val="18"/>
              </w:rPr>
              <w:t>Vendorea.Integrations.Application</w:t>
            </w:r>
          </w:p>
        </w:tc>
        <w:tc>
          <w:tcPr>
            <w:tcW w:type="dxa" w:w="6192"/>
            <w:vAlign w:val="center"/>
          </w:tcPr>
          <w:p>
            <w:pPr>
              <w:spacing w:after="0"/>
            </w:pPr>
            <w:r>
              <w:rPr>
                <w:sz w:val="18"/>
              </w:rPr>
              <w:t>Use cases, handlers, orchestration, service interfaces</w:t>
            </w:r>
          </w:p>
        </w:tc>
      </w:tr>
      <w:tr>
        <w:tc>
          <w:tcPr>
            <w:tcW w:type="dxa" w:w="3456"/>
            <w:vAlign w:val="center"/>
          </w:tcPr>
          <w:p>
            <w:pPr>
              <w:spacing w:after="0"/>
            </w:pPr>
            <w:r>
              <w:rPr>
                <w:sz w:val="18"/>
              </w:rPr>
              <w:t>Vendorea.Integrations.Infrastructure</w:t>
            </w:r>
          </w:p>
        </w:tc>
        <w:tc>
          <w:tcPr>
            <w:tcW w:type="dxa" w:w="6192"/>
            <w:vAlign w:val="center"/>
          </w:tcPr>
          <w:p>
            <w:pPr>
              <w:spacing w:after="0"/>
            </w:pPr>
            <w:r>
              <w:rPr>
                <w:sz w:val="18"/>
              </w:rPr>
              <w:t>EF Core persistence, file storage, transport clients, secret access, queue abstractions</w:t>
            </w:r>
          </w:p>
        </w:tc>
      </w:tr>
      <w:tr>
        <w:tc>
          <w:tcPr>
            <w:tcW w:type="dxa" w:w="3456"/>
            <w:vAlign w:val="center"/>
          </w:tcPr>
          <w:p>
            <w:pPr>
              <w:spacing w:after="0"/>
            </w:pPr>
            <w:r>
              <w:rPr>
                <w:sz w:val="18"/>
              </w:rPr>
              <w:t>Vendorea.Integrations.Contracts</w:t>
            </w:r>
          </w:p>
        </w:tc>
        <w:tc>
          <w:tcPr>
            <w:tcW w:type="dxa" w:w="6192"/>
            <w:vAlign w:val="center"/>
          </w:tcPr>
          <w:p>
            <w:pPr>
              <w:spacing w:after="0"/>
            </w:pPr>
            <w:r>
              <w:rPr>
                <w:sz w:val="18"/>
              </w:rPr>
              <w:t>DTOs and contracts shared with Merchant360</w:t>
            </w:r>
          </w:p>
        </w:tc>
      </w:tr>
      <w:tr>
        <w:tc>
          <w:tcPr>
            <w:tcW w:type="dxa" w:w="3456"/>
            <w:vAlign w:val="center"/>
          </w:tcPr>
          <w:p>
            <w:pPr>
              <w:spacing w:after="0"/>
            </w:pPr>
            <w:r>
              <w:rPr>
                <w:sz w:val="18"/>
              </w:rPr>
              <w:t>Vendorea.Integrations.Adapter.SPR</w:t>
            </w:r>
          </w:p>
        </w:tc>
        <w:tc>
          <w:tcPr>
            <w:tcW w:type="dxa" w:w="6192"/>
            <w:vAlign w:val="center"/>
          </w:tcPr>
          <w:p>
            <w:pPr>
              <w:spacing w:after="0"/>
            </w:pPr>
            <w:r>
              <w:rPr>
                <w:sz w:val="18"/>
              </w:rPr>
              <w:t>SPR-specific mappings, file parsers, document generators, code translation rules</w:t>
            </w:r>
          </w:p>
        </w:tc>
      </w:tr>
      <w:tr>
        <w:tc>
          <w:tcPr>
            <w:tcW w:type="dxa" w:w="3456"/>
            <w:vAlign w:val="center"/>
          </w:tcPr>
          <w:p>
            <w:pPr>
              <w:spacing w:after="0"/>
            </w:pPr>
            <w:r>
              <w:rPr>
                <w:sz w:val="18"/>
              </w:rPr>
              <w:t>Vendorea.Integrations.AdminWeb</w:t>
            </w:r>
          </w:p>
        </w:tc>
        <w:tc>
          <w:tcPr>
            <w:tcW w:type="dxa" w:w="6192"/>
            <w:vAlign w:val="center"/>
          </w:tcPr>
          <w:p>
            <w:pPr>
              <w:spacing w:after="0"/>
            </w:pPr>
            <w:r>
              <w:rPr>
                <w:sz w:val="18"/>
              </w:rPr>
              <w:t>Optional internal support UI; can be Blazor to match stack</w:t>
            </w:r>
          </w:p>
        </w:tc>
      </w:tr>
      <w:tr>
        <w:tc>
          <w:tcPr>
            <w:tcW w:type="dxa" w:w="3456"/>
            <w:vAlign w:val="center"/>
          </w:tcPr>
          <w:p>
            <w:pPr>
              <w:spacing w:after="0"/>
            </w:pPr>
            <w:r>
              <w:rPr>
                <w:sz w:val="18"/>
              </w:rPr>
              <w:t>Merchant360.Connector.Integrations</w:t>
            </w:r>
          </w:p>
        </w:tc>
        <w:tc>
          <w:tcPr>
            <w:tcW w:type="dxa" w:w="6192"/>
            <w:vAlign w:val="center"/>
          </w:tcPr>
          <w:p>
            <w:pPr>
              <w:spacing w:after="0"/>
            </w:pPr>
            <w:r>
              <w:rPr>
                <w:sz w:val="18"/>
              </w:rPr>
              <w:t>Merchant360-side client package for calling the EDI platform and handling callbacks/events</w:t>
            </w:r>
          </w:p>
        </w:tc>
      </w:tr>
    </w:tbl>
    <w:p/>
    <w:p>
      <w:pPr>
        <w:pStyle w:val="Heading1"/>
      </w:pPr>
      <w:r>
        <w:t>3. Logical architecture</w:t>
      </w:r>
    </w:p>
    <w:p>
      <w:pPr>
        <w:spacing w:after="60"/>
        <w:ind w:left="0"/>
      </w:pPr>
      <w:r>
        <w:rPr>
          <w:b/>
        </w:rPr>
        <w:t xml:space="preserve">• </w:t>
      </w:r>
      <w:r>
        <w:rPr>
          <w:b/>
        </w:rPr>
        <w:t xml:space="preserve">Client layer: </w:t>
      </w:r>
      <w:r>
        <w:t>Merchant360 and, later, direct external dealer clients call the EDI API.</w:t>
      </w:r>
    </w:p>
    <w:p>
      <w:pPr>
        <w:spacing w:after="60"/>
        <w:ind w:left="0"/>
      </w:pPr>
      <w:r>
        <w:rPr>
          <w:b/>
        </w:rPr>
        <w:t xml:space="preserve">• </w:t>
      </w:r>
      <w:r>
        <w:rPr>
          <w:b/>
        </w:rPr>
        <w:t xml:space="preserve">API layer: </w:t>
      </w:r>
      <w:r>
        <w:t>The API authenticates callers, validates context, persists command requests, and enqueues work.</w:t>
      </w:r>
    </w:p>
    <w:p>
      <w:pPr>
        <w:spacing w:after="60"/>
        <w:ind w:left="0"/>
      </w:pPr>
      <w:r>
        <w:rPr>
          <w:b/>
        </w:rPr>
        <w:t xml:space="preserve">• </w:t>
      </w:r>
      <w:r>
        <w:rPr>
          <w:b/>
        </w:rPr>
        <w:t xml:space="preserve">Application layer: </w:t>
      </w:r>
      <w:r>
        <w:t>Use-case handlers create canonical work items and document records.</w:t>
      </w:r>
    </w:p>
    <w:p>
      <w:pPr>
        <w:spacing w:after="60"/>
        <w:ind w:left="0"/>
      </w:pPr>
      <w:r>
        <w:rPr>
          <w:b/>
        </w:rPr>
        <w:t xml:space="preserve">• </w:t>
      </w:r>
      <w:r>
        <w:rPr>
          <w:b/>
        </w:rPr>
        <w:t xml:space="preserve">Adapter layer: </w:t>
      </w:r>
      <w:r>
        <w:t>Partner adapters convert between canonical models and partner-specific payloads.</w:t>
      </w:r>
    </w:p>
    <w:p>
      <w:pPr>
        <w:spacing w:after="60"/>
        <w:ind w:left="0"/>
      </w:pPr>
      <w:r>
        <w:rPr>
          <w:b/>
        </w:rPr>
        <w:t xml:space="preserve">• </w:t>
      </w:r>
      <w:r>
        <w:rPr>
          <w:b/>
        </w:rPr>
        <w:t xml:space="preserve">Transport layer: </w:t>
      </w:r>
      <w:r>
        <w:t>SFTP, AS2, API, and web-service connectors move bytes to and from partner systems.</w:t>
      </w:r>
    </w:p>
    <w:p>
      <w:pPr>
        <w:spacing w:after="60"/>
        <w:ind w:left="0"/>
      </w:pPr>
      <w:r>
        <w:rPr>
          <w:b/>
        </w:rPr>
        <w:t xml:space="preserve">• </w:t>
      </w:r>
      <w:r>
        <w:rPr>
          <w:b/>
        </w:rPr>
        <w:t xml:space="preserve">Worker layer: </w:t>
      </w:r>
      <w:r>
        <w:t>Background workers perform scheduled polls, imports, mappings, transmissions, reconciliations, retries, and metering.</w:t>
      </w:r>
    </w:p>
    <w:p>
      <w:pPr>
        <w:spacing w:after="60"/>
        <w:ind w:left="0"/>
      </w:pPr>
      <w:r>
        <w:rPr>
          <w:b/>
        </w:rPr>
        <w:t xml:space="preserve">• </w:t>
      </w:r>
      <w:r>
        <w:rPr>
          <w:b/>
        </w:rPr>
        <w:t xml:space="preserve">Persistence layer: </w:t>
      </w:r>
      <w:r>
        <w:t>SQL Server stores config, document state, canonical data, and metering; Blob/File storage stores raw payloads.</w:t>
      </w:r>
    </w:p>
    <w:p>
      <w:pPr>
        <w:pStyle w:val="Heading1"/>
      </w:pPr>
      <w:r>
        <w:t>4. Merchant360 interaction model</w:t>
      </w:r>
    </w:p>
    <w:tbl>
      <w:tblPr>
        <w:tblStyle w:val="TableGrid"/>
        <w:tblW w:type="auto" w:w="0"/>
        <w:jc w:val="center"/>
        <w:tblLook w:firstColumn="1" w:firstRow="1" w:lastColumn="0" w:lastRow="0" w:noHBand="0" w:noVBand="1" w:val="04A0"/>
      </w:tblPr>
      <w:tblGrid>
        <w:gridCol w:w="4968"/>
        <w:gridCol w:w="4968"/>
      </w:tblGrid>
      <w:tr>
        <w:tc>
          <w:tcPr>
            <w:tcW w:type="dxa" w:w="4464"/>
            <w:vAlign w:val="center"/>
          </w:tcPr>
          <w:p>
            <w:pPr>
              <w:spacing w:after="0"/>
            </w:pPr>
            <w:r>
              <w:rPr>
                <w:b/>
                <w:sz w:val="18"/>
              </w:rPr>
              <w:t>Merchant360 responsibility</w:t>
            </w:r>
          </w:p>
        </w:tc>
        <w:tc>
          <w:tcPr>
            <w:tcW w:type="dxa" w:w="5184"/>
            <w:vAlign w:val="center"/>
          </w:tcPr>
          <w:p>
            <w:pPr>
              <w:spacing w:after="0"/>
            </w:pPr>
            <w:r>
              <w:rPr>
                <w:b/>
                <w:sz w:val="18"/>
              </w:rPr>
              <w:t>EDI platform responsibility</w:t>
            </w:r>
          </w:p>
        </w:tc>
      </w:tr>
      <w:tr>
        <w:tc>
          <w:tcPr>
            <w:tcW w:type="dxa" w:w="4464"/>
            <w:vAlign w:val="center"/>
          </w:tcPr>
          <w:p>
            <w:pPr>
              <w:spacing w:after="0"/>
            </w:pPr>
            <w:r>
              <w:rPr>
                <w:sz w:val="18"/>
              </w:rPr>
              <w:t>Dealer workflow, UI, approvals, order composition</w:t>
            </w:r>
          </w:p>
        </w:tc>
        <w:tc>
          <w:tcPr>
            <w:tcW w:type="dxa" w:w="5184"/>
            <w:vAlign w:val="center"/>
          </w:tcPr>
          <w:p>
            <w:pPr>
              <w:spacing w:after="0"/>
            </w:pPr>
            <w:r>
              <w:rPr>
                <w:sz w:val="18"/>
              </w:rPr>
              <w:t>Partner connectivity, document generation, transmission, acknowledgement handling</w:t>
            </w:r>
          </w:p>
        </w:tc>
      </w:tr>
      <w:tr>
        <w:tc>
          <w:tcPr>
            <w:tcW w:type="dxa" w:w="4464"/>
            <w:vAlign w:val="center"/>
          </w:tcPr>
          <w:p>
            <w:pPr>
              <w:spacing w:after="0"/>
            </w:pPr>
            <w:r>
              <w:rPr>
                <w:sz w:val="18"/>
              </w:rPr>
              <w:t>Dealer/business master data</w:t>
            </w:r>
          </w:p>
        </w:tc>
        <w:tc>
          <w:tcPr>
            <w:tcW w:type="dxa" w:w="5184"/>
            <w:vAlign w:val="center"/>
          </w:tcPr>
          <w:p>
            <w:pPr>
              <w:spacing w:after="0"/>
            </w:pPr>
            <w:r>
              <w:rPr>
                <w:sz w:val="18"/>
              </w:rPr>
              <w:t>Partner account configuration and transport settings</w:t>
            </w:r>
          </w:p>
        </w:tc>
      </w:tr>
      <w:tr>
        <w:tc>
          <w:tcPr>
            <w:tcW w:type="dxa" w:w="4464"/>
            <w:vAlign w:val="center"/>
          </w:tcPr>
          <w:p>
            <w:pPr>
              <w:spacing w:after="0"/>
            </w:pPr>
            <w:r>
              <w:rPr>
                <w:sz w:val="18"/>
              </w:rPr>
              <w:t>Internal business statuses presented to dealer users</w:t>
            </w:r>
          </w:p>
        </w:tc>
        <w:tc>
          <w:tcPr>
            <w:tcW w:type="dxa" w:w="5184"/>
            <w:vAlign w:val="center"/>
          </w:tcPr>
          <w:p>
            <w:pPr>
              <w:spacing w:after="0"/>
            </w:pPr>
            <w:r>
              <w:rPr>
                <w:sz w:val="18"/>
              </w:rPr>
              <w:t>Raw payload storage, mapping, lifecycle tracking, retries, audit</w:t>
            </w:r>
          </w:p>
        </w:tc>
      </w:tr>
      <w:tr>
        <w:tc>
          <w:tcPr>
            <w:tcW w:type="dxa" w:w="4464"/>
            <w:vAlign w:val="center"/>
          </w:tcPr>
          <w:p>
            <w:pPr>
              <w:spacing w:after="0"/>
            </w:pPr>
            <w:r>
              <w:rPr>
                <w:sz w:val="18"/>
              </w:rPr>
              <w:t>Calling submit/query APIs with tenant and dealer context</w:t>
            </w:r>
          </w:p>
        </w:tc>
        <w:tc>
          <w:tcPr>
            <w:tcW w:type="dxa" w:w="5184"/>
            <w:vAlign w:val="center"/>
          </w:tcPr>
          <w:p>
            <w:pPr>
              <w:spacing w:after="0"/>
            </w:pPr>
            <w:r>
              <w:rPr>
                <w:sz w:val="18"/>
              </w:rPr>
              <w:t>Returning normalized statuses and documents</w:t>
            </w:r>
          </w:p>
        </w:tc>
      </w:tr>
      <w:tr>
        <w:tc>
          <w:tcPr>
            <w:tcW w:type="dxa" w:w="4464"/>
            <w:vAlign w:val="center"/>
          </w:tcPr>
          <w:p>
            <w:pPr>
              <w:spacing w:after="0"/>
            </w:pPr>
            <w:r>
              <w:rPr>
                <w:sz w:val="18"/>
              </w:rPr>
              <w:t>Owning merchant business logic</w:t>
            </w:r>
          </w:p>
        </w:tc>
        <w:tc>
          <w:tcPr>
            <w:tcW w:type="dxa" w:w="5184"/>
            <w:vAlign w:val="center"/>
          </w:tcPr>
          <w:p>
            <w:pPr>
              <w:spacing w:after="0"/>
            </w:pPr>
            <w:r>
              <w:rPr>
                <w:sz w:val="18"/>
              </w:rPr>
              <w:t>Owning integration logic and partner-specific transformation</w:t>
            </w:r>
          </w:p>
        </w:tc>
      </w:tr>
    </w:tbl>
    <w:p/>
    <w:p>
      <w:pPr>
        <w:pStyle w:val="Heading1"/>
      </w:pPr>
      <w:r>
        <w:t>5. Multi-tenant model</w:t>
      </w:r>
    </w:p>
    <w:p>
      <w:pPr>
        <w:spacing w:after="80"/>
      </w:pPr>
      <w:r>
        <w:t>The EDI platform must not assume one dealer equals one Merchant360 tenant forever. A Merchant360 tenant may host one or many dealer-facing business units over time. Therefore the integration context should be explicit:</w:t>
      </w:r>
    </w:p>
    <w:p>
      <w:pPr>
        <w:pStyle w:val="Code"/>
      </w:pPr>
      <w:r>
        <w:t>PlatformTenant -&gt; DealerAccount -&gt; PartnerAccount -&gt; PartnerDocumentFlow</w:t>
      </w:r>
    </w:p>
    <w:p>
      <w:pPr/>
      <w:r>
        <w:t>Recommended identifiers:</w:t>
      </w:r>
    </w:p>
    <w:p>
      <w:pPr>
        <w:spacing w:after="60"/>
        <w:ind w:left="0"/>
      </w:pPr>
      <w:r>
        <w:rPr>
          <w:b/>
        </w:rPr>
        <w:t xml:space="preserve">• </w:t>
      </w:r>
      <w:r>
        <w:t>PlatformTenantId: Merchant360 tenant or external service tenant.</w:t>
      </w:r>
    </w:p>
    <w:p>
      <w:pPr>
        <w:spacing w:after="60"/>
        <w:ind w:left="0"/>
      </w:pPr>
      <w:r>
        <w:rPr>
          <w:b/>
        </w:rPr>
        <w:t xml:space="preserve">• </w:t>
      </w:r>
      <w:r>
        <w:t>DealerAccountId: the actual dealer identity consuming the partner connectivity.</w:t>
      </w:r>
    </w:p>
    <w:p>
      <w:pPr>
        <w:spacing w:after="60"/>
        <w:ind w:left="0"/>
      </w:pPr>
      <w:r>
        <w:rPr>
          <w:b/>
        </w:rPr>
        <w:t xml:space="preserve">• </w:t>
      </w:r>
      <w:r>
        <w:t>TradingPartnerId: partner definition such as SPR.</w:t>
      </w:r>
    </w:p>
    <w:p>
      <w:pPr>
        <w:spacing w:after="60"/>
        <w:ind w:left="0"/>
      </w:pPr>
      <w:r>
        <w:rPr>
          <w:b/>
        </w:rPr>
        <w:t xml:space="preserve">• </w:t>
      </w:r>
      <w:r>
        <w:t>PartnerAccountId: dealer-specific account with that partner.</w:t>
      </w:r>
    </w:p>
    <w:p>
      <w:pPr>
        <w:spacing w:after="60"/>
        <w:ind w:left="0"/>
      </w:pPr>
      <w:r>
        <w:rPr>
          <w:b/>
        </w:rPr>
        <w:t xml:space="preserve">• </w:t>
      </w:r>
      <w:r>
        <w:t>DocumentFlowId: configured document/transport/mapping flow for a partner account.</w:t>
      </w:r>
    </w:p>
    <w:p>
      <w:pPr>
        <w:pStyle w:val="Heading1"/>
      </w:pPr>
      <w:r>
        <w:t>6. Core domain objects</w:t>
      </w:r>
    </w:p>
    <w:tbl>
      <w:tblPr>
        <w:tblStyle w:val="TableGrid"/>
        <w:tblW w:type="auto" w:w="0"/>
        <w:jc w:val="center"/>
        <w:tblLook w:firstColumn="1" w:firstRow="1" w:lastColumn="0" w:lastRow="0" w:noHBand="0" w:noVBand="1" w:val="04A0"/>
      </w:tblPr>
      <w:tblGrid>
        <w:gridCol w:w="4968"/>
        <w:gridCol w:w="4968"/>
      </w:tblGrid>
      <w:tr>
        <w:tc>
          <w:tcPr>
            <w:tcW w:type="dxa" w:w="3312"/>
            <w:vAlign w:val="center"/>
          </w:tcPr>
          <w:p>
            <w:pPr>
              <w:spacing w:after="0"/>
            </w:pPr>
            <w:r>
              <w:rPr>
                <w:b/>
                <w:sz w:val="18"/>
              </w:rPr>
              <w:t>Canonical object</w:t>
            </w:r>
          </w:p>
        </w:tc>
        <w:tc>
          <w:tcPr>
            <w:tcW w:type="dxa" w:w="6336"/>
            <w:vAlign w:val="center"/>
          </w:tcPr>
          <w:p>
            <w:pPr>
              <w:spacing w:after="0"/>
            </w:pPr>
            <w:r>
              <w:rPr>
                <w:b/>
                <w:sz w:val="18"/>
              </w:rPr>
              <w:t>Purpose</w:t>
            </w:r>
          </w:p>
        </w:tc>
      </w:tr>
      <w:tr>
        <w:tc>
          <w:tcPr>
            <w:tcW w:type="dxa" w:w="3312"/>
            <w:vAlign w:val="center"/>
          </w:tcPr>
          <w:p>
            <w:pPr>
              <w:spacing w:after="0"/>
            </w:pPr>
            <w:r>
              <w:rPr>
                <w:sz w:val="18"/>
              </w:rPr>
              <w:t>PurchaseOrder</w:t>
            </w:r>
          </w:p>
        </w:tc>
        <w:tc>
          <w:tcPr>
            <w:tcW w:type="dxa" w:w="6336"/>
            <w:vAlign w:val="center"/>
          </w:tcPr>
          <w:p>
            <w:pPr>
              <w:spacing w:after="0"/>
            </w:pPr>
            <w:r>
              <w:rPr>
                <w:sz w:val="18"/>
              </w:rPr>
              <w:t>Outbound dealer order from Merchant360 to partner</w:t>
            </w:r>
          </w:p>
        </w:tc>
      </w:tr>
      <w:tr>
        <w:tc>
          <w:tcPr>
            <w:tcW w:type="dxa" w:w="3312"/>
            <w:vAlign w:val="center"/>
          </w:tcPr>
          <w:p>
            <w:pPr>
              <w:spacing w:after="0"/>
            </w:pPr>
            <w:r>
              <w:rPr>
                <w:sz w:val="18"/>
              </w:rPr>
              <w:t>PurchaseOrderAcknowledgement</w:t>
            </w:r>
          </w:p>
        </w:tc>
        <w:tc>
          <w:tcPr>
            <w:tcW w:type="dxa" w:w="6336"/>
            <w:vAlign w:val="center"/>
          </w:tcPr>
          <w:p>
            <w:pPr>
              <w:spacing w:after="0"/>
            </w:pPr>
            <w:r>
              <w:rPr>
                <w:sz w:val="18"/>
              </w:rPr>
              <w:t>Inbound acknowledgement of accepted, rejected, or changed order status</w:t>
            </w:r>
          </w:p>
        </w:tc>
      </w:tr>
      <w:tr>
        <w:tc>
          <w:tcPr>
            <w:tcW w:type="dxa" w:w="3312"/>
            <w:vAlign w:val="center"/>
          </w:tcPr>
          <w:p>
            <w:pPr>
              <w:spacing w:after="0"/>
            </w:pPr>
            <w:r>
              <w:rPr>
                <w:sz w:val="18"/>
              </w:rPr>
              <w:t>ShipmentNotice</w:t>
            </w:r>
          </w:p>
        </w:tc>
        <w:tc>
          <w:tcPr>
            <w:tcW w:type="dxa" w:w="6336"/>
            <w:vAlign w:val="center"/>
          </w:tcPr>
          <w:p>
            <w:pPr>
              <w:spacing w:after="0"/>
            </w:pPr>
            <w:r>
              <w:rPr>
                <w:sz w:val="18"/>
              </w:rPr>
              <w:t>Inbound ASN/shipment event with line and tracking detail</w:t>
            </w:r>
          </w:p>
        </w:tc>
      </w:tr>
      <w:tr>
        <w:tc>
          <w:tcPr>
            <w:tcW w:type="dxa" w:w="3312"/>
            <w:vAlign w:val="center"/>
          </w:tcPr>
          <w:p>
            <w:pPr>
              <w:spacing w:after="0"/>
            </w:pPr>
            <w:r>
              <w:rPr>
                <w:sz w:val="18"/>
              </w:rPr>
              <w:t>SupplierInvoice</w:t>
            </w:r>
          </w:p>
        </w:tc>
        <w:tc>
          <w:tcPr>
            <w:tcW w:type="dxa" w:w="6336"/>
            <w:vAlign w:val="center"/>
          </w:tcPr>
          <w:p>
            <w:pPr>
              <w:spacing w:after="0"/>
            </w:pPr>
            <w:r>
              <w:rPr>
                <w:sz w:val="18"/>
              </w:rPr>
              <w:t>Inbound invoice from partner</w:t>
            </w:r>
          </w:p>
        </w:tc>
      </w:tr>
      <w:tr>
        <w:tc>
          <w:tcPr>
            <w:tcW w:type="dxa" w:w="3312"/>
            <w:vAlign w:val="center"/>
          </w:tcPr>
          <w:p>
            <w:pPr>
              <w:spacing w:after="0"/>
            </w:pPr>
            <w:r>
              <w:rPr>
                <w:sz w:val="18"/>
              </w:rPr>
              <w:t>PriceUpdate</w:t>
            </w:r>
          </w:p>
        </w:tc>
        <w:tc>
          <w:tcPr>
            <w:tcW w:type="dxa" w:w="6336"/>
            <w:vAlign w:val="center"/>
          </w:tcPr>
          <w:p>
            <w:pPr>
              <w:spacing w:after="0"/>
            </w:pPr>
            <w:r>
              <w:rPr>
                <w:sz w:val="18"/>
              </w:rPr>
              <w:t>Inbound scheduled or event-driven pricing data</w:t>
            </w:r>
          </w:p>
        </w:tc>
      </w:tr>
      <w:tr>
        <w:tc>
          <w:tcPr>
            <w:tcW w:type="dxa" w:w="3312"/>
            <w:vAlign w:val="center"/>
          </w:tcPr>
          <w:p>
            <w:pPr>
              <w:spacing w:after="0"/>
            </w:pPr>
            <w:r>
              <w:rPr>
                <w:sz w:val="18"/>
              </w:rPr>
              <w:t>InventoryUpdate</w:t>
            </w:r>
          </w:p>
        </w:tc>
        <w:tc>
          <w:tcPr>
            <w:tcW w:type="dxa" w:w="6336"/>
            <w:vAlign w:val="center"/>
          </w:tcPr>
          <w:p>
            <w:pPr>
              <w:spacing w:after="0"/>
            </w:pPr>
            <w:r>
              <w:rPr>
                <w:sz w:val="18"/>
              </w:rPr>
              <w:t>Inbound scheduled or near-real-time inventory data</w:t>
            </w:r>
          </w:p>
        </w:tc>
      </w:tr>
      <w:tr>
        <w:tc>
          <w:tcPr>
            <w:tcW w:type="dxa" w:w="3312"/>
            <w:vAlign w:val="center"/>
          </w:tcPr>
          <w:p>
            <w:pPr>
              <w:spacing w:after="0"/>
            </w:pPr>
            <w:r>
              <w:rPr>
                <w:sz w:val="18"/>
              </w:rPr>
              <w:t>CatalogUpdate</w:t>
            </w:r>
          </w:p>
        </w:tc>
        <w:tc>
          <w:tcPr>
            <w:tcW w:type="dxa" w:w="6336"/>
            <w:vAlign w:val="center"/>
          </w:tcPr>
          <w:p>
            <w:pPr>
              <w:spacing w:after="0"/>
            </w:pPr>
            <w:r>
              <w:rPr>
                <w:sz w:val="18"/>
              </w:rPr>
              <w:t>Inbound product or content update</w:t>
            </w:r>
          </w:p>
        </w:tc>
      </w:tr>
      <w:tr>
        <w:tc>
          <w:tcPr>
            <w:tcW w:type="dxa" w:w="3312"/>
            <w:vAlign w:val="center"/>
          </w:tcPr>
          <w:p>
            <w:pPr>
              <w:spacing w:after="0"/>
            </w:pPr>
            <w:r>
              <w:rPr>
                <w:sz w:val="18"/>
              </w:rPr>
              <w:t>ConnectivityMessage</w:t>
            </w:r>
          </w:p>
        </w:tc>
        <w:tc>
          <w:tcPr>
            <w:tcW w:type="dxa" w:w="6336"/>
            <w:vAlign w:val="center"/>
          </w:tcPr>
          <w:p>
            <w:pPr>
              <w:spacing w:after="0"/>
            </w:pPr>
            <w:r>
              <w:rPr>
                <w:sz w:val="18"/>
              </w:rPr>
              <w:t>Transport-level record for a sent or received payload</w:t>
            </w:r>
          </w:p>
        </w:tc>
      </w:tr>
      <w:tr>
        <w:tc>
          <w:tcPr>
            <w:tcW w:type="dxa" w:w="3312"/>
            <w:vAlign w:val="center"/>
          </w:tcPr>
          <w:p>
            <w:pPr>
              <w:spacing w:after="0"/>
            </w:pPr>
            <w:r>
              <w:rPr>
                <w:sz w:val="18"/>
              </w:rPr>
              <w:t>MeterUsageRecord</w:t>
            </w:r>
          </w:p>
        </w:tc>
        <w:tc>
          <w:tcPr>
            <w:tcW w:type="dxa" w:w="6336"/>
            <w:vAlign w:val="center"/>
          </w:tcPr>
          <w:p>
            <w:pPr>
              <w:spacing w:after="0"/>
            </w:pPr>
            <w:r>
              <w:rPr>
                <w:sz w:val="18"/>
              </w:rPr>
              <w:t>Immutable usage event for billing and reporting</w:t>
            </w:r>
          </w:p>
        </w:tc>
      </w:tr>
    </w:tbl>
    <w:p/>
    <w:p>
      <w:pPr>
        <w:pStyle w:val="Heading1"/>
      </w:pPr>
      <w:r>
        <w:t>7. Database design</w:t>
      </w:r>
    </w:p>
    <w:p>
      <w:pPr/>
      <w:r>
        <w:t>Use one SQL Server database for operational metadata and canonical business records, plus Blob/File storage for raw payloads. Keep raw documents out of large text columns where possible and store durable references instead.</w:t>
      </w:r>
    </w:p>
    <w:p>
      <w:pPr>
        <w:pStyle w:val="Heading2"/>
      </w:pPr>
      <w:r>
        <w:t>7.1 Configuration tables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tcPr>
          <w:p>
            <w:pPr>
              <w:spacing w:after="0"/>
            </w:pPr>
            <w:r>
              <w:rPr>
                <w:b/>
                <w:sz w:val="18"/>
              </w:rPr>
              <w:t>Table</w:t>
            </w:r>
          </w:p>
        </w:tc>
        <w:tc>
          <w:tcPr>
            <w:tcW w:type="dxa" w:w="2160"/>
            <w:vAlign w:val="center"/>
          </w:tcPr>
          <w:p>
            <w:pPr>
              <w:spacing w:after="0"/>
            </w:pPr>
            <w:r>
              <w:rPr>
                <w:b/>
                <w:sz w:val="18"/>
              </w:rPr>
              <w:t>Primary key</w:t>
            </w:r>
          </w:p>
        </w:tc>
        <w:tc>
          <w:tcPr>
            <w:tcW w:type="dxa" w:w="4896"/>
            <w:vAlign w:val="center"/>
          </w:tcPr>
          <w:p>
            <w:pPr>
              <w:spacing w:after="0"/>
            </w:pPr>
            <w:r>
              <w:rPr>
                <w:b/>
                <w:sz w:val="18"/>
              </w:rPr>
              <w:t>Selected columns</w:t>
            </w:r>
          </w:p>
        </w:tc>
      </w:tr>
      <w:tr>
        <w:tc>
          <w:tcPr>
            <w:tcW w:type="dxa" w:w="2592"/>
            <w:vAlign w:val="center"/>
          </w:tcPr>
          <w:p>
            <w:pPr>
              <w:spacing w:after="0"/>
            </w:pPr>
            <w:r>
              <w:rPr>
                <w:sz w:val="18"/>
              </w:rPr>
              <w:t>PlatformTenants</w:t>
            </w:r>
          </w:p>
        </w:tc>
        <w:tc>
          <w:tcPr>
            <w:tcW w:type="dxa" w:w="2160"/>
            <w:vAlign w:val="center"/>
          </w:tcPr>
          <w:p>
            <w:pPr>
              <w:spacing w:after="0"/>
            </w:pPr>
            <w:r>
              <w:rPr>
                <w:sz w:val="18"/>
              </w:rPr>
              <w:t>PlatformTenantId</w:t>
            </w:r>
          </w:p>
        </w:tc>
        <w:tc>
          <w:tcPr>
            <w:tcW w:type="dxa" w:w="4896"/>
            <w:vAlign w:val="center"/>
          </w:tcPr>
          <w:p>
            <w:pPr>
              <w:spacing w:after="0"/>
            </w:pPr>
            <w:r>
              <w:rPr>
                <w:sz w:val="18"/>
              </w:rPr>
              <w:t>TenantName, SourceSystem, Status, BillingPlanId</w:t>
            </w:r>
          </w:p>
        </w:tc>
      </w:tr>
      <w:tr>
        <w:tc>
          <w:tcPr>
            <w:tcW w:type="dxa" w:w="2592"/>
            <w:vAlign w:val="center"/>
          </w:tcPr>
          <w:p>
            <w:pPr>
              <w:spacing w:after="0"/>
            </w:pPr>
            <w:r>
              <w:rPr>
                <w:sz w:val="18"/>
              </w:rPr>
              <w:t>DealerAccounts</w:t>
            </w:r>
          </w:p>
        </w:tc>
        <w:tc>
          <w:tcPr>
            <w:tcW w:type="dxa" w:w="2160"/>
            <w:vAlign w:val="center"/>
          </w:tcPr>
          <w:p>
            <w:pPr>
              <w:spacing w:after="0"/>
            </w:pPr>
            <w:r>
              <w:rPr>
                <w:sz w:val="18"/>
              </w:rPr>
              <w:t>DealerAccountId</w:t>
            </w:r>
          </w:p>
        </w:tc>
        <w:tc>
          <w:tcPr>
            <w:tcW w:type="dxa" w:w="4896"/>
            <w:vAlign w:val="center"/>
          </w:tcPr>
          <w:p>
            <w:pPr>
              <w:spacing w:after="0"/>
            </w:pPr>
            <w:r>
              <w:rPr>
                <w:sz w:val="18"/>
              </w:rPr>
              <w:t>PlatformTenantId, DealerName, DealerCode, TimeZone, Status</w:t>
            </w:r>
          </w:p>
        </w:tc>
      </w:tr>
      <w:tr>
        <w:tc>
          <w:tcPr>
            <w:tcW w:type="dxa" w:w="2592"/>
            <w:vAlign w:val="center"/>
          </w:tcPr>
          <w:p>
            <w:pPr>
              <w:spacing w:after="0"/>
            </w:pPr>
            <w:r>
              <w:rPr>
                <w:sz w:val="18"/>
              </w:rPr>
              <w:t>TradingPartners</w:t>
            </w:r>
          </w:p>
        </w:tc>
        <w:tc>
          <w:tcPr>
            <w:tcW w:type="dxa" w:w="2160"/>
            <w:vAlign w:val="center"/>
          </w:tcPr>
          <w:p>
            <w:pPr>
              <w:spacing w:after="0"/>
            </w:pPr>
            <w:r>
              <w:rPr>
                <w:sz w:val="18"/>
              </w:rPr>
              <w:t>TradingPartnerId</w:t>
            </w:r>
          </w:p>
        </w:tc>
        <w:tc>
          <w:tcPr>
            <w:tcW w:type="dxa" w:w="4896"/>
            <w:vAlign w:val="center"/>
          </w:tcPr>
          <w:p>
            <w:pPr>
              <w:spacing w:after="0"/>
            </w:pPr>
            <w:r>
              <w:rPr>
                <w:sz w:val="18"/>
              </w:rPr>
              <w:t>PartnerCode, Name, Category, Status</w:t>
            </w:r>
          </w:p>
        </w:tc>
      </w:tr>
      <w:tr>
        <w:tc>
          <w:tcPr>
            <w:tcW w:type="dxa" w:w="2592"/>
            <w:vAlign w:val="center"/>
          </w:tcPr>
          <w:p>
            <w:pPr>
              <w:spacing w:after="0"/>
            </w:pPr>
            <w:r>
              <w:rPr>
                <w:sz w:val="18"/>
              </w:rPr>
              <w:t>PartnerAccounts</w:t>
            </w:r>
          </w:p>
        </w:tc>
        <w:tc>
          <w:tcPr>
            <w:tcW w:type="dxa" w:w="2160"/>
            <w:vAlign w:val="center"/>
          </w:tcPr>
          <w:p>
            <w:pPr>
              <w:spacing w:after="0"/>
            </w:pPr>
            <w:r>
              <w:rPr>
                <w:sz w:val="18"/>
              </w:rPr>
              <w:t>PartnerAccountId</w:t>
            </w:r>
          </w:p>
        </w:tc>
        <w:tc>
          <w:tcPr>
            <w:tcW w:type="dxa" w:w="4896"/>
            <w:vAlign w:val="center"/>
          </w:tcPr>
          <w:p>
            <w:pPr>
              <w:spacing w:after="0"/>
            </w:pPr>
            <w:r>
              <w:rPr>
                <w:sz w:val="18"/>
              </w:rPr>
              <w:t>DealerAccountId, TradingPartnerId, PartnerCustomerNumber, EnvMode, Status</w:t>
            </w:r>
          </w:p>
        </w:tc>
      </w:tr>
      <w:tr>
        <w:tc>
          <w:tcPr>
            <w:tcW w:type="dxa" w:w="2592"/>
            <w:vAlign w:val="center"/>
          </w:tcPr>
          <w:p>
            <w:pPr>
              <w:spacing w:after="0"/>
            </w:pPr>
            <w:r>
              <w:rPr>
                <w:sz w:val="18"/>
              </w:rPr>
              <w:t>PartnerEndpoints</w:t>
            </w:r>
          </w:p>
        </w:tc>
        <w:tc>
          <w:tcPr>
            <w:tcW w:type="dxa" w:w="2160"/>
            <w:vAlign w:val="center"/>
          </w:tcPr>
          <w:p>
            <w:pPr>
              <w:spacing w:after="0"/>
            </w:pPr>
            <w:r>
              <w:rPr>
                <w:sz w:val="18"/>
              </w:rPr>
              <w:t>PartnerEndpointId</w:t>
            </w:r>
          </w:p>
        </w:tc>
        <w:tc>
          <w:tcPr>
            <w:tcW w:type="dxa" w:w="4896"/>
            <w:vAlign w:val="center"/>
          </w:tcPr>
          <w:p>
            <w:pPr>
              <w:spacing w:after="0"/>
            </w:pPr>
            <w:r>
              <w:rPr>
                <w:sz w:val="18"/>
              </w:rPr>
              <w:t>PartnerAccountId, TransportType, Host, Port, RemotePath, UsernameRef, SecretRef</w:t>
            </w:r>
          </w:p>
        </w:tc>
      </w:tr>
      <w:tr>
        <w:tc>
          <w:tcPr>
            <w:tcW w:type="dxa" w:w="2592"/>
            <w:vAlign w:val="center"/>
          </w:tcPr>
          <w:p>
            <w:pPr>
              <w:spacing w:after="0"/>
            </w:pPr>
            <w:r>
              <w:rPr>
                <w:sz w:val="18"/>
              </w:rPr>
              <w:t>PartnerDocumentFlows</w:t>
            </w:r>
          </w:p>
        </w:tc>
        <w:tc>
          <w:tcPr>
            <w:tcW w:type="dxa" w:w="2160"/>
            <w:vAlign w:val="center"/>
          </w:tcPr>
          <w:p>
            <w:pPr>
              <w:spacing w:after="0"/>
            </w:pPr>
            <w:r>
              <w:rPr>
                <w:sz w:val="18"/>
              </w:rPr>
              <w:t>DocumentFlowId</w:t>
            </w:r>
          </w:p>
        </w:tc>
        <w:tc>
          <w:tcPr>
            <w:tcW w:type="dxa" w:w="4896"/>
            <w:vAlign w:val="center"/>
          </w:tcPr>
          <w:p>
            <w:pPr>
              <w:spacing w:after="0"/>
            </w:pPr>
            <w:r>
              <w:rPr>
                <w:sz w:val="18"/>
              </w:rPr>
              <w:t>PartnerAccountId, DocumentType, Direction, Enabled, ScheduleId, MappingVersionId</w:t>
            </w:r>
          </w:p>
        </w:tc>
      </w:tr>
      <w:tr>
        <w:tc>
          <w:tcPr>
            <w:tcW w:type="dxa" w:w="2592"/>
            <w:vAlign w:val="center"/>
          </w:tcPr>
          <w:p>
            <w:pPr>
              <w:spacing w:after="0"/>
            </w:pPr>
            <w:r>
              <w:rPr>
                <w:sz w:val="18"/>
              </w:rPr>
              <w:t>PartnerIdentifiers</w:t>
            </w:r>
          </w:p>
        </w:tc>
        <w:tc>
          <w:tcPr>
            <w:tcW w:type="dxa" w:w="2160"/>
            <w:vAlign w:val="center"/>
          </w:tcPr>
          <w:p>
            <w:pPr>
              <w:spacing w:after="0"/>
            </w:pPr>
            <w:r>
              <w:rPr>
                <w:sz w:val="18"/>
              </w:rPr>
              <w:t>PartnerIdentifierId</w:t>
            </w:r>
          </w:p>
        </w:tc>
        <w:tc>
          <w:tcPr>
            <w:tcW w:type="dxa" w:w="4896"/>
            <w:vAlign w:val="center"/>
          </w:tcPr>
          <w:p>
            <w:pPr>
              <w:spacing w:after="0"/>
            </w:pPr>
            <w:r>
              <w:rPr>
                <w:sz w:val="18"/>
              </w:rPr>
              <w:t>PartnerAccountId, Qualifier, IdentifierValue, IdentifierType</w:t>
            </w:r>
          </w:p>
        </w:tc>
      </w:tr>
      <w:tr>
        <w:tc>
          <w:tcPr>
            <w:tcW w:type="dxa" w:w="2592"/>
            <w:vAlign w:val="center"/>
          </w:tcPr>
          <w:p>
            <w:pPr>
              <w:spacing w:after="0"/>
            </w:pPr>
            <w:r>
              <w:rPr>
                <w:sz w:val="18"/>
              </w:rPr>
              <w:t>DealerContacts</w:t>
            </w:r>
          </w:p>
        </w:tc>
        <w:tc>
          <w:tcPr>
            <w:tcW w:type="dxa" w:w="2160"/>
            <w:vAlign w:val="center"/>
          </w:tcPr>
          <w:p>
            <w:pPr>
              <w:spacing w:after="0"/>
            </w:pPr>
            <w:r>
              <w:rPr>
                <w:sz w:val="18"/>
              </w:rPr>
              <w:t>DealerContactId</w:t>
            </w:r>
          </w:p>
        </w:tc>
        <w:tc>
          <w:tcPr>
            <w:tcW w:type="dxa" w:w="4896"/>
            <w:vAlign w:val="center"/>
          </w:tcPr>
          <w:p>
            <w:pPr>
              <w:spacing w:after="0"/>
            </w:pPr>
            <w:r>
              <w:rPr>
                <w:sz w:val="18"/>
              </w:rPr>
              <w:t>DealerAccountId, ContactType, Name, Email, Phone</w:t>
            </w:r>
          </w:p>
        </w:tc>
      </w:tr>
      <w:tr>
        <w:tc>
          <w:tcPr>
            <w:tcW w:type="dxa" w:w="2592"/>
            <w:vAlign w:val="center"/>
          </w:tcPr>
          <w:p>
            <w:pPr>
              <w:spacing w:after="0"/>
            </w:pPr>
            <w:r>
              <w:rPr>
                <w:sz w:val="18"/>
              </w:rPr>
              <w:t>SchedulingProfiles</w:t>
            </w:r>
          </w:p>
        </w:tc>
        <w:tc>
          <w:tcPr>
            <w:tcW w:type="dxa" w:w="2160"/>
            <w:vAlign w:val="center"/>
          </w:tcPr>
          <w:p>
            <w:pPr>
              <w:spacing w:after="0"/>
            </w:pPr>
            <w:r>
              <w:rPr>
                <w:sz w:val="18"/>
              </w:rPr>
              <w:t>ScheduleId</w:t>
            </w:r>
          </w:p>
        </w:tc>
        <w:tc>
          <w:tcPr>
            <w:tcW w:type="dxa" w:w="4896"/>
            <w:vAlign w:val="center"/>
          </w:tcPr>
          <w:p>
            <w:pPr>
              <w:spacing w:after="0"/>
            </w:pPr>
            <w:r>
              <w:rPr>
                <w:sz w:val="18"/>
              </w:rPr>
              <w:t>CronExpression, TimeZone, WindowStart, WindowEnd</w:t>
            </w:r>
          </w:p>
        </w:tc>
      </w:tr>
      <w:tr>
        <w:tc>
          <w:tcPr>
            <w:tcW w:type="dxa" w:w="2592"/>
            <w:vAlign w:val="center"/>
          </w:tcPr>
          <w:p>
            <w:pPr>
              <w:spacing w:after="0"/>
            </w:pPr>
            <w:r>
              <w:rPr>
                <w:sz w:val="18"/>
              </w:rPr>
              <w:t>MappingVersions</w:t>
            </w:r>
          </w:p>
        </w:tc>
        <w:tc>
          <w:tcPr>
            <w:tcW w:type="dxa" w:w="2160"/>
            <w:vAlign w:val="center"/>
          </w:tcPr>
          <w:p>
            <w:pPr>
              <w:spacing w:after="0"/>
            </w:pPr>
            <w:r>
              <w:rPr>
                <w:sz w:val="18"/>
              </w:rPr>
              <w:t>MappingVersionId</w:t>
            </w:r>
          </w:p>
        </w:tc>
        <w:tc>
          <w:tcPr>
            <w:tcW w:type="dxa" w:w="4896"/>
            <w:vAlign w:val="center"/>
          </w:tcPr>
          <w:p>
            <w:pPr>
              <w:spacing w:after="0"/>
            </w:pPr>
            <w:r>
              <w:rPr>
                <w:sz w:val="18"/>
              </w:rPr>
              <w:t>PartnerId, DocumentType, VersionName, EffectiveFrom, Status</w:t>
            </w:r>
          </w:p>
        </w:tc>
      </w:tr>
      <w:tr>
        <w:tc>
          <w:tcPr>
            <w:tcW w:type="dxa" w:w="2592"/>
            <w:vAlign w:val="center"/>
          </w:tcPr>
          <w:p>
            <w:pPr>
              <w:spacing w:after="0"/>
            </w:pPr>
            <w:r>
              <w:rPr>
                <w:sz w:val="18"/>
              </w:rPr>
              <w:t>CodeTranslationMaps</w:t>
            </w:r>
          </w:p>
        </w:tc>
        <w:tc>
          <w:tcPr>
            <w:tcW w:type="dxa" w:w="2160"/>
            <w:vAlign w:val="center"/>
          </w:tcPr>
          <w:p>
            <w:pPr>
              <w:spacing w:after="0"/>
            </w:pPr>
            <w:r>
              <w:rPr>
                <w:sz w:val="18"/>
              </w:rPr>
              <w:t>MapId</w:t>
            </w:r>
          </w:p>
        </w:tc>
        <w:tc>
          <w:tcPr>
            <w:tcW w:type="dxa" w:w="4896"/>
            <w:vAlign w:val="center"/>
          </w:tcPr>
          <w:p>
            <w:pPr>
              <w:spacing w:after="0"/>
            </w:pPr>
            <w:r>
              <w:rPr>
                <w:sz w:val="18"/>
              </w:rPr>
              <w:t>PartnerId, MapType, SourceCode, CanonicalCode, EffectiveFrom</w:t>
            </w:r>
          </w:p>
        </w:tc>
      </w:tr>
      <w:tr>
        <w:tc>
          <w:tcPr>
            <w:tcW w:type="dxa" w:w="2592"/>
            <w:vAlign w:val="center"/>
          </w:tcPr>
          <w:p>
            <w:pPr>
              <w:spacing w:after="0"/>
            </w:pPr>
            <w:r>
              <w:rPr>
                <w:sz w:val="18"/>
              </w:rPr>
              <w:t>FeatureFlags</w:t>
            </w:r>
          </w:p>
        </w:tc>
        <w:tc>
          <w:tcPr>
            <w:tcW w:type="dxa" w:w="2160"/>
            <w:vAlign w:val="center"/>
          </w:tcPr>
          <w:p>
            <w:pPr>
              <w:spacing w:after="0"/>
            </w:pPr>
            <w:r>
              <w:rPr>
                <w:sz w:val="18"/>
              </w:rPr>
              <w:t>FeatureFlagId</w:t>
            </w:r>
          </w:p>
        </w:tc>
        <w:tc>
          <w:tcPr>
            <w:tcW w:type="dxa" w:w="4896"/>
            <w:vAlign w:val="center"/>
          </w:tcPr>
          <w:p>
            <w:pPr>
              <w:spacing w:after="0"/>
            </w:pPr>
            <w:r>
              <w:rPr>
                <w:sz w:val="18"/>
              </w:rPr>
              <w:t>ScopeType, ScopeId, FeatureName, Enabled</w:t>
            </w:r>
          </w:p>
        </w:tc>
      </w:tr>
    </w:tbl>
    <w:p/>
    <w:p>
      <w:pPr>
        <w:pStyle w:val="Heading2"/>
      </w:pPr>
      <w:r>
        <w:t>7.2 Document lifecycle tables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tcPr>
          <w:p>
            <w:pPr>
              <w:spacing w:after="0"/>
            </w:pPr>
            <w:r>
              <w:rPr>
                <w:b/>
                <w:sz w:val="18"/>
              </w:rPr>
              <w:t>Table</w:t>
            </w:r>
          </w:p>
        </w:tc>
        <w:tc>
          <w:tcPr>
            <w:tcW w:type="dxa" w:w="2160"/>
            <w:vAlign w:val="center"/>
          </w:tcPr>
          <w:p>
            <w:pPr>
              <w:spacing w:after="0"/>
            </w:pPr>
            <w:r>
              <w:rPr>
                <w:b/>
                <w:sz w:val="18"/>
              </w:rPr>
              <w:t>Primary key</w:t>
            </w:r>
          </w:p>
        </w:tc>
        <w:tc>
          <w:tcPr>
            <w:tcW w:type="dxa" w:w="4896"/>
            <w:vAlign w:val="center"/>
          </w:tcPr>
          <w:p>
            <w:pPr>
              <w:spacing w:after="0"/>
            </w:pPr>
            <w:r>
              <w:rPr>
                <w:b/>
                <w:sz w:val="18"/>
              </w:rPr>
              <w:t>Selected columns</w:t>
            </w:r>
          </w:p>
        </w:tc>
      </w:tr>
      <w:tr>
        <w:tc>
          <w:tcPr>
            <w:tcW w:type="dxa" w:w="2592"/>
            <w:vAlign w:val="center"/>
          </w:tcPr>
          <w:p>
            <w:pPr>
              <w:spacing w:after="0"/>
            </w:pPr>
            <w:r>
              <w:rPr>
                <w:sz w:val="18"/>
              </w:rPr>
              <w:t>Documents</w:t>
            </w:r>
          </w:p>
        </w:tc>
        <w:tc>
          <w:tcPr>
            <w:tcW w:type="dxa" w:w="2160"/>
            <w:vAlign w:val="center"/>
          </w:tcPr>
          <w:p>
            <w:pPr>
              <w:spacing w:after="0"/>
            </w:pPr>
            <w:r>
              <w:rPr>
                <w:sz w:val="18"/>
              </w:rPr>
              <w:t>DocumentId</w:t>
            </w:r>
          </w:p>
        </w:tc>
        <w:tc>
          <w:tcPr>
            <w:tcW w:type="dxa" w:w="4896"/>
            <w:vAlign w:val="center"/>
          </w:tcPr>
          <w:p>
            <w:pPr>
              <w:spacing w:after="0"/>
            </w:pPr>
            <w:r>
              <w:rPr>
                <w:sz w:val="18"/>
              </w:rPr>
              <w:t>DealerAccountId, PartnerAccountId, DocumentType, Direction, ExternalRef, Status, CorrelationId</w:t>
            </w:r>
          </w:p>
        </w:tc>
      </w:tr>
      <w:tr>
        <w:tc>
          <w:tcPr>
            <w:tcW w:type="dxa" w:w="2592"/>
            <w:vAlign w:val="center"/>
          </w:tcPr>
          <w:p>
            <w:pPr>
              <w:spacing w:after="0"/>
            </w:pPr>
            <w:r>
              <w:rPr>
                <w:sz w:val="18"/>
              </w:rPr>
              <w:t>DocumentPayloads</w:t>
            </w:r>
          </w:p>
        </w:tc>
        <w:tc>
          <w:tcPr>
            <w:tcW w:type="dxa" w:w="2160"/>
            <w:vAlign w:val="center"/>
          </w:tcPr>
          <w:p>
            <w:pPr>
              <w:spacing w:after="0"/>
            </w:pPr>
            <w:r>
              <w:rPr>
                <w:sz w:val="18"/>
              </w:rPr>
              <w:t>PayloadId</w:t>
            </w:r>
          </w:p>
        </w:tc>
        <w:tc>
          <w:tcPr>
            <w:tcW w:type="dxa" w:w="4896"/>
            <w:vAlign w:val="center"/>
          </w:tcPr>
          <w:p>
            <w:pPr>
              <w:spacing w:after="0"/>
            </w:pPr>
            <w:r>
              <w:rPr>
                <w:sz w:val="18"/>
              </w:rPr>
              <w:t>DocumentId, PayloadRole(Raw/Normalized/Generated), StorageUri, ContentHash, ReceivedAt</w:t>
            </w:r>
          </w:p>
        </w:tc>
      </w:tr>
      <w:tr>
        <w:tc>
          <w:tcPr>
            <w:tcW w:type="dxa" w:w="2592"/>
            <w:vAlign w:val="center"/>
          </w:tcPr>
          <w:p>
            <w:pPr>
              <w:spacing w:after="0"/>
            </w:pPr>
            <w:r>
              <w:rPr>
                <w:sz w:val="18"/>
              </w:rPr>
              <w:t>DocumentStatuses</w:t>
            </w:r>
          </w:p>
        </w:tc>
        <w:tc>
          <w:tcPr>
            <w:tcW w:type="dxa" w:w="2160"/>
            <w:vAlign w:val="center"/>
          </w:tcPr>
          <w:p>
            <w:pPr>
              <w:spacing w:after="0"/>
            </w:pPr>
            <w:r>
              <w:rPr>
                <w:sz w:val="18"/>
              </w:rPr>
              <w:t>DocumentStatusId</w:t>
            </w:r>
          </w:p>
        </w:tc>
        <w:tc>
          <w:tcPr>
            <w:tcW w:type="dxa" w:w="4896"/>
            <w:vAlign w:val="center"/>
          </w:tcPr>
          <w:p>
            <w:pPr>
              <w:spacing w:after="0"/>
            </w:pPr>
            <w:r>
              <w:rPr>
                <w:sz w:val="18"/>
              </w:rPr>
              <w:t>DocumentId, OldStatus, NewStatus, StatusReason, ChangedAt, ChangedBy</w:t>
            </w:r>
          </w:p>
        </w:tc>
      </w:tr>
      <w:tr>
        <w:tc>
          <w:tcPr>
            <w:tcW w:type="dxa" w:w="2592"/>
            <w:vAlign w:val="center"/>
          </w:tcPr>
          <w:p>
            <w:pPr>
              <w:spacing w:after="0"/>
            </w:pPr>
            <w:r>
              <w:rPr>
                <w:sz w:val="18"/>
              </w:rPr>
              <w:t>DocumentErrors</w:t>
            </w:r>
          </w:p>
        </w:tc>
        <w:tc>
          <w:tcPr>
            <w:tcW w:type="dxa" w:w="2160"/>
            <w:vAlign w:val="center"/>
          </w:tcPr>
          <w:p>
            <w:pPr>
              <w:spacing w:after="0"/>
            </w:pPr>
            <w:r>
              <w:rPr>
                <w:sz w:val="18"/>
              </w:rPr>
              <w:t>DocumentErrorId</w:t>
            </w:r>
          </w:p>
        </w:tc>
        <w:tc>
          <w:tcPr>
            <w:tcW w:type="dxa" w:w="4896"/>
            <w:vAlign w:val="center"/>
          </w:tcPr>
          <w:p>
            <w:pPr>
              <w:spacing w:after="0"/>
            </w:pPr>
            <w:r>
              <w:rPr>
                <w:sz w:val="18"/>
              </w:rPr>
              <w:t>DocumentId, ErrorCode, Severity, Message, IsBlocking</w:t>
            </w:r>
          </w:p>
        </w:tc>
      </w:tr>
      <w:tr>
        <w:tc>
          <w:tcPr>
            <w:tcW w:type="dxa" w:w="2592"/>
            <w:vAlign w:val="center"/>
          </w:tcPr>
          <w:p>
            <w:pPr>
              <w:spacing w:after="0"/>
            </w:pPr>
            <w:r>
              <w:rPr>
                <w:sz w:val="18"/>
              </w:rPr>
              <w:t>DocumentLinks</w:t>
            </w:r>
          </w:p>
        </w:tc>
        <w:tc>
          <w:tcPr>
            <w:tcW w:type="dxa" w:w="2160"/>
            <w:vAlign w:val="center"/>
          </w:tcPr>
          <w:p>
            <w:pPr>
              <w:spacing w:after="0"/>
            </w:pPr>
            <w:r>
              <w:rPr>
                <w:sz w:val="18"/>
              </w:rPr>
              <w:t>DocumentLinkId</w:t>
            </w:r>
          </w:p>
        </w:tc>
        <w:tc>
          <w:tcPr>
            <w:tcW w:type="dxa" w:w="4896"/>
            <w:vAlign w:val="center"/>
          </w:tcPr>
          <w:p>
            <w:pPr>
              <w:spacing w:after="0"/>
            </w:pPr>
            <w:r>
              <w:rPr>
                <w:sz w:val="18"/>
              </w:rPr>
              <w:t>SourceDocumentId, RelatedDocumentId, RelationshipType</w:t>
            </w:r>
          </w:p>
        </w:tc>
      </w:tr>
      <w:tr>
        <w:tc>
          <w:tcPr>
            <w:tcW w:type="dxa" w:w="2592"/>
            <w:vAlign w:val="center"/>
          </w:tcPr>
          <w:p>
            <w:pPr>
              <w:spacing w:after="0"/>
            </w:pPr>
            <w:r>
              <w:rPr>
                <w:sz w:val="18"/>
              </w:rPr>
              <w:t>DuplicateChecks</w:t>
            </w:r>
          </w:p>
        </w:tc>
        <w:tc>
          <w:tcPr>
            <w:tcW w:type="dxa" w:w="2160"/>
            <w:vAlign w:val="center"/>
          </w:tcPr>
          <w:p>
            <w:pPr>
              <w:spacing w:after="0"/>
            </w:pPr>
            <w:r>
              <w:rPr>
                <w:sz w:val="18"/>
              </w:rPr>
              <w:t>DuplicateCheckId</w:t>
            </w:r>
          </w:p>
        </w:tc>
        <w:tc>
          <w:tcPr>
            <w:tcW w:type="dxa" w:w="4896"/>
            <w:vAlign w:val="center"/>
          </w:tcPr>
          <w:p>
            <w:pPr>
              <w:spacing w:after="0"/>
            </w:pPr>
            <w:r>
              <w:rPr>
                <w:sz w:val="18"/>
              </w:rPr>
              <w:t>DealerAccountId, PartnerAccountId, DocumentType, BusinessKeyHash, FirstDocumentId</w:t>
            </w:r>
          </w:p>
        </w:tc>
      </w:tr>
      <w:tr>
        <w:tc>
          <w:tcPr>
            <w:tcW w:type="dxa" w:w="2592"/>
            <w:vAlign w:val="center"/>
          </w:tcPr>
          <w:p>
            <w:pPr>
              <w:spacing w:after="0"/>
            </w:pPr>
            <w:r>
              <w:rPr>
                <w:sz w:val="18"/>
              </w:rPr>
              <w:t>AcknowledgementReconciliations</w:t>
            </w:r>
          </w:p>
        </w:tc>
        <w:tc>
          <w:tcPr>
            <w:tcW w:type="dxa" w:w="2160"/>
            <w:vAlign w:val="center"/>
          </w:tcPr>
          <w:p>
            <w:pPr>
              <w:spacing w:after="0"/>
            </w:pPr>
            <w:r>
              <w:rPr>
                <w:sz w:val="18"/>
              </w:rPr>
              <w:t>ReconId</w:t>
            </w:r>
          </w:p>
        </w:tc>
        <w:tc>
          <w:tcPr>
            <w:tcW w:type="dxa" w:w="4896"/>
            <w:vAlign w:val="center"/>
          </w:tcPr>
          <w:p>
            <w:pPr>
              <w:spacing w:after="0"/>
            </w:pPr>
            <w:r>
              <w:rPr>
                <w:sz w:val="18"/>
              </w:rPr>
              <w:t>OriginalDocumentId, AckDocumentId, ReconStatus, ReconNotes</w:t>
            </w:r>
          </w:p>
        </w:tc>
      </w:tr>
      <w:tr>
        <w:tc>
          <w:tcPr>
            <w:tcW w:type="dxa" w:w="2592"/>
            <w:vAlign w:val="center"/>
          </w:tcPr>
          <w:p>
            <w:pPr>
              <w:spacing w:after="0"/>
            </w:pPr>
            <w:r>
              <w:rPr>
                <w:sz w:val="18"/>
              </w:rPr>
              <w:t>TransportAttempts</w:t>
            </w:r>
          </w:p>
        </w:tc>
        <w:tc>
          <w:tcPr>
            <w:tcW w:type="dxa" w:w="2160"/>
            <w:vAlign w:val="center"/>
          </w:tcPr>
          <w:p>
            <w:pPr>
              <w:spacing w:after="0"/>
            </w:pPr>
            <w:r>
              <w:rPr>
                <w:sz w:val="18"/>
              </w:rPr>
              <w:t>TransportAttemptId</w:t>
            </w:r>
          </w:p>
        </w:tc>
        <w:tc>
          <w:tcPr>
            <w:tcW w:type="dxa" w:w="4896"/>
            <w:vAlign w:val="center"/>
          </w:tcPr>
          <w:p>
            <w:pPr>
              <w:spacing w:after="0"/>
            </w:pPr>
            <w:r>
              <w:rPr>
                <w:sz w:val="18"/>
              </w:rPr>
              <w:t>DocumentId, EndpointId, AttemptNo, AttemptedAt, Outcome, ResponseCode</w:t>
            </w:r>
          </w:p>
        </w:tc>
      </w:tr>
      <w:tr>
        <w:tc>
          <w:tcPr>
            <w:tcW w:type="dxa" w:w="2592"/>
            <w:vAlign w:val="center"/>
          </w:tcPr>
          <w:p>
            <w:pPr>
              <w:spacing w:after="0"/>
            </w:pPr>
            <w:r>
              <w:rPr>
                <w:sz w:val="18"/>
              </w:rPr>
              <w:t>ProcessingJobs</w:t>
            </w:r>
          </w:p>
        </w:tc>
        <w:tc>
          <w:tcPr>
            <w:tcW w:type="dxa" w:w="2160"/>
            <w:vAlign w:val="center"/>
          </w:tcPr>
          <w:p>
            <w:pPr>
              <w:spacing w:after="0"/>
            </w:pPr>
            <w:r>
              <w:rPr>
                <w:sz w:val="18"/>
              </w:rPr>
              <w:t>ProcessingJobId</w:t>
            </w:r>
          </w:p>
        </w:tc>
        <w:tc>
          <w:tcPr>
            <w:tcW w:type="dxa" w:w="4896"/>
            <w:vAlign w:val="center"/>
          </w:tcPr>
          <w:p>
            <w:pPr>
              <w:spacing w:after="0"/>
            </w:pPr>
            <w:r>
              <w:rPr>
                <w:sz w:val="18"/>
              </w:rPr>
              <w:t>JobType, ScopeId, JobStatus, StartedAt, CompletedAt, WorkerName</w:t>
            </w:r>
          </w:p>
        </w:tc>
      </w:tr>
      <w:tr>
        <w:tc>
          <w:tcPr>
            <w:tcW w:type="dxa" w:w="2592"/>
            <w:vAlign w:val="center"/>
          </w:tcPr>
          <w:p>
            <w:pPr>
              <w:spacing w:after="0"/>
            </w:pPr>
            <w:r>
              <w:rPr>
                <w:sz w:val="18"/>
              </w:rPr>
              <w:t>InboxQueue</w:t>
            </w:r>
          </w:p>
        </w:tc>
        <w:tc>
          <w:tcPr>
            <w:tcW w:type="dxa" w:w="2160"/>
            <w:vAlign w:val="center"/>
          </w:tcPr>
          <w:p>
            <w:pPr>
              <w:spacing w:after="0"/>
            </w:pPr>
            <w:r>
              <w:rPr>
                <w:sz w:val="18"/>
              </w:rPr>
              <w:t>InboxItemId</w:t>
            </w:r>
          </w:p>
        </w:tc>
        <w:tc>
          <w:tcPr>
            <w:tcW w:type="dxa" w:w="4896"/>
            <w:vAlign w:val="center"/>
          </w:tcPr>
          <w:p>
            <w:pPr>
              <w:spacing w:after="0"/>
            </w:pPr>
            <w:r>
              <w:rPr>
                <w:sz w:val="18"/>
              </w:rPr>
              <w:t>PartnerAccountId, DiscoveredAt, RemoteFileName, ClaimedByWorker, ClaimExpiresAt</w:t>
            </w:r>
          </w:p>
        </w:tc>
      </w:tr>
      <w:tr>
        <w:tc>
          <w:tcPr>
            <w:tcW w:type="dxa" w:w="2592"/>
            <w:vAlign w:val="center"/>
          </w:tcPr>
          <w:p>
            <w:pPr>
              <w:spacing w:after="0"/>
            </w:pPr>
            <w:r>
              <w:rPr>
                <w:sz w:val="18"/>
              </w:rPr>
              <w:t>OutboxQueue</w:t>
            </w:r>
          </w:p>
        </w:tc>
        <w:tc>
          <w:tcPr>
            <w:tcW w:type="dxa" w:w="2160"/>
            <w:vAlign w:val="center"/>
          </w:tcPr>
          <w:p>
            <w:pPr>
              <w:spacing w:after="0"/>
            </w:pPr>
            <w:r>
              <w:rPr>
                <w:sz w:val="18"/>
              </w:rPr>
              <w:t>OutboxItemId</w:t>
            </w:r>
          </w:p>
        </w:tc>
        <w:tc>
          <w:tcPr>
            <w:tcW w:type="dxa" w:w="4896"/>
            <w:vAlign w:val="center"/>
          </w:tcPr>
          <w:p>
            <w:pPr>
              <w:spacing w:after="0"/>
            </w:pPr>
            <w:r>
              <w:rPr>
                <w:sz w:val="18"/>
              </w:rPr>
              <w:t>DocumentId, ReadyAt, AttemptCount, NextAttemptAt, QueueStatus</w:t>
            </w:r>
          </w:p>
        </w:tc>
      </w:tr>
    </w:tbl>
    <w:p/>
    <w:p>
      <w:pPr>
        <w:pStyle w:val="Heading2"/>
      </w:pPr>
      <w:r>
        <w:t>7.3 Canonical business tables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tcPr>
          <w:p>
            <w:pPr>
              <w:spacing w:after="0"/>
            </w:pPr>
            <w:r>
              <w:rPr>
                <w:b/>
                <w:sz w:val="18"/>
              </w:rPr>
              <w:t>Table</w:t>
            </w:r>
          </w:p>
        </w:tc>
        <w:tc>
          <w:tcPr>
            <w:tcW w:type="dxa" w:w="2160"/>
            <w:vAlign w:val="center"/>
          </w:tcPr>
          <w:p>
            <w:pPr>
              <w:spacing w:after="0"/>
            </w:pPr>
            <w:r>
              <w:rPr>
                <w:b/>
                <w:sz w:val="18"/>
              </w:rPr>
              <w:t>Primary key</w:t>
            </w:r>
          </w:p>
        </w:tc>
        <w:tc>
          <w:tcPr>
            <w:tcW w:type="dxa" w:w="4896"/>
            <w:vAlign w:val="center"/>
          </w:tcPr>
          <w:p>
            <w:pPr>
              <w:spacing w:after="0"/>
            </w:pPr>
            <w:r>
              <w:rPr>
                <w:b/>
                <w:sz w:val="18"/>
              </w:rPr>
              <w:t>Selected columns</w:t>
            </w:r>
          </w:p>
        </w:tc>
      </w:tr>
      <w:tr>
        <w:tc>
          <w:tcPr>
            <w:tcW w:type="dxa" w:w="2592"/>
            <w:vAlign w:val="center"/>
          </w:tcPr>
          <w:p>
            <w:pPr>
              <w:spacing w:after="0"/>
            </w:pPr>
            <w:r>
              <w:rPr>
                <w:sz w:val="18"/>
              </w:rPr>
              <w:t>PurchaseOrders</w:t>
            </w:r>
          </w:p>
        </w:tc>
        <w:tc>
          <w:tcPr>
            <w:tcW w:type="dxa" w:w="2160"/>
            <w:vAlign w:val="center"/>
          </w:tcPr>
          <w:p>
            <w:pPr>
              <w:spacing w:after="0"/>
            </w:pPr>
            <w:r>
              <w:rPr>
                <w:sz w:val="18"/>
              </w:rPr>
              <w:t>PurchaseOrderId</w:t>
            </w:r>
          </w:p>
        </w:tc>
        <w:tc>
          <w:tcPr>
            <w:tcW w:type="dxa" w:w="4896"/>
            <w:vAlign w:val="center"/>
          </w:tcPr>
          <w:p>
            <w:pPr>
              <w:spacing w:after="0"/>
            </w:pPr>
            <w:r>
              <w:rPr>
                <w:sz w:val="18"/>
              </w:rPr>
              <w:t>DocumentId, DealerOrderNo, OrderDate, CurrencyCode, ShipToId, BillToId, TotalAmount</w:t>
            </w:r>
          </w:p>
        </w:tc>
      </w:tr>
      <w:tr>
        <w:tc>
          <w:tcPr>
            <w:tcW w:type="dxa" w:w="2592"/>
            <w:vAlign w:val="center"/>
          </w:tcPr>
          <w:p>
            <w:pPr>
              <w:spacing w:after="0"/>
            </w:pPr>
            <w:r>
              <w:rPr>
                <w:sz w:val="18"/>
              </w:rPr>
              <w:t>PurchaseOrderLines</w:t>
            </w:r>
          </w:p>
        </w:tc>
        <w:tc>
          <w:tcPr>
            <w:tcW w:type="dxa" w:w="2160"/>
            <w:vAlign w:val="center"/>
          </w:tcPr>
          <w:p>
            <w:pPr>
              <w:spacing w:after="0"/>
            </w:pPr>
            <w:r>
              <w:rPr>
                <w:sz w:val="18"/>
              </w:rPr>
              <w:t>PurchaseOrderLineId</w:t>
            </w:r>
          </w:p>
        </w:tc>
        <w:tc>
          <w:tcPr>
            <w:tcW w:type="dxa" w:w="4896"/>
            <w:vAlign w:val="center"/>
          </w:tcPr>
          <w:p>
            <w:pPr>
              <w:spacing w:after="0"/>
            </w:pPr>
            <w:r>
              <w:rPr>
                <w:sz w:val="18"/>
              </w:rPr>
              <w:t>PurchaseOrderId, LineNo, SupplierSku, BuyerSku, QtyOrdered, Uom, UnitCost</w:t>
            </w:r>
          </w:p>
        </w:tc>
      </w:tr>
      <w:tr>
        <w:tc>
          <w:tcPr>
            <w:tcW w:type="dxa" w:w="2592"/>
            <w:vAlign w:val="center"/>
          </w:tcPr>
          <w:p>
            <w:pPr>
              <w:spacing w:after="0"/>
            </w:pPr>
            <w:r>
              <w:rPr>
                <w:sz w:val="18"/>
              </w:rPr>
              <w:t>PurchaseOrderAcks</w:t>
            </w:r>
          </w:p>
        </w:tc>
        <w:tc>
          <w:tcPr>
            <w:tcW w:type="dxa" w:w="2160"/>
            <w:vAlign w:val="center"/>
          </w:tcPr>
          <w:p>
            <w:pPr>
              <w:spacing w:after="0"/>
            </w:pPr>
            <w:r>
              <w:rPr>
                <w:sz w:val="18"/>
              </w:rPr>
              <w:t>PurchaseOrderAckId</w:t>
            </w:r>
          </w:p>
        </w:tc>
        <w:tc>
          <w:tcPr>
            <w:tcW w:type="dxa" w:w="4896"/>
            <w:vAlign w:val="center"/>
          </w:tcPr>
          <w:p>
            <w:pPr>
              <w:spacing w:after="0"/>
            </w:pPr>
            <w:r>
              <w:rPr>
                <w:sz w:val="18"/>
              </w:rPr>
              <w:t>DocumentId, OriginalPurchaseOrderId, AckCode, AckDate</w:t>
            </w:r>
          </w:p>
        </w:tc>
      </w:tr>
      <w:tr>
        <w:tc>
          <w:tcPr>
            <w:tcW w:type="dxa" w:w="2592"/>
            <w:vAlign w:val="center"/>
          </w:tcPr>
          <w:p>
            <w:pPr>
              <w:spacing w:after="0"/>
            </w:pPr>
            <w:r>
              <w:rPr>
                <w:sz w:val="18"/>
              </w:rPr>
              <w:t>PurchaseOrderAckLines</w:t>
            </w:r>
          </w:p>
        </w:tc>
        <w:tc>
          <w:tcPr>
            <w:tcW w:type="dxa" w:w="2160"/>
            <w:vAlign w:val="center"/>
          </w:tcPr>
          <w:p>
            <w:pPr>
              <w:spacing w:after="0"/>
            </w:pPr>
            <w:r>
              <w:rPr>
                <w:sz w:val="18"/>
              </w:rPr>
              <w:t>AckLineId</w:t>
            </w:r>
          </w:p>
        </w:tc>
        <w:tc>
          <w:tcPr>
            <w:tcW w:type="dxa" w:w="4896"/>
            <w:vAlign w:val="center"/>
          </w:tcPr>
          <w:p>
            <w:pPr>
              <w:spacing w:after="0"/>
            </w:pPr>
            <w:r>
              <w:rPr>
                <w:sz w:val="18"/>
              </w:rPr>
              <w:t>PurchaseOrderAckId, LineNo, SupplierSku, QtyAccepted, QtyRejected, ReasonCode</w:t>
            </w:r>
          </w:p>
        </w:tc>
      </w:tr>
      <w:tr>
        <w:tc>
          <w:tcPr>
            <w:tcW w:type="dxa" w:w="2592"/>
            <w:vAlign w:val="center"/>
          </w:tcPr>
          <w:p>
            <w:pPr>
              <w:spacing w:after="0"/>
            </w:pPr>
            <w:r>
              <w:rPr>
                <w:sz w:val="18"/>
              </w:rPr>
              <w:t>ShipmentNotices</w:t>
            </w:r>
          </w:p>
        </w:tc>
        <w:tc>
          <w:tcPr>
            <w:tcW w:type="dxa" w:w="2160"/>
            <w:vAlign w:val="center"/>
          </w:tcPr>
          <w:p>
            <w:pPr>
              <w:spacing w:after="0"/>
            </w:pPr>
            <w:r>
              <w:rPr>
                <w:sz w:val="18"/>
              </w:rPr>
              <w:t>ShipmentNoticeId</w:t>
            </w:r>
          </w:p>
        </w:tc>
        <w:tc>
          <w:tcPr>
            <w:tcW w:type="dxa" w:w="4896"/>
            <w:vAlign w:val="center"/>
          </w:tcPr>
          <w:p>
            <w:pPr>
              <w:spacing w:after="0"/>
            </w:pPr>
            <w:r>
              <w:rPr>
                <w:sz w:val="18"/>
              </w:rPr>
              <w:t>DocumentId, OriginalPurchaseOrderId, ShipmentNo, ShipDate, Carrier, TrackingNo</w:t>
            </w:r>
          </w:p>
        </w:tc>
      </w:tr>
      <w:tr>
        <w:tc>
          <w:tcPr>
            <w:tcW w:type="dxa" w:w="2592"/>
            <w:vAlign w:val="center"/>
          </w:tcPr>
          <w:p>
            <w:pPr>
              <w:spacing w:after="0"/>
            </w:pPr>
            <w:r>
              <w:rPr>
                <w:sz w:val="18"/>
              </w:rPr>
              <w:t>ShipmentNoticeLines</w:t>
            </w:r>
          </w:p>
        </w:tc>
        <w:tc>
          <w:tcPr>
            <w:tcW w:type="dxa" w:w="2160"/>
            <w:vAlign w:val="center"/>
          </w:tcPr>
          <w:p>
            <w:pPr>
              <w:spacing w:after="0"/>
            </w:pPr>
            <w:r>
              <w:rPr>
                <w:sz w:val="18"/>
              </w:rPr>
              <w:t>ShipmentLineId</w:t>
            </w:r>
          </w:p>
        </w:tc>
        <w:tc>
          <w:tcPr>
            <w:tcW w:type="dxa" w:w="4896"/>
            <w:vAlign w:val="center"/>
          </w:tcPr>
          <w:p>
            <w:pPr>
              <w:spacing w:after="0"/>
            </w:pPr>
            <w:r>
              <w:rPr>
                <w:sz w:val="18"/>
              </w:rPr>
              <w:t>ShipmentNoticeId, LineNo, SupplierSku, QtyShipped, BackorderQty</w:t>
            </w:r>
          </w:p>
        </w:tc>
      </w:tr>
      <w:tr>
        <w:tc>
          <w:tcPr>
            <w:tcW w:type="dxa" w:w="2592"/>
            <w:vAlign w:val="center"/>
          </w:tcPr>
          <w:p>
            <w:pPr>
              <w:spacing w:after="0"/>
            </w:pPr>
            <w:r>
              <w:rPr>
                <w:sz w:val="18"/>
              </w:rPr>
              <w:t>SupplierInvoices</w:t>
            </w:r>
          </w:p>
        </w:tc>
        <w:tc>
          <w:tcPr>
            <w:tcW w:type="dxa" w:w="2160"/>
            <w:vAlign w:val="center"/>
          </w:tcPr>
          <w:p>
            <w:pPr>
              <w:spacing w:after="0"/>
            </w:pPr>
            <w:r>
              <w:rPr>
                <w:sz w:val="18"/>
              </w:rPr>
              <w:t>SupplierInvoiceId</w:t>
            </w:r>
          </w:p>
        </w:tc>
        <w:tc>
          <w:tcPr>
            <w:tcW w:type="dxa" w:w="4896"/>
            <w:vAlign w:val="center"/>
          </w:tcPr>
          <w:p>
            <w:pPr>
              <w:spacing w:after="0"/>
            </w:pPr>
            <w:r>
              <w:rPr>
                <w:sz w:val="18"/>
              </w:rPr>
              <w:t>DocumentId, InvoiceNo, InvoiceDate, CurrencyCode, TotalAmount</w:t>
            </w:r>
          </w:p>
        </w:tc>
      </w:tr>
      <w:tr>
        <w:tc>
          <w:tcPr>
            <w:tcW w:type="dxa" w:w="2592"/>
            <w:vAlign w:val="center"/>
          </w:tcPr>
          <w:p>
            <w:pPr>
              <w:spacing w:after="0"/>
            </w:pPr>
            <w:r>
              <w:rPr>
                <w:sz w:val="18"/>
              </w:rPr>
              <w:t>SupplierInvoiceLines</w:t>
            </w:r>
          </w:p>
        </w:tc>
        <w:tc>
          <w:tcPr>
            <w:tcW w:type="dxa" w:w="2160"/>
            <w:vAlign w:val="center"/>
          </w:tcPr>
          <w:p>
            <w:pPr>
              <w:spacing w:after="0"/>
            </w:pPr>
            <w:r>
              <w:rPr>
                <w:sz w:val="18"/>
              </w:rPr>
              <w:t>InvoiceLineId</w:t>
            </w:r>
          </w:p>
        </w:tc>
        <w:tc>
          <w:tcPr>
            <w:tcW w:type="dxa" w:w="4896"/>
            <w:vAlign w:val="center"/>
          </w:tcPr>
          <w:p>
            <w:pPr>
              <w:spacing w:after="0"/>
            </w:pPr>
            <w:r>
              <w:rPr>
                <w:sz w:val="18"/>
              </w:rPr>
              <w:t>SupplierInvoiceId, LineNo, SupplierSku, QtyInvoiced, UnitPrice, ExtendedAmount</w:t>
            </w:r>
          </w:p>
        </w:tc>
      </w:tr>
      <w:tr>
        <w:tc>
          <w:tcPr>
            <w:tcW w:type="dxa" w:w="2592"/>
            <w:vAlign w:val="center"/>
          </w:tcPr>
          <w:p>
            <w:pPr>
              <w:spacing w:after="0"/>
            </w:pPr>
            <w:r>
              <w:rPr>
                <w:sz w:val="18"/>
              </w:rPr>
              <w:t>PriceUpdates</w:t>
            </w:r>
          </w:p>
        </w:tc>
        <w:tc>
          <w:tcPr>
            <w:tcW w:type="dxa" w:w="2160"/>
            <w:vAlign w:val="center"/>
          </w:tcPr>
          <w:p>
            <w:pPr>
              <w:spacing w:after="0"/>
            </w:pPr>
            <w:r>
              <w:rPr>
                <w:sz w:val="18"/>
              </w:rPr>
              <w:t>PriceUpdateId</w:t>
            </w:r>
          </w:p>
        </w:tc>
        <w:tc>
          <w:tcPr>
            <w:tcW w:type="dxa" w:w="4896"/>
            <w:vAlign w:val="center"/>
          </w:tcPr>
          <w:p>
            <w:pPr>
              <w:spacing w:after="0"/>
            </w:pPr>
            <w:r>
              <w:rPr>
                <w:sz w:val="18"/>
              </w:rPr>
              <w:t>DocumentId, EffectiveDate, SourceVersion, CurrencyCode</w:t>
            </w:r>
          </w:p>
        </w:tc>
      </w:tr>
      <w:tr>
        <w:tc>
          <w:tcPr>
            <w:tcW w:type="dxa" w:w="2592"/>
            <w:vAlign w:val="center"/>
          </w:tcPr>
          <w:p>
            <w:pPr>
              <w:spacing w:after="0"/>
            </w:pPr>
            <w:r>
              <w:rPr>
                <w:sz w:val="18"/>
              </w:rPr>
              <w:t>PriceUpdateLines</w:t>
            </w:r>
          </w:p>
        </w:tc>
        <w:tc>
          <w:tcPr>
            <w:tcW w:type="dxa" w:w="2160"/>
            <w:vAlign w:val="center"/>
          </w:tcPr>
          <w:p>
            <w:pPr>
              <w:spacing w:after="0"/>
            </w:pPr>
            <w:r>
              <w:rPr>
                <w:sz w:val="18"/>
              </w:rPr>
              <w:t>PriceLineId</w:t>
            </w:r>
          </w:p>
        </w:tc>
        <w:tc>
          <w:tcPr>
            <w:tcW w:type="dxa" w:w="4896"/>
            <w:vAlign w:val="center"/>
          </w:tcPr>
          <w:p>
            <w:pPr>
              <w:spacing w:after="0"/>
            </w:pPr>
            <w:r>
              <w:rPr>
                <w:sz w:val="18"/>
              </w:rPr>
              <w:t>PriceUpdateId, SupplierSku, Uom, Cost, ListPrice, PromoPrice, StatusCode</w:t>
            </w:r>
          </w:p>
        </w:tc>
      </w:tr>
      <w:tr>
        <w:tc>
          <w:tcPr>
            <w:tcW w:type="dxa" w:w="2592"/>
            <w:vAlign w:val="center"/>
          </w:tcPr>
          <w:p>
            <w:pPr>
              <w:spacing w:after="0"/>
            </w:pPr>
            <w:r>
              <w:rPr>
                <w:sz w:val="18"/>
              </w:rPr>
              <w:t>InventoryUpdates</w:t>
            </w:r>
          </w:p>
        </w:tc>
        <w:tc>
          <w:tcPr>
            <w:tcW w:type="dxa" w:w="2160"/>
            <w:vAlign w:val="center"/>
          </w:tcPr>
          <w:p>
            <w:pPr>
              <w:spacing w:after="0"/>
            </w:pPr>
            <w:r>
              <w:rPr>
                <w:sz w:val="18"/>
              </w:rPr>
              <w:t>InventoryUpdateId</w:t>
            </w:r>
          </w:p>
        </w:tc>
        <w:tc>
          <w:tcPr>
            <w:tcW w:type="dxa" w:w="4896"/>
            <w:vAlign w:val="center"/>
          </w:tcPr>
          <w:p>
            <w:pPr>
              <w:spacing w:after="0"/>
            </w:pPr>
            <w:r>
              <w:rPr>
                <w:sz w:val="18"/>
              </w:rPr>
              <w:t>DocumentId, SnapshotAt, SourceVersion</w:t>
            </w:r>
          </w:p>
        </w:tc>
      </w:tr>
      <w:tr>
        <w:tc>
          <w:tcPr>
            <w:tcW w:type="dxa" w:w="2592"/>
            <w:vAlign w:val="center"/>
          </w:tcPr>
          <w:p>
            <w:pPr>
              <w:spacing w:after="0"/>
            </w:pPr>
            <w:r>
              <w:rPr>
                <w:sz w:val="18"/>
              </w:rPr>
              <w:t>InventoryUpdateLines</w:t>
            </w:r>
          </w:p>
        </w:tc>
        <w:tc>
          <w:tcPr>
            <w:tcW w:type="dxa" w:w="2160"/>
            <w:vAlign w:val="center"/>
          </w:tcPr>
          <w:p>
            <w:pPr>
              <w:spacing w:after="0"/>
            </w:pPr>
            <w:r>
              <w:rPr>
                <w:sz w:val="18"/>
              </w:rPr>
              <w:t>InventoryLineId</w:t>
            </w:r>
          </w:p>
        </w:tc>
        <w:tc>
          <w:tcPr>
            <w:tcW w:type="dxa" w:w="4896"/>
            <w:vAlign w:val="center"/>
          </w:tcPr>
          <w:p>
            <w:pPr>
              <w:spacing w:after="0"/>
            </w:pPr>
            <w:r>
              <w:rPr>
                <w:sz w:val="18"/>
              </w:rPr>
              <w:t>InventoryUpdateId, SupplierSku, WarehouseCode, QtyAvailable, QtyOnHand, Uom</w:t>
            </w:r>
          </w:p>
        </w:tc>
      </w:tr>
    </w:tbl>
    <w:p/>
    <w:p>
      <w:pPr>
        <w:pStyle w:val="Heading2"/>
      </w:pPr>
      <w:r>
        <w:t>7.4 Support, audit, and metering tables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tcPr>
          <w:p>
            <w:pPr>
              <w:spacing w:after="0"/>
            </w:pPr>
            <w:r>
              <w:rPr>
                <w:b/>
                <w:sz w:val="18"/>
              </w:rPr>
              <w:t>Table</w:t>
            </w:r>
          </w:p>
        </w:tc>
        <w:tc>
          <w:tcPr>
            <w:tcW w:type="dxa" w:w="2160"/>
            <w:vAlign w:val="center"/>
          </w:tcPr>
          <w:p>
            <w:pPr>
              <w:spacing w:after="0"/>
            </w:pPr>
            <w:r>
              <w:rPr>
                <w:b/>
                <w:sz w:val="18"/>
              </w:rPr>
              <w:t>Primary key</w:t>
            </w:r>
          </w:p>
        </w:tc>
        <w:tc>
          <w:tcPr>
            <w:tcW w:type="dxa" w:w="4896"/>
            <w:vAlign w:val="center"/>
          </w:tcPr>
          <w:p>
            <w:pPr>
              <w:spacing w:after="0"/>
            </w:pPr>
            <w:r>
              <w:rPr>
                <w:b/>
                <w:sz w:val="18"/>
              </w:rPr>
              <w:t>Selected columns</w:t>
            </w:r>
          </w:p>
        </w:tc>
      </w:tr>
      <w:tr>
        <w:tc>
          <w:tcPr>
            <w:tcW w:type="dxa" w:w="2592"/>
            <w:vAlign w:val="center"/>
          </w:tcPr>
          <w:p>
            <w:pPr>
              <w:spacing w:after="0"/>
            </w:pPr>
            <w:r>
              <w:rPr>
                <w:sz w:val="18"/>
              </w:rPr>
              <w:t>AuditLogs</w:t>
            </w:r>
          </w:p>
        </w:tc>
        <w:tc>
          <w:tcPr>
            <w:tcW w:type="dxa" w:w="2160"/>
            <w:vAlign w:val="center"/>
          </w:tcPr>
          <w:p>
            <w:pPr>
              <w:spacing w:after="0"/>
            </w:pPr>
            <w:r>
              <w:rPr>
                <w:sz w:val="18"/>
              </w:rPr>
              <w:t>AuditLogId</w:t>
            </w:r>
          </w:p>
        </w:tc>
        <w:tc>
          <w:tcPr>
            <w:tcW w:type="dxa" w:w="4896"/>
            <w:vAlign w:val="center"/>
          </w:tcPr>
          <w:p>
            <w:pPr>
              <w:spacing w:after="0"/>
            </w:pPr>
            <w:r>
              <w:rPr>
                <w:sz w:val="18"/>
              </w:rPr>
              <w:t>EntityType, EntityId, ActionType, ActorId, ChangedAt, BeforeJson, AfterJson</w:t>
            </w:r>
          </w:p>
        </w:tc>
      </w:tr>
      <w:tr>
        <w:tc>
          <w:tcPr>
            <w:tcW w:type="dxa" w:w="2592"/>
            <w:vAlign w:val="center"/>
          </w:tcPr>
          <w:p>
            <w:pPr>
              <w:spacing w:after="0"/>
            </w:pPr>
            <w:r>
              <w:rPr>
                <w:sz w:val="18"/>
              </w:rPr>
              <w:t>OperationalNotes</w:t>
            </w:r>
          </w:p>
        </w:tc>
        <w:tc>
          <w:tcPr>
            <w:tcW w:type="dxa" w:w="2160"/>
            <w:vAlign w:val="center"/>
          </w:tcPr>
          <w:p>
            <w:pPr>
              <w:spacing w:after="0"/>
            </w:pPr>
            <w:r>
              <w:rPr>
                <w:sz w:val="18"/>
              </w:rPr>
              <w:t>NoteId</w:t>
            </w:r>
          </w:p>
        </w:tc>
        <w:tc>
          <w:tcPr>
            <w:tcW w:type="dxa" w:w="4896"/>
            <w:vAlign w:val="center"/>
          </w:tcPr>
          <w:p>
            <w:pPr>
              <w:spacing w:after="0"/>
            </w:pPr>
            <w:r>
              <w:rPr>
                <w:sz w:val="18"/>
              </w:rPr>
              <w:t>ScopeType, ScopeId, NoteText, CreatedBy, CreatedAt</w:t>
            </w:r>
          </w:p>
        </w:tc>
      </w:tr>
      <w:tr>
        <w:tc>
          <w:tcPr>
            <w:tcW w:type="dxa" w:w="2592"/>
            <w:vAlign w:val="center"/>
          </w:tcPr>
          <w:p>
            <w:pPr>
              <w:spacing w:after="0"/>
            </w:pPr>
            <w:r>
              <w:rPr>
                <w:sz w:val="18"/>
              </w:rPr>
              <w:t>Alerts</w:t>
            </w:r>
          </w:p>
        </w:tc>
        <w:tc>
          <w:tcPr>
            <w:tcW w:type="dxa" w:w="2160"/>
            <w:vAlign w:val="center"/>
          </w:tcPr>
          <w:p>
            <w:pPr>
              <w:spacing w:after="0"/>
            </w:pPr>
            <w:r>
              <w:rPr>
                <w:sz w:val="18"/>
              </w:rPr>
              <w:t>AlertId</w:t>
            </w:r>
          </w:p>
        </w:tc>
        <w:tc>
          <w:tcPr>
            <w:tcW w:type="dxa" w:w="4896"/>
            <w:vAlign w:val="center"/>
          </w:tcPr>
          <w:p>
            <w:pPr>
              <w:spacing w:after="0"/>
            </w:pPr>
            <w:r>
              <w:rPr>
                <w:sz w:val="18"/>
              </w:rPr>
              <w:t>AlertType, Severity, ScopeType, ScopeId, TriggeredAt, ClearedAt</w:t>
            </w:r>
          </w:p>
        </w:tc>
      </w:tr>
      <w:tr>
        <w:tc>
          <w:tcPr>
            <w:tcW w:type="dxa" w:w="2592"/>
            <w:vAlign w:val="center"/>
          </w:tcPr>
          <w:p>
            <w:pPr>
              <w:spacing w:after="0"/>
            </w:pPr>
            <w:r>
              <w:rPr>
                <w:sz w:val="18"/>
              </w:rPr>
              <w:t>WebhookSubscriptions</w:t>
            </w:r>
          </w:p>
        </w:tc>
        <w:tc>
          <w:tcPr>
            <w:tcW w:type="dxa" w:w="2160"/>
            <w:vAlign w:val="center"/>
          </w:tcPr>
          <w:p>
            <w:pPr>
              <w:spacing w:after="0"/>
            </w:pPr>
            <w:r>
              <w:rPr>
                <w:sz w:val="18"/>
              </w:rPr>
              <w:t>WebhookSubscriptionId</w:t>
            </w:r>
          </w:p>
        </w:tc>
        <w:tc>
          <w:tcPr>
            <w:tcW w:type="dxa" w:w="4896"/>
            <w:vAlign w:val="center"/>
          </w:tcPr>
          <w:p>
            <w:pPr>
              <w:spacing w:after="0"/>
            </w:pPr>
            <w:r>
              <w:rPr>
                <w:sz w:val="18"/>
              </w:rPr>
              <w:t>DealerAccountId, EventType, TargetUrl, SecretRef, IsActive</w:t>
            </w:r>
          </w:p>
        </w:tc>
      </w:tr>
      <w:tr>
        <w:tc>
          <w:tcPr>
            <w:tcW w:type="dxa" w:w="2592"/>
            <w:vAlign w:val="center"/>
          </w:tcPr>
          <w:p>
            <w:pPr>
              <w:spacing w:after="0"/>
            </w:pPr>
            <w:r>
              <w:rPr>
                <w:sz w:val="18"/>
              </w:rPr>
              <w:t>UsageMeters</w:t>
            </w:r>
          </w:p>
        </w:tc>
        <w:tc>
          <w:tcPr>
            <w:tcW w:type="dxa" w:w="2160"/>
            <w:vAlign w:val="center"/>
          </w:tcPr>
          <w:p>
            <w:pPr>
              <w:spacing w:after="0"/>
            </w:pPr>
            <w:r>
              <w:rPr>
                <w:sz w:val="18"/>
              </w:rPr>
              <w:t>UsageMeterId</w:t>
            </w:r>
          </w:p>
        </w:tc>
        <w:tc>
          <w:tcPr>
            <w:tcW w:type="dxa" w:w="4896"/>
            <w:vAlign w:val="center"/>
          </w:tcPr>
          <w:p>
            <w:pPr>
              <w:spacing w:after="0"/>
            </w:pPr>
            <w:r>
              <w:rPr>
                <w:sz w:val="18"/>
              </w:rPr>
              <w:t>DealerAccountId, MeterType, UnitName, BillingCategory</w:t>
            </w:r>
          </w:p>
        </w:tc>
      </w:tr>
      <w:tr>
        <w:tc>
          <w:tcPr>
            <w:tcW w:type="dxa" w:w="2592"/>
            <w:vAlign w:val="center"/>
          </w:tcPr>
          <w:p>
            <w:pPr>
              <w:spacing w:after="0"/>
            </w:pPr>
            <w:r>
              <w:rPr>
                <w:sz w:val="18"/>
              </w:rPr>
              <w:t>MeterUsageRecords</w:t>
            </w:r>
          </w:p>
        </w:tc>
        <w:tc>
          <w:tcPr>
            <w:tcW w:type="dxa" w:w="2160"/>
            <w:vAlign w:val="center"/>
          </w:tcPr>
          <w:p>
            <w:pPr>
              <w:spacing w:after="0"/>
            </w:pPr>
            <w:r>
              <w:rPr>
                <w:sz w:val="18"/>
              </w:rPr>
              <w:t>UsageRecordId</w:t>
            </w:r>
          </w:p>
        </w:tc>
        <w:tc>
          <w:tcPr>
            <w:tcW w:type="dxa" w:w="4896"/>
            <w:vAlign w:val="center"/>
          </w:tcPr>
          <w:p>
            <w:pPr>
              <w:spacing w:after="0"/>
            </w:pPr>
            <w:r>
              <w:rPr>
                <w:sz w:val="18"/>
              </w:rPr>
              <w:t>DealerAccountId, MeterType, Quantity, RelatedDocumentId, OccurredAt</w:t>
            </w:r>
          </w:p>
        </w:tc>
      </w:tr>
      <w:tr>
        <w:tc>
          <w:tcPr>
            <w:tcW w:type="dxa" w:w="2592"/>
            <w:vAlign w:val="center"/>
          </w:tcPr>
          <w:p>
            <w:pPr>
              <w:spacing w:after="0"/>
            </w:pPr>
            <w:r>
              <w:rPr>
                <w:sz w:val="18"/>
              </w:rPr>
              <w:t>UsageRollups</w:t>
            </w:r>
          </w:p>
        </w:tc>
        <w:tc>
          <w:tcPr>
            <w:tcW w:type="dxa" w:w="2160"/>
            <w:vAlign w:val="center"/>
          </w:tcPr>
          <w:p>
            <w:pPr>
              <w:spacing w:after="0"/>
            </w:pPr>
            <w:r>
              <w:rPr>
                <w:sz w:val="18"/>
              </w:rPr>
              <w:t>RollupId</w:t>
            </w:r>
          </w:p>
        </w:tc>
        <w:tc>
          <w:tcPr>
            <w:tcW w:type="dxa" w:w="4896"/>
            <w:vAlign w:val="center"/>
          </w:tcPr>
          <w:p>
            <w:pPr>
              <w:spacing w:after="0"/>
            </w:pPr>
            <w:r>
              <w:rPr>
                <w:sz w:val="18"/>
              </w:rPr>
              <w:t>DealerAccountId, BillingPeriod, MeterType, TotalQuantity</w:t>
            </w:r>
          </w:p>
        </w:tc>
      </w:tr>
    </w:tbl>
    <w:p/>
    <w:p>
      <w:pPr>
        <w:pStyle w:val="Heading1"/>
      </w:pPr>
      <w:r>
        <w:t>8. API design</w:t>
      </w:r>
    </w:p>
    <w:p>
      <w:pPr>
        <w:spacing w:after="80"/>
      </w:pPr>
      <w:r>
        <w:t>The API should be versioned and internal-first. Merchant360 consumes internal endpoints. Future external dealer APIs can reuse the same application layer with a different auth boundary.</w:t>
      </w:r>
    </w:p>
    <w:p>
      <w:pPr>
        <w:pStyle w:val="Heading2"/>
      </w:pPr>
      <w:r>
        <w:t>8.1 Internal API surface for Merchant360</w:t>
      </w:r>
    </w:p>
    <w:tbl>
      <w:tblPr>
        <w:tblStyle w:val="TableGrid"/>
        <w:tblW w:type="auto" w:w="0"/>
        <w:jc w:val="center"/>
        <w:tblLook w:firstColumn="1" w:firstRow="1" w:lastColumn="0" w:lastRow="0" w:noHBand="0" w:noVBand="1" w:val="04A0"/>
      </w:tblPr>
      <w:tblGrid>
        <w:gridCol w:w="3312"/>
        <w:gridCol w:w="3312"/>
        <w:gridCol w:w="3312"/>
      </w:tblGrid>
      <w:tr>
        <w:tc>
          <w:tcPr>
            <w:tcW w:type="dxa" w:w="3600"/>
            <w:vAlign w:val="center"/>
          </w:tcPr>
          <w:p>
            <w:pPr>
              <w:spacing w:after="0"/>
            </w:pPr>
            <w:r>
              <w:rPr>
                <w:b/>
                <w:sz w:val="18"/>
              </w:rPr>
              <w:t>Endpoint</w:t>
            </w:r>
          </w:p>
        </w:tc>
        <w:tc>
          <w:tcPr>
            <w:tcW w:type="dxa" w:w="4032"/>
            <w:vAlign w:val="center"/>
          </w:tcPr>
          <w:p>
            <w:pPr>
              <w:spacing w:after="0"/>
            </w:pPr>
            <w:r>
              <w:rPr>
                <w:b/>
                <w:sz w:val="18"/>
              </w:rPr>
              <w:t>Purpose</w:t>
            </w:r>
          </w:p>
        </w:tc>
        <w:tc>
          <w:tcPr>
            <w:tcW w:type="dxa" w:w="1440"/>
            <w:vAlign w:val="center"/>
          </w:tcPr>
          <w:p>
            <w:pPr>
              <w:spacing w:after="0"/>
            </w:pPr>
            <w:r>
              <w:rPr>
                <w:b/>
                <w:sz w:val="18"/>
              </w:rPr>
              <w:t>Primary caller</w:t>
            </w:r>
          </w:p>
        </w:tc>
      </w:tr>
      <w:tr>
        <w:tc>
          <w:tcPr>
            <w:tcW w:type="dxa" w:w="3600"/>
            <w:vAlign w:val="center"/>
          </w:tcPr>
          <w:p>
            <w:pPr>
              <w:spacing w:after="0"/>
            </w:pPr>
            <w:r>
              <w:rPr>
                <w:sz w:val="18"/>
              </w:rPr>
              <w:t>POST /api/v1/dealers/{dealerId}/orders</w:t>
            </w:r>
          </w:p>
        </w:tc>
        <w:tc>
          <w:tcPr>
            <w:tcW w:type="dxa" w:w="4032"/>
            <w:vAlign w:val="center"/>
          </w:tcPr>
          <w:p>
            <w:pPr>
              <w:spacing w:after="0"/>
            </w:pPr>
            <w:r>
              <w:rPr>
                <w:sz w:val="18"/>
              </w:rPr>
              <w:t>Submit canonical purchase order to partner flow</w:t>
            </w:r>
          </w:p>
        </w:tc>
        <w:tc>
          <w:tcPr>
            <w:tcW w:type="dxa" w:w="1440"/>
            <w:vAlign w:val="center"/>
          </w:tcPr>
          <w:p>
            <w:pPr>
              <w:spacing w:after="0"/>
            </w:pPr>
            <w:r>
              <w:rPr>
                <w:sz w:val="18"/>
              </w:rPr>
              <w:t>Merchant360</w:t>
            </w:r>
          </w:p>
        </w:tc>
      </w:tr>
      <w:tr>
        <w:tc>
          <w:tcPr>
            <w:tcW w:type="dxa" w:w="3600"/>
            <w:vAlign w:val="center"/>
          </w:tcPr>
          <w:p>
            <w:pPr>
              <w:spacing w:after="0"/>
            </w:pPr>
            <w:r>
              <w:rPr>
                <w:sz w:val="18"/>
              </w:rPr>
              <w:t>GET /api/v1/dealers/{dealerId}/orders/{documentId}</w:t>
            </w:r>
          </w:p>
        </w:tc>
        <w:tc>
          <w:tcPr>
            <w:tcW w:type="dxa" w:w="4032"/>
            <w:vAlign w:val="center"/>
          </w:tcPr>
          <w:p>
            <w:pPr>
              <w:spacing w:after="0"/>
            </w:pPr>
            <w:r>
              <w:rPr>
                <w:sz w:val="18"/>
              </w:rPr>
              <w:t>Get document status and partner response summary</w:t>
            </w:r>
          </w:p>
        </w:tc>
        <w:tc>
          <w:tcPr>
            <w:tcW w:type="dxa" w:w="1440"/>
            <w:vAlign w:val="center"/>
          </w:tcPr>
          <w:p>
            <w:pPr>
              <w:spacing w:after="0"/>
            </w:pPr>
            <w:r>
              <w:rPr>
                <w:sz w:val="18"/>
              </w:rPr>
              <w:t>Merchant360</w:t>
            </w:r>
          </w:p>
        </w:tc>
      </w:tr>
      <w:tr>
        <w:tc>
          <w:tcPr>
            <w:tcW w:type="dxa" w:w="3600"/>
            <w:vAlign w:val="center"/>
          </w:tcPr>
          <w:p>
            <w:pPr>
              <w:spacing w:after="0"/>
            </w:pPr>
            <w:r>
              <w:rPr>
                <w:sz w:val="18"/>
              </w:rPr>
              <w:t>GET /api/v1/dealers/{dealerId}/documents</w:t>
            </w:r>
          </w:p>
        </w:tc>
        <w:tc>
          <w:tcPr>
            <w:tcW w:type="dxa" w:w="4032"/>
            <w:vAlign w:val="center"/>
          </w:tcPr>
          <w:p>
            <w:pPr>
              <w:spacing w:after="0"/>
            </w:pPr>
            <w:r>
              <w:rPr>
                <w:sz w:val="18"/>
              </w:rPr>
              <w:t>Search documents by type, partner, status, ref, date</w:t>
            </w:r>
          </w:p>
        </w:tc>
        <w:tc>
          <w:tcPr>
            <w:tcW w:type="dxa" w:w="1440"/>
            <w:vAlign w:val="center"/>
          </w:tcPr>
          <w:p>
            <w:pPr>
              <w:spacing w:after="0"/>
            </w:pPr>
            <w:r>
              <w:rPr>
                <w:sz w:val="18"/>
              </w:rPr>
              <w:t>Merchant360/Admin</w:t>
            </w:r>
          </w:p>
        </w:tc>
      </w:tr>
      <w:tr>
        <w:tc>
          <w:tcPr>
            <w:tcW w:type="dxa" w:w="3600"/>
            <w:vAlign w:val="center"/>
          </w:tcPr>
          <w:p>
            <w:pPr>
              <w:spacing w:after="0"/>
            </w:pPr>
            <w:r>
              <w:rPr>
                <w:sz w:val="18"/>
              </w:rPr>
              <w:t>POST /api/v1/dealers/{dealerId}/documents/{documentId}/retry</w:t>
            </w:r>
          </w:p>
        </w:tc>
        <w:tc>
          <w:tcPr>
            <w:tcW w:type="dxa" w:w="4032"/>
            <w:vAlign w:val="center"/>
          </w:tcPr>
          <w:p>
            <w:pPr>
              <w:spacing w:after="0"/>
            </w:pPr>
            <w:r>
              <w:rPr>
                <w:sz w:val="18"/>
              </w:rPr>
              <w:t>Retry failed document</w:t>
            </w:r>
          </w:p>
        </w:tc>
        <w:tc>
          <w:tcPr>
            <w:tcW w:type="dxa" w:w="1440"/>
            <w:vAlign w:val="center"/>
          </w:tcPr>
          <w:p>
            <w:pPr>
              <w:spacing w:after="0"/>
            </w:pPr>
            <w:r>
              <w:rPr>
                <w:sz w:val="18"/>
              </w:rPr>
              <w:t>Admin</w:t>
            </w:r>
          </w:p>
        </w:tc>
      </w:tr>
      <w:tr>
        <w:tc>
          <w:tcPr>
            <w:tcW w:type="dxa" w:w="3600"/>
            <w:vAlign w:val="center"/>
          </w:tcPr>
          <w:p>
            <w:pPr>
              <w:spacing w:after="0"/>
            </w:pPr>
            <w:r>
              <w:rPr>
                <w:sz w:val="18"/>
              </w:rPr>
              <w:t>POST /api/v1/dealers/{dealerId}/documents/{documentId}/cancel</w:t>
            </w:r>
          </w:p>
        </w:tc>
        <w:tc>
          <w:tcPr>
            <w:tcW w:type="dxa" w:w="4032"/>
            <w:vAlign w:val="center"/>
          </w:tcPr>
          <w:p>
            <w:pPr>
              <w:spacing w:after="0"/>
            </w:pPr>
            <w:r>
              <w:rPr>
                <w:sz w:val="18"/>
              </w:rPr>
              <w:t>Cancel queued outbound document when safe</w:t>
            </w:r>
          </w:p>
        </w:tc>
        <w:tc>
          <w:tcPr>
            <w:tcW w:type="dxa" w:w="1440"/>
            <w:vAlign w:val="center"/>
          </w:tcPr>
          <w:p>
            <w:pPr>
              <w:spacing w:after="0"/>
            </w:pPr>
            <w:r>
              <w:rPr>
                <w:sz w:val="18"/>
              </w:rPr>
              <w:t>Admin</w:t>
            </w:r>
          </w:p>
        </w:tc>
      </w:tr>
      <w:tr>
        <w:tc>
          <w:tcPr>
            <w:tcW w:type="dxa" w:w="3600"/>
            <w:vAlign w:val="center"/>
          </w:tcPr>
          <w:p>
            <w:pPr>
              <w:spacing w:after="0"/>
            </w:pPr>
            <w:r>
              <w:rPr>
                <w:sz w:val="18"/>
              </w:rPr>
              <w:t>GET /api/v1/dealers/{dealerId}/shipments</w:t>
            </w:r>
          </w:p>
        </w:tc>
        <w:tc>
          <w:tcPr>
            <w:tcW w:type="dxa" w:w="4032"/>
            <w:vAlign w:val="center"/>
          </w:tcPr>
          <w:p>
            <w:pPr>
              <w:spacing w:after="0"/>
            </w:pPr>
            <w:r>
              <w:rPr>
                <w:sz w:val="18"/>
              </w:rPr>
              <w:t>Query normalized inbound shipment notices</w:t>
            </w:r>
          </w:p>
        </w:tc>
        <w:tc>
          <w:tcPr>
            <w:tcW w:type="dxa" w:w="1440"/>
            <w:vAlign w:val="center"/>
          </w:tcPr>
          <w:p>
            <w:pPr>
              <w:spacing w:after="0"/>
            </w:pPr>
            <w:r>
              <w:rPr>
                <w:sz w:val="18"/>
              </w:rPr>
              <w:t>Merchant360</w:t>
            </w:r>
          </w:p>
        </w:tc>
      </w:tr>
      <w:tr>
        <w:tc>
          <w:tcPr>
            <w:tcW w:type="dxa" w:w="3600"/>
            <w:vAlign w:val="center"/>
          </w:tcPr>
          <w:p>
            <w:pPr>
              <w:spacing w:after="0"/>
            </w:pPr>
            <w:r>
              <w:rPr>
                <w:sz w:val="18"/>
              </w:rPr>
              <w:t>GET /api/v1/dealers/{dealerId}/invoices</w:t>
            </w:r>
          </w:p>
        </w:tc>
        <w:tc>
          <w:tcPr>
            <w:tcW w:type="dxa" w:w="4032"/>
            <w:vAlign w:val="center"/>
          </w:tcPr>
          <w:p>
            <w:pPr>
              <w:spacing w:after="0"/>
            </w:pPr>
            <w:r>
              <w:rPr>
                <w:sz w:val="18"/>
              </w:rPr>
              <w:t>Query normalized partner invoices</w:t>
            </w:r>
          </w:p>
        </w:tc>
        <w:tc>
          <w:tcPr>
            <w:tcW w:type="dxa" w:w="1440"/>
            <w:vAlign w:val="center"/>
          </w:tcPr>
          <w:p>
            <w:pPr>
              <w:spacing w:after="0"/>
            </w:pPr>
            <w:r>
              <w:rPr>
                <w:sz w:val="18"/>
              </w:rPr>
              <w:t>Merchant360</w:t>
            </w:r>
          </w:p>
        </w:tc>
      </w:tr>
      <w:tr>
        <w:tc>
          <w:tcPr>
            <w:tcW w:type="dxa" w:w="3600"/>
            <w:vAlign w:val="center"/>
          </w:tcPr>
          <w:p>
            <w:pPr>
              <w:spacing w:after="0"/>
            </w:pPr>
            <w:r>
              <w:rPr>
                <w:sz w:val="18"/>
              </w:rPr>
              <w:t>GET /api/v1/dealers/{dealerId}/price-updates/latest</w:t>
            </w:r>
          </w:p>
        </w:tc>
        <w:tc>
          <w:tcPr>
            <w:tcW w:type="dxa" w:w="4032"/>
            <w:vAlign w:val="center"/>
          </w:tcPr>
          <w:p>
            <w:pPr>
              <w:spacing w:after="0"/>
            </w:pPr>
            <w:r>
              <w:rPr>
                <w:sz w:val="18"/>
              </w:rPr>
              <w:t>Get latest normalized price snapshot metadata</w:t>
            </w:r>
          </w:p>
        </w:tc>
        <w:tc>
          <w:tcPr>
            <w:tcW w:type="dxa" w:w="1440"/>
            <w:vAlign w:val="center"/>
          </w:tcPr>
          <w:p>
            <w:pPr>
              <w:spacing w:after="0"/>
            </w:pPr>
            <w:r>
              <w:rPr>
                <w:sz w:val="18"/>
              </w:rPr>
              <w:t>Merchant360</w:t>
            </w:r>
          </w:p>
        </w:tc>
      </w:tr>
      <w:tr>
        <w:tc>
          <w:tcPr>
            <w:tcW w:type="dxa" w:w="3600"/>
            <w:vAlign w:val="center"/>
          </w:tcPr>
          <w:p>
            <w:pPr>
              <w:spacing w:after="0"/>
            </w:pPr>
            <w:r>
              <w:rPr>
                <w:sz w:val="18"/>
              </w:rPr>
              <w:t>GET /api/v1/dealers/{dealerId}/inventory/latest</w:t>
            </w:r>
          </w:p>
        </w:tc>
        <w:tc>
          <w:tcPr>
            <w:tcW w:type="dxa" w:w="4032"/>
            <w:vAlign w:val="center"/>
          </w:tcPr>
          <w:p>
            <w:pPr>
              <w:spacing w:after="0"/>
            </w:pPr>
            <w:r>
              <w:rPr>
                <w:sz w:val="18"/>
              </w:rPr>
              <w:t>Get latest normalized inventory snapshot metadata</w:t>
            </w:r>
          </w:p>
        </w:tc>
        <w:tc>
          <w:tcPr>
            <w:tcW w:type="dxa" w:w="1440"/>
            <w:vAlign w:val="center"/>
          </w:tcPr>
          <w:p>
            <w:pPr>
              <w:spacing w:after="0"/>
            </w:pPr>
            <w:r>
              <w:rPr>
                <w:sz w:val="18"/>
              </w:rPr>
              <w:t>Merchant360</w:t>
            </w:r>
          </w:p>
        </w:tc>
      </w:tr>
    </w:tbl>
    <w:p/>
    <w:p>
      <w:pPr>
        <w:pStyle w:val="Heading2"/>
      </w:pPr>
      <w:r>
        <w:t>8.2 Configuration and operations API</w:t>
      </w:r>
    </w:p>
    <w:tbl>
      <w:tblPr>
        <w:tblStyle w:val="TableGrid"/>
        <w:tblW w:type="auto" w:w="0"/>
        <w:jc w:val="center"/>
        <w:tblLook w:firstColumn="1" w:firstRow="1" w:lastColumn="0" w:lastRow="0" w:noHBand="0" w:noVBand="1" w:val="04A0"/>
      </w:tblPr>
      <w:tblGrid>
        <w:gridCol w:w="4968"/>
        <w:gridCol w:w="4968"/>
      </w:tblGrid>
      <w:tr>
        <w:tc>
          <w:tcPr>
            <w:tcW w:type="dxa" w:w="4320"/>
            <w:vAlign w:val="center"/>
          </w:tcPr>
          <w:p>
            <w:pPr>
              <w:spacing w:after="0"/>
            </w:pPr>
            <w:r>
              <w:rPr>
                <w:b/>
                <w:sz w:val="18"/>
              </w:rPr>
              <w:t>Endpoint</w:t>
            </w:r>
          </w:p>
        </w:tc>
        <w:tc>
          <w:tcPr>
            <w:tcW w:type="dxa" w:w="5040"/>
            <w:vAlign w:val="center"/>
          </w:tcPr>
          <w:p>
            <w:pPr>
              <w:spacing w:after="0"/>
            </w:pPr>
            <w:r>
              <w:rPr>
                <w:b/>
                <w:sz w:val="18"/>
              </w:rPr>
              <w:t>Purpose</w:t>
            </w:r>
          </w:p>
        </w:tc>
      </w:tr>
      <w:tr>
        <w:tc>
          <w:tcPr>
            <w:tcW w:type="dxa" w:w="4320"/>
            <w:vAlign w:val="center"/>
          </w:tcPr>
          <w:p>
            <w:pPr>
              <w:spacing w:after="0"/>
            </w:pPr>
            <w:r>
              <w:rPr>
                <w:sz w:val="18"/>
              </w:rPr>
              <w:t>POST /api/v1/dealers</w:t>
            </w:r>
          </w:p>
        </w:tc>
        <w:tc>
          <w:tcPr>
            <w:tcW w:type="dxa" w:w="5040"/>
            <w:vAlign w:val="center"/>
          </w:tcPr>
          <w:p>
            <w:pPr>
              <w:spacing w:after="0"/>
            </w:pPr>
            <w:r>
              <w:rPr>
                <w:sz w:val="18"/>
              </w:rPr>
              <w:t>Create dealer account</w:t>
            </w:r>
          </w:p>
        </w:tc>
      </w:tr>
      <w:tr>
        <w:tc>
          <w:tcPr>
            <w:tcW w:type="dxa" w:w="4320"/>
            <w:vAlign w:val="center"/>
          </w:tcPr>
          <w:p>
            <w:pPr>
              <w:spacing w:after="0"/>
            </w:pPr>
            <w:r>
              <w:rPr>
                <w:sz w:val="18"/>
              </w:rPr>
              <w:t>POST /api/v1/trading-partners</w:t>
            </w:r>
          </w:p>
        </w:tc>
        <w:tc>
          <w:tcPr>
            <w:tcW w:type="dxa" w:w="5040"/>
            <w:vAlign w:val="center"/>
          </w:tcPr>
          <w:p>
            <w:pPr>
              <w:spacing w:after="0"/>
            </w:pPr>
            <w:r>
              <w:rPr>
                <w:sz w:val="18"/>
              </w:rPr>
              <w:t>Register partner definition</w:t>
            </w:r>
          </w:p>
        </w:tc>
      </w:tr>
      <w:tr>
        <w:tc>
          <w:tcPr>
            <w:tcW w:type="dxa" w:w="4320"/>
            <w:vAlign w:val="center"/>
          </w:tcPr>
          <w:p>
            <w:pPr>
              <w:spacing w:after="0"/>
            </w:pPr>
            <w:r>
              <w:rPr>
                <w:sz w:val="18"/>
              </w:rPr>
              <w:t>POST /api/v1/partner-accounts</w:t>
            </w:r>
          </w:p>
        </w:tc>
        <w:tc>
          <w:tcPr>
            <w:tcW w:type="dxa" w:w="5040"/>
            <w:vAlign w:val="center"/>
          </w:tcPr>
          <w:p>
            <w:pPr>
              <w:spacing w:after="0"/>
            </w:pPr>
            <w:r>
              <w:rPr>
                <w:sz w:val="18"/>
              </w:rPr>
              <w:t>Create dealer-specific partner account</w:t>
            </w:r>
          </w:p>
        </w:tc>
      </w:tr>
      <w:tr>
        <w:tc>
          <w:tcPr>
            <w:tcW w:type="dxa" w:w="4320"/>
            <w:vAlign w:val="center"/>
          </w:tcPr>
          <w:p>
            <w:pPr>
              <w:spacing w:after="0"/>
            </w:pPr>
            <w:r>
              <w:rPr>
                <w:sz w:val="18"/>
              </w:rPr>
              <w:t>POST /api/v1/partner-accounts/{id}/endpoints/test</w:t>
            </w:r>
          </w:p>
        </w:tc>
        <w:tc>
          <w:tcPr>
            <w:tcW w:type="dxa" w:w="5040"/>
            <w:vAlign w:val="center"/>
          </w:tcPr>
          <w:p>
            <w:pPr>
              <w:spacing w:after="0"/>
            </w:pPr>
            <w:r>
              <w:rPr>
                <w:sz w:val="18"/>
              </w:rPr>
              <w:t>Test transport connectivity</w:t>
            </w:r>
          </w:p>
        </w:tc>
      </w:tr>
      <w:tr>
        <w:tc>
          <w:tcPr>
            <w:tcW w:type="dxa" w:w="4320"/>
            <w:vAlign w:val="center"/>
          </w:tcPr>
          <w:p>
            <w:pPr>
              <w:spacing w:after="0"/>
            </w:pPr>
            <w:r>
              <w:rPr>
                <w:sz w:val="18"/>
              </w:rPr>
              <w:t>POST /api/v1/partner-accounts/{id}/document-flows</w:t>
            </w:r>
          </w:p>
        </w:tc>
        <w:tc>
          <w:tcPr>
            <w:tcW w:type="dxa" w:w="5040"/>
            <w:vAlign w:val="center"/>
          </w:tcPr>
          <w:p>
            <w:pPr>
              <w:spacing w:after="0"/>
            </w:pPr>
            <w:r>
              <w:rPr>
                <w:sz w:val="18"/>
              </w:rPr>
              <w:t>Enable document flows</w:t>
            </w:r>
          </w:p>
        </w:tc>
      </w:tr>
      <w:tr>
        <w:tc>
          <w:tcPr>
            <w:tcW w:type="dxa" w:w="4320"/>
            <w:vAlign w:val="center"/>
          </w:tcPr>
          <w:p>
            <w:pPr>
              <w:spacing w:after="0"/>
            </w:pPr>
            <w:r>
              <w:rPr>
                <w:sz w:val="18"/>
              </w:rPr>
              <w:t>POST /api/v1/mappings/{id}/activate</w:t>
            </w:r>
          </w:p>
        </w:tc>
        <w:tc>
          <w:tcPr>
            <w:tcW w:type="dxa" w:w="5040"/>
            <w:vAlign w:val="center"/>
          </w:tcPr>
          <w:p>
            <w:pPr>
              <w:spacing w:after="0"/>
            </w:pPr>
            <w:r>
              <w:rPr>
                <w:sz w:val="18"/>
              </w:rPr>
              <w:t>Activate mapping version</w:t>
            </w:r>
          </w:p>
        </w:tc>
      </w:tr>
      <w:tr>
        <w:tc>
          <w:tcPr>
            <w:tcW w:type="dxa" w:w="4320"/>
            <w:vAlign w:val="center"/>
          </w:tcPr>
          <w:p>
            <w:pPr>
              <w:spacing w:after="0"/>
            </w:pPr>
            <w:r>
              <w:rPr>
                <w:sz w:val="18"/>
              </w:rPr>
              <w:t>GET /api/v1/operations/queue-health</w:t>
            </w:r>
          </w:p>
        </w:tc>
        <w:tc>
          <w:tcPr>
            <w:tcW w:type="dxa" w:w="5040"/>
            <w:vAlign w:val="center"/>
          </w:tcPr>
          <w:p>
            <w:pPr>
              <w:spacing w:after="0"/>
            </w:pPr>
            <w:r>
              <w:rPr>
                <w:sz w:val="18"/>
              </w:rPr>
              <w:t>Queue depth and worker health</w:t>
            </w:r>
          </w:p>
        </w:tc>
      </w:tr>
      <w:tr>
        <w:tc>
          <w:tcPr>
            <w:tcW w:type="dxa" w:w="4320"/>
            <w:vAlign w:val="center"/>
          </w:tcPr>
          <w:p>
            <w:pPr>
              <w:spacing w:after="0"/>
            </w:pPr>
            <w:r>
              <w:rPr>
                <w:sz w:val="18"/>
              </w:rPr>
              <w:t>GET /api/v1/operations/alerts</w:t>
            </w:r>
          </w:p>
        </w:tc>
        <w:tc>
          <w:tcPr>
            <w:tcW w:type="dxa" w:w="5040"/>
            <w:vAlign w:val="center"/>
          </w:tcPr>
          <w:p>
            <w:pPr>
              <w:spacing w:after="0"/>
            </w:pPr>
            <w:r>
              <w:rPr>
                <w:sz w:val="18"/>
              </w:rPr>
              <w:t>Active alerts</w:t>
            </w:r>
          </w:p>
        </w:tc>
      </w:tr>
      <w:tr>
        <w:tc>
          <w:tcPr>
            <w:tcW w:type="dxa" w:w="4320"/>
            <w:vAlign w:val="center"/>
          </w:tcPr>
          <w:p>
            <w:pPr>
              <w:spacing w:after="0"/>
            </w:pPr>
            <w:r>
              <w:rPr>
                <w:sz w:val="18"/>
              </w:rPr>
              <w:t>GET /api/v1/usage/dealers/{dealerId}</w:t>
            </w:r>
          </w:p>
        </w:tc>
        <w:tc>
          <w:tcPr>
            <w:tcW w:type="dxa" w:w="5040"/>
            <w:vAlign w:val="center"/>
          </w:tcPr>
          <w:p>
            <w:pPr>
              <w:spacing w:after="0"/>
            </w:pPr>
            <w:r>
              <w:rPr>
                <w:sz w:val="18"/>
              </w:rPr>
              <w:t>Usage and metering detail</w:t>
            </w:r>
          </w:p>
        </w:tc>
      </w:tr>
    </w:tbl>
    <w:p/>
    <w:p>
      <w:pPr>
        <w:pStyle w:val="Heading2"/>
      </w:pPr>
      <w:r>
        <w:t>8.3 Callback / event patterns to Merchant360</w:t>
      </w:r>
    </w:p>
    <w:p>
      <w:pPr>
        <w:spacing w:after="60"/>
        <w:ind w:left="0"/>
      </w:pPr>
      <w:r>
        <w:rPr>
          <w:b/>
        </w:rPr>
        <w:t xml:space="preserve">• </w:t>
      </w:r>
      <w:r>
        <w:t>DocumentAccepted</w:t>
      </w:r>
    </w:p>
    <w:p>
      <w:pPr>
        <w:spacing w:after="60"/>
        <w:ind w:left="0"/>
      </w:pPr>
      <w:r>
        <w:rPr>
          <w:b/>
        </w:rPr>
        <w:t xml:space="preserve">• </w:t>
      </w:r>
      <w:r>
        <w:t>DocumentRejected</w:t>
      </w:r>
    </w:p>
    <w:p>
      <w:pPr>
        <w:spacing w:after="60"/>
        <w:ind w:left="0"/>
      </w:pPr>
      <w:r>
        <w:rPr>
          <w:b/>
        </w:rPr>
        <w:t xml:space="preserve">• </w:t>
      </w:r>
      <w:r>
        <w:t>PurchaseOrderAcknowledged</w:t>
      </w:r>
    </w:p>
    <w:p>
      <w:pPr>
        <w:spacing w:after="60"/>
        <w:ind w:left="0"/>
      </w:pPr>
      <w:r>
        <w:rPr>
          <w:b/>
        </w:rPr>
        <w:t xml:space="preserve">• </w:t>
      </w:r>
      <w:r>
        <w:t>ShipmentNoticeReceived</w:t>
      </w:r>
    </w:p>
    <w:p>
      <w:pPr>
        <w:spacing w:after="60"/>
        <w:ind w:left="0"/>
      </w:pPr>
      <w:r>
        <w:rPr>
          <w:b/>
        </w:rPr>
        <w:t xml:space="preserve">• </w:t>
      </w:r>
      <w:r>
        <w:t>SupplierInvoiceReceived</w:t>
      </w:r>
    </w:p>
    <w:p>
      <w:pPr>
        <w:spacing w:after="60"/>
        <w:ind w:left="0"/>
      </w:pPr>
      <w:r>
        <w:rPr>
          <w:b/>
        </w:rPr>
        <w:t xml:space="preserve">• </w:t>
      </w:r>
      <w:r>
        <w:t>PriceUpdateImported</w:t>
      </w:r>
    </w:p>
    <w:p>
      <w:pPr>
        <w:spacing w:after="60"/>
        <w:ind w:left="0"/>
      </w:pPr>
      <w:r>
        <w:rPr>
          <w:b/>
        </w:rPr>
        <w:t xml:space="preserve">• </w:t>
      </w:r>
      <w:r>
        <w:t>InventoryUpdateImported</w:t>
      </w:r>
    </w:p>
    <w:p>
      <w:pPr>
        <w:spacing w:after="60"/>
        <w:ind w:left="0"/>
      </w:pPr>
      <w:r>
        <w:rPr>
          <w:b/>
        </w:rPr>
        <w:t xml:space="preserve">• </w:t>
      </w:r>
      <w:r>
        <w:t>DocumentFailed</w:t>
      </w:r>
    </w:p>
    <w:p>
      <w:pPr>
        <w:spacing w:after="80"/>
      </w:pPr>
      <w:r>
        <w:t>These can be delivered through internal webhooks or internal message bus contracts. Merchant360 should subscribe to normalized events rather than partner-specific payloads.</w:t>
      </w:r>
    </w:p>
    <w:p>
      <w:pPr>
        <w:pStyle w:val="Heading1"/>
      </w:pPr>
      <w:r>
        <w:t>9. Example request contracts</w:t>
      </w:r>
    </w:p>
    <w:p>
      <w:pPr>
        <w:pStyle w:val="Code"/>
      </w:pPr>
      <w:r>
        <w:t>POST /api/v1/dealers/{dealerId}/orders</w:t>
        <w:br/>
        <w:t>{</w:t>
        <w:br/>
        <w:t xml:space="preserve">  "tenantId": "m360-tenant-001",</w:t>
        <w:br/>
        <w:t xml:space="preserve">  "dealerAccountId": "dealer-gemini",</w:t>
        <w:br/>
        <w:t xml:space="preserve">  "partnerCode": "SPR",</w:t>
        <w:br/>
        <w:t xml:space="preserve">  "documentFlowCode": "SPR-PO-850",</w:t>
        <w:br/>
        <w:t xml:space="preserve">  "purchaseOrderNumber": "PO-100245",</w:t>
        <w:br/>
        <w:t xml:space="preserve">  "currencyCode": "USD",</w:t>
        <w:br/>
        <w:t xml:space="preserve">  "shipTo": { "name": "Gemini Office Products", "city": "Austin", "state": "TX" },</w:t>
        <w:br/>
        <w:t xml:space="preserve">  "lines": [</w:t>
        <w:br/>
        <w:t xml:space="preserve">    { "lineNo": 1, "supplierSku": "SPR12345", "quantity": 10, "uom": "EA", "unitCost": 12.50 }</w:t>
        <w:br/>
        <w:t xml:space="preserve">  ]</w:t>
        <w:br/>
        <w:t>}</w:t>
      </w:r>
    </w:p>
    <w:p>
      <w:pPr>
        <w:pStyle w:val="Code"/>
      </w:pPr>
      <w:r>
        <w:t>Response</w:t>
        <w:br/>
        <w:t>{</w:t>
        <w:br/>
        <w:t xml:space="preserve">  "documentId": "doc-7f12",</w:t>
        <w:br/>
        <w:t xml:space="preserve">  "status": "Queued",</w:t>
        <w:br/>
        <w:t xml:space="preserve">  "correlationId": "corr-a193",</w:t>
        <w:br/>
        <w:t xml:space="preserve">  "submittedAtUtc": "2026-05-07T21:15:00Z"</w:t>
        <w:br/>
        <w:t>}</w:t>
      </w:r>
    </w:p>
    <w:p>
      <w:pPr>
        <w:pStyle w:val="Heading1"/>
      </w:pPr>
      <w:r>
        <w:t>10. Worker services</w:t>
      </w:r>
    </w:p>
    <w:tbl>
      <w:tblPr>
        <w:tblStyle w:val="TableGrid"/>
        <w:tblW w:type="auto" w:w="0"/>
        <w:jc w:val="center"/>
        <w:tblLook w:firstColumn="1" w:firstRow="1" w:lastColumn="0" w:lastRow="0" w:noHBand="0" w:noVBand="1" w:val="04A0"/>
      </w:tblPr>
      <w:tblGrid>
        <w:gridCol w:w="4968"/>
        <w:gridCol w:w="4968"/>
      </w:tblGrid>
      <w:tr>
        <w:tc>
          <w:tcPr>
            <w:tcW w:type="dxa" w:w="2880"/>
            <w:vAlign w:val="center"/>
          </w:tcPr>
          <w:p>
            <w:pPr>
              <w:spacing w:after="0"/>
            </w:pPr>
            <w:r>
              <w:rPr>
                <w:b/>
                <w:sz w:val="18"/>
              </w:rPr>
              <w:t>Worker</w:t>
            </w:r>
          </w:p>
        </w:tc>
        <w:tc>
          <w:tcPr>
            <w:tcW w:type="dxa" w:w="6768"/>
            <w:vAlign w:val="center"/>
          </w:tcPr>
          <w:p>
            <w:pPr>
              <w:spacing w:after="0"/>
            </w:pPr>
            <w:r>
              <w:rPr>
                <w:b/>
                <w:sz w:val="18"/>
              </w:rPr>
              <w:t>Responsibility</w:t>
            </w:r>
          </w:p>
        </w:tc>
      </w:tr>
      <w:tr>
        <w:tc>
          <w:tcPr>
            <w:tcW w:type="dxa" w:w="2880"/>
            <w:vAlign w:val="center"/>
          </w:tcPr>
          <w:p>
            <w:pPr>
              <w:spacing w:after="0"/>
            </w:pPr>
            <w:r>
              <w:rPr>
                <w:sz w:val="18"/>
              </w:rPr>
              <w:t>FilePollerWorker</w:t>
            </w:r>
          </w:p>
        </w:tc>
        <w:tc>
          <w:tcPr>
            <w:tcW w:type="dxa" w:w="6768"/>
            <w:vAlign w:val="center"/>
          </w:tcPr>
          <w:p>
            <w:pPr>
              <w:spacing w:after="0"/>
            </w:pPr>
            <w:r>
              <w:rPr>
                <w:sz w:val="18"/>
              </w:rPr>
              <w:t>Poll partner folders/endpoints and create inbox records</w:t>
            </w:r>
          </w:p>
        </w:tc>
      </w:tr>
      <w:tr>
        <w:tc>
          <w:tcPr>
            <w:tcW w:type="dxa" w:w="2880"/>
            <w:vAlign w:val="center"/>
          </w:tcPr>
          <w:p>
            <w:pPr>
              <w:spacing w:after="0"/>
            </w:pPr>
            <w:r>
              <w:rPr>
                <w:sz w:val="18"/>
              </w:rPr>
              <w:t>InboundParserWorker</w:t>
            </w:r>
          </w:p>
        </w:tc>
        <w:tc>
          <w:tcPr>
            <w:tcW w:type="dxa" w:w="6768"/>
            <w:vAlign w:val="center"/>
          </w:tcPr>
          <w:p>
            <w:pPr>
              <w:spacing w:after="0"/>
            </w:pPr>
            <w:r>
              <w:rPr>
                <w:sz w:val="18"/>
              </w:rPr>
              <w:t>Download raw payloads, persist them, identify document type, invoke adapter parser</w:t>
            </w:r>
          </w:p>
        </w:tc>
      </w:tr>
      <w:tr>
        <w:tc>
          <w:tcPr>
            <w:tcW w:type="dxa" w:w="2880"/>
            <w:vAlign w:val="center"/>
          </w:tcPr>
          <w:p>
            <w:pPr>
              <w:spacing w:after="0"/>
            </w:pPr>
            <w:r>
              <w:rPr>
                <w:sz w:val="18"/>
              </w:rPr>
              <w:t>InboundNormalizerWorker</w:t>
            </w:r>
          </w:p>
        </w:tc>
        <w:tc>
          <w:tcPr>
            <w:tcW w:type="dxa" w:w="6768"/>
            <w:vAlign w:val="center"/>
          </w:tcPr>
          <w:p>
            <w:pPr>
              <w:spacing w:after="0"/>
            </w:pPr>
            <w:r>
              <w:rPr>
                <w:sz w:val="18"/>
              </w:rPr>
              <w:t>Validate and convert partner payloads to canonical records</w:t>
            </w:r>
          </w:p>
        </w:tc>
      </w:tr>
      <w:tr>
        <w:tc>
          <w:tcPr>
            <w:tcW w:type="dxa" w:w="2880"/>
            <w:vAlign w:val="center"/>
          </w:tcPr>
          <w:p>
            <w:pPr>
              <w:spacing w:after="0"/>
            </w:pPr>
            <w:r>
              <w:rPr>
                <w:sz w:val="18"/>
              </w:rPr>
              <w:t>OutboundGeneratorWorker</w:t>
            </w:r>
          </w:p>
        </w:tc>
        <w:tc>
          <w:tcPr>
            <w:tcW w:type="dxa" w:w="6768"/>
            <w:vAlign w:val="center"/>
          </w:tcPr>
          <w:p>
            <w:pPr>
              <w:spacing w:after="0"/>
            </w:pPr>
            <w:r>
              <w:rPr>
                <w:sz w:val="18"/>
              </w:rPr>
              <w:t>Build partner-specific payloads from canonical documents</w:t>
            </w:r>
          </w:p>
        </w:tc>
      </w:tr>
      <w:tr>
        <w:tc>
          <w:tcPr>
            <w:tcW w:type="dxa" w:w="2880"/>
            <w:vAlign w:val="center"/>
          </w:tcPr>
          <w:p>
            <w:pPr>
              <w:spacing w:after="0"/>
            </w:pPr>
            <w:r>
              <w:rPr>
                <w:sz w:val="18"/>
              </w:rPr>
              <w:t>OutboundTransmitterWorker</w:t>
            </w:r>
          </w:p>
        </w:tc>
        <w:tc>
          <w:tcPr>
            <w:tcW w:type="dxa" w:w="6768"/>
            <w:vAlign w:val="center"/>
          </w:tcPr>
          <w:p>
            <w:pPr>
              <w:spacing w:after="0"/>
            </w:pPr>
            <w:r>
              <w:rPr>
                <w:sz w:val="18"/>
              </w:rPr>
              <w:t>Send payloads through transport connectors and record attempts</w:t>
            </w:r>
          </w:p>
        </w:tc>
      </w:tr>
      <w:tr>
        <w:tc>
          <w:tcPr>
            <w:tcW w:type="dxa" w:w="2880"/>
            <w:vAlign w:val="center"/>
          </w:tcPr>
          <w:p>
            <w:pPr>
              <w:spacing w:after="0"/>
            </w:pPr>
            <w:r>
              <w:rPr>
                <w:sz w:val="18"/>
              </w:rPr>
              <w:t>ReconciliationWorker</w:t>
            </w:r>
          </w:p>
        </w:tc>
        <w:tc>
          <w:tcPr>
            <w:tcW w:type="dxa" w:w="6768"/>
            <w:vAlign w:val="center"/>
          </w:tcPr>
          <w:p>
            <w:pPr>
              <w:spacing w:after="0"/>
            </w:pPr>
            <w:r>
              <w:rPr>
                <w:sz w:val="18"/>
              </w:rPr>
              <w:t>Match acknowledgements and downstream documents to original outbound documents</w:t>
            </w:r>
          </w:p>
        </w:tc>
      </w:tr>
      <w:tr>
        <w:tc>
          <w:tcPr>
            <w:tcW w:type="dxa" w:w="2880"/>
            <w:vAlign w:val="center"/>
          </w:tcPr>
          <w:p>
            <w:pPr>
              <w:spacing w:after="0"/>
            </w:pPr>
            <w:r>
              <w:rPr>
                <w:sz w:val="18"/>
              </w:rPr>
              <w:t>ScheduleImportWorker</w:t>
            </w:r>
          </w:p>
        </w:tc>
        <w:tc>
          <w:tcPr>
            <w:tcW w:type="dxa" w:w="6768"/>
            <w:vAlign w:val="center"/>
          </w:tcPr>
          <w:p>
            <w:pPr>
              <w:spacing w:after="0"/>
            </w:pPr>
            <w:r>
              <w:rPr>
                <w:sz w:val="18"/>
              </w:rPr>
              <w:t>Run scheduled price or inventory imports</w:t>
            </w:r>
          </w:p>
        </w:tc>
      </w:tr>
      <w:tr>
        <w:tc>
          <w:tcPr>
            <w:tcW w:type="dxa" w:w="2880"/>
            <w:vAlign w:val="center"/>
          </w:tcPr>
          <w:p>
            <w:pPr>
              <w:spacing w:after="0"/>
            </w:pPr>
            <w:r>
              <w:rPr>
                <w:sz w:val="18"/>
              </w:rPr>
              <w:t>RetryAndRecoveryWorker</w:t>
            </w:r>
          </w:p>
        </w:tc>
        <w:tc>
          <w:tcPr>
            <w:tcW w:type="dxa" w:w="6768"/>
            <w:vAlign w:val="center"/>
          </w:tcPr>
          <w:p>
            <w:pPr>
              <w:spacing w:after="0"/>
            </w:pPr>
            <w:r>
              <w:rPr>
                <w:sz w:val="18"/>
              </w:rPr>
              <w:t>Apply retry policy and escalate failures</w:t>
            </w:r>
          </w:p>
        </w:tc>
      </w:tr>
      <w:tr>
        <w:tc>
          <w:tcPr>
            <w:tcW w:type="dxa" w:w="2880"/>
            <w:vAlign w:val="center"/>
          </w:tcPr>
          <w:p>
            <w:pPr>
              <w:spacing w:after="0"/>
            </w:pPr>
            <w:r>
              <w:rPr>
                <w:sz w:val="18"/>
              </w:rPr>
              <w:t>MeteringWorker</w:t>
            </w:r>
          </w:p>
        </w:tc>
        <w:tc>
          <w:tcPr>
            <w:tcW w:type="dxa" w:w="6768"/>
            <w:vAlign w:val="center"/>
          </w:tcPr>
          <w:p>
            <w:pPr>
              <w:spacing w:after="0"/>
            </w:pPr>
            <w:r>
              <w:rPr>
                <w:sz w:val="18"/>
              </w:rPr>
              <w:t>Create usage records and rollups</w:t>
            </w:r>
          </w:p>
        </w:tc>
      </w:tr>
      <w:tr>
        <w:tc>
          <w:tcPr>
            <w:tcW w:type="dxa" w:w="2880"/>
            <w:vAlign w:val="center"/>
          </w:tcPr>
          <w:p>
            <w:pPr>
              <w:spacing w:after="0"/>
            </w:pPr>
            <w:r>
              <w:rPr>
                <w:sz w:val="18"/>
              </w:rPr>
              <w:t>AlertingWorker</w:t>
            </w:r>
          </w:p>
        </w:tc>
        <w:tc>
          <w:tcPr>
            <w:tcW w:type="dxa" w:w="6768"/>
            <w:vAlign w:val="center"/>
          </w:tcPr>
          <w:p>
            <w:pPr>
              <w:spacing w:after="0"/>
            </w:pPr>
            <w:r>
              <w:rPr>
                <w:sz w:val="18"/>
              </w:rPr>
              <w:t>Raise operational alerts based on failures, queue depth, or missed schedules</w:t>
            </w:r>
          </w:p>
        </w:tc>
      </w:tr>
    </w:tbl>
    <w:p/>
    <w:p>
      <w:pPr>
        <w:pStyle w:val="Heading1"/>
      </w:pPr>
      <w:r>
        <w:t>11. Module boundaries</w:t>
      </w:r>
    </w:p>
    <w:tbl>
      <w:tblPr>
        <w:tblStyle w:val="TableGrid"/>
        <w:tblW w:type="auto" w:w="0"/>
        <w:jc w:val="center"/>
        <w:tblLook w:firstColumn="1" w:firstRow="1" w:lastColumn="0" w:lastRow="0" w:noHBand="0" w:noVBand="1" w:val="04A0"/>
      </w:tblPr>
      <w:tblGrid>
        <w:gridCol w:w="3312"/>
        <w:gridCol w:w="3312"/>
        <w:gridCol w:w="3312"/>
      </w:tblGrid>
      <w:tr>
        <w:tc>
          <w:tcPr>
            <w:tcW w:type="dxa" w:w="2304"/>
            <w:vAlign w:val="center"/>
          </w:tcPr>
          <w:p>
            <w:pPr>
              <w:spacing w:after="0"/>
            </w:pPr>
            <w:r>
              <w:rPr>
                <w:b/>
                <w:sz w:val="18"/>
              </w:rPr>
              <w:t>Boundary</w:t>
            </w:r>
          </w:p>
        </w:tc>
        <w:tc>
          <w:tcPr>
            <w:tcW w:type="dxa" w:w="4032"/>
            <w:vAlign w:val="center"/>
          </w:tcPr>
          <w:p>
            <w:pPr>
              <w:spacing w:after="0"/>
            </w:pPr>
            <w:r>
              <w:rPr>
                <w:b/>
                <w:sz w:val="18"/>
              </w:rPr>
              <w:t>What belongs inside</w:t>
            </w:r>
          </w:p>
        </w:tc>
        <w:tc>
          <w:tcPr>
            <w:tcW w:type="dxa" w:w="2880"/>
            <w:vAlign w:val="center"/>
          </w:tcPr>
          <w:p>
            <w:pPr>
              <w:spacing w:after="0"/>
            </w:pPr>
            <w:r>
              <w:rPr>
                <w:b/>
                <w:sz w:val="18"/>
              </w:rPr>
              <w:t>What stays outside</w:t>
            </w:r>
          </w:p>
        </w:tc>
      </w:tr>
      <w:tr>
        <w:tc>
          <w:tcPr>
            <w:tcW w:type="dxa" w:w="2304"/>
            <w:vAlign w:val="center"/>
          </w:tcPr>
          <w:p>
            <w:pPr>
              <w:spacing w:after="0"/>
            </w:pPr>
            <w:r>
              <w:rPr>
                <w:sz w:val="18"/>
              </w:rPr>
              <w:t>Core domain</w:t>
            </w:r>
          </w:p>
        </w:tc>
        <w:tc>
          <w:tcPr>
            <w:tcW w:type="dxa" w:w="4032"/>
            <w:vAlign w:val="center"/>
          </w:tcPr>
          <w:p>
            <w:pPr>
              <w:spacing w:after="0"/>
            </w:pPr>
            <w:r>
              <w:rPr>
                <w:sz w:val="18"/>
              </w:rPr>
              <w:t>Canonical entities, statuses, reconciliation, idempotency rules</w:t>
            </w:r>
          </w:p>
        </w:tc>
        <w:tc>
          <w:tcPr>
            <w:tcW w:type="dxa" w:w="2880"/>
            <w:vAlign w:val="center"/>
          </w:tcPr>
          <w:p>
            <w:pPr>
              <w:spacing w:after="0"/>
            </w:pPr>
            <w:r>
              <w:rPr>
                <w:sz w:val="18"/>
              </w:rPr>
              <w:t>Partner-specific file layouts and transport settings</w:t>
            </w:r>
          </w:p>
        </w:tc>
      </w:tr>
      <w:tr>
        <w:tc>
          <w:tcPr>
            <w:tcW w:type="dxa" w:w="2304"/>
            <w:vAlign w:val="center"/>
          </w:tcPr>
          <w:p>
            <w:pPr>
              <w:spacing w:after="0"/>
            </w:pPr>
            <w:r>
              <w:rPr>
                <w:sz w:val="18"/>
              </w:rPr>
              <w:t>SPR adapter</w:t>
            </w:r>
          </w:p>
        </w:tc>
        <w:tc>
          <w:tcPr>
            <w:tcW w:type="dxa" w:w="4032"/>
            <w:vAlign w:val="center"/>
          </w:tcPr>
          <w:p>
            <w:pPr>
              <w:spacing w:after="0"/>
            </w:pPr>
            <w:r>
              <w:rPr>
                <w:sz w:val="18"/>
              </w:rPr>
              <w:t>SPR mappings, file parsers, generators, code translations</w:t>
            </w:r>
          </w:p>
        </w:tc>
        <w:tc>
          <w:tcPr>
            <w:tcW w:type="dxa" w:w="2880"/>
            <w:vAlign w:val="center"/>
          </w:tcPr>
          <w:p>
            <w:pPr>
              <w:spacing w:after="0"/>
            </w:pPr>
            <w:r>
              <w:rPr>
                <w:sz w:val="18"/>
              </w:rPr>
              <w:t>Merchant360 workflow rules</w:t>
            </w:r>
          </w:p>
        </w:tc>
      </w:tr>
      <w:tr>
        <w:tc>
          <w:tcPr>
            <w:tcW w:type="dxa" w:w="2304"/>
            <w:vAlign w:val="center"/>
          </w:tcPr>
          <w:p>
            <w:pPr>
              <w:spacing w:after="0"/>
            </w:pPr>
            <w:r>
              <w:rPr>
                <w:sz w:val="18"/>
              </w:rPr>
              <w:t>Transport adapters</w:t>
            </w:r>
          </w:p>
        </w:tc>
        <w:tc>
          <w:tcPr>
            <w:tcW w:type="dxa" w:w="4032"/>
            <w:vAlign w:val="center"/>
          </w:tcPr>
          <w:p>
            <w:pPr>
              <w:spacing w:after="0"/>
            </w:pPr>
            <w:r>
              <w:rPr>
                <w:sz w:val="18"/>
              </w:rPr>
              <w:t>SFTP/AS2/API connectivity and delivery semantics</w:t>
            </w:r>
          </w:p>
        </w:tc>
        <w:tc>
          <w:tcPr>
            <w:tcW w:type="dxa" w:w="2880"/>
            <w:vAlign w:val="center"/>
          </w:tcPr>
          <w:p>
            <w:pPr>
              <w:spacing w:after="0"/>
            </w:pPr>
            <w:r>
              <w:rPr>
                <w:sz w:val="18"/>
              </w:rPr>
              <w:t>Business interpretation of payload content</w:t>
            </w:r>
          </w:p>
        </w:tc>
      </w:tr>
      <w:tr>
        <w:tc>
          <w:tcPr>
            <w:tcW w:type="dxa" w:w="2304"/>
            <w:vAlign w:val="center"/>
          </w:tcPr>
          <w:p>
            <w:pPr>
              <w:spacing w:after="0"/>
            </w:pPr>
            <w:r>
              <w:rPr>
                <w:sz w:val="18"/>
              </w:rPr>
              <w:t>Merchant360 connector</w:t>
            </w:r>
          </w:p>
        </w:tc>
        <w:tc>
          <w:tcPr>
            <w:tcW w:type="dxa" w:w="4032"/>
            <w:vAlign w:val="center"/>
          </w:tcPr>
          <w:p>
            <w:pPr>
              <w:spacing w:after="0"/>
            </w:pPr>
            <w:r>
              <w:rPr>
                <w:sz w:val="18"/>
              </w:rPr>
              <w:t>Client SDK, auth, event subscription, DTO mapping</w:t>
            </w:r>
          </w:p>
        </w:tc>
        <w:tc>
          <w:tcPr>
            <w:tcW w:type="dxa" w:w="2880"/>
            <w:vAlign w:val="center"/>
          </w:tcPr>
          <w:p>
            <w:pPr>
              <w:spacing w:after="0"/>
            </w:pPr>
            <w:r>
              <w:rPr>
                <w:sz w:val="18"/>
              </w:rPr>
              <w:t>Partner-specific payload generation</w:t>
            </w:r>
          </w:p>
        </w:tc>
      </w:tr>
      <w:tr>
        <w:tc>
          <w:tcPr>
            <w:tcW w:type="dxa" w:w="2304"/>
            <w:vAlign w:val="center"/>
          </w:tcPr>
          <w:p>
            <w:pPr>
              <w:spacing w:after="0"/>
            </w:pPr>
            <w:r>
              <w:rPr>
                <w:sz w:val="18"/>
              </w:rPr>
              <w:t>Admin UI</w:t>
            </w:r>
          </w:p>
        </w:tc>
        <w:tc>
          <w:tcPr>
            <w:tcW w:type="dxa" w:w="4032"/>
            <w:vAlign w:val="center"/>
          </w:tcPr>
          <w:p>
            <w:pPr>
              <w:spacing w:after="0"/>
            </w:pPr>
            <w:r>
              <w:rPr>
                <w:sz w:val="18"/>
              </w:rPr>
              <w:t>Operational dashboards, searches, retries, config screens</w:t>
            </w:r>
          </w:p>
        </w:tc>
        <w:tc>
          <w:tcPr>
            <w:tcW w:type="dxa" w:w="2880"/>
            <w:vAlign w:val="center"/>
          </w:tcPr>
          <w:p>
            <w:pPr>
              <w:spacing w:after="0"/>
            </w:pPr>
            <w:r>
              <w:rPr>
                <w:sz w:val="18"/>
              </w:rPr>
              <w:t>Dealer storefront workflow</w:t>
            </w:r>
          </w:p>
        </w:tc>
      </w:tr>
      <w:tr>
        <w:tc>
          <w:tcPr>
            <w:tcW w:type="dxa" w:w="2304"/>
            <w:vAlign w:val="center"/>
          </w:tcPr>
          <w:p>
            <w:pPr>
              <w:spacing w:after="0"/>
            </w:pPr>
            <w:r>
              <w:rPr>
                <w:sz w:val="18"/>
              </w:rPr>
              <w:t>Metering</w:t>
            </w:r>
          </w:p>
        </w:tc>
        <w:tc>
          <w:tcPr>
            <w:tcW w:type="dxa" w:w="4032"/>
            <w:vAlign w:val="center"/>
          </w:tcPr>
          <w:p>
            <w:pPr>
              <w:spacing w:after="0"/>
            </w:pPr>
            <w:r>
              <w:rPr>
                <w:sz w:val="18"/>
              </w:rPr>
              <w:t>Usage capture and rollups</w:t>
            </w:r>
          </w:p>
        </w:tc>
        <w:tc>
          <w:tcPr>
            <w:tcW w:type="dxa" w:w="2880"/>
            <w:vAlign w:val="center"/>
          </w:tcPr>
          <w:p>
            <w:pPr>
              <w:spacing w:after="0"/>
            </w:pPr>
            <w:r>
              <w:rPr>
                <w:sz w:val="18"/>
              </w:rPr>
              <w:t>Financial invoice generation</w:t>
            </w:r>
          </w:p>
        </w:tc>
      </w:tr>
    </w:tbl>
    <w:p/>
    <w:p>
      <w:pPr>
        <w:pStyle w:val="Heading1"/>
      </w:pPr>
      <w:r>
        <w:t>12. Recommended processing patterns</w:t>
      </w:r>
    </w:p>
    <w:p>
      <w:pPr>
        <w:spacing w:after="60"/>
        <w:ind w:left="0"/>
      </w:pPr>
      <w:r>
        <w:rPr>
          <w:b/>
        </w:rPr>
        <w:t xml:space="preserve">• </w:t>
      </w:r>
      <w:r>
        <w:rPr>
          <w:b/>
        </w:rPr>
        <w:t xml:space="preserve">Outbox pattern: </w:t>
      </w:r>
      <w:r>
        <w:t>When Merchant360 submits a PO, the EDI platform should persist the command and enqueue outbound work transactionally.</w:t>
      </w:r>
    </w:p>
    <w:p>
      <w:pPr>
        <w:spacing w:after="60"/>
        <w:ind w:left="0"/>
      </w:pPr>
      <w:r>
        <w:rPr>
          <w:b/>
        </w:rPr>
        <w:t xml:space="preserve">• </w:t>
      </w:r>
      <w:r>
        <w:rPr>
          <w:b/>
        </w:rPr>
        <w:t xml:space="preserve">Inbox pattern: </w:t>
      </w:r>
      <w:r>
        <w:t>Each inbound file should be discovered once, claimed once, and processed idempotently.</w:t>
      </w:r>
    </w:p>
    <w:p>
      <w:pPr>
        <w:spacing w:after="60"/>
        <w:ind w:left="0"/>
      </w:pPr>
      <w:r>
        <w:rPr>
          <w:b/>
        </w:rPr>
        <w:t xml:space="preserve">• </w:t>
      </w:r>
      <w:r>
        <w:rPr>
          <w:b/>
        </w:rPr>
        <w:t xml:space="preserve">Correlation IDs: </w:t>
      </w:r>
      <w:r>
        <w:t>Every document and downstream related document must share a traceable correlation ID.</w:t>
      </w:r>
    </w:p>
    <w:p>
      <w:pPr>
        <w:spacing w:after="60"/>
        <w:ind w:left="0"/>
      </w:pPr>
      <w:r>
        <w:rPr>
          <w:b/>
        </w:rPr>
        <w:t xml:space="preserve">• </w:t>
      </w:r>
      <w:r>
        <w:rPr>
          <w:b/>
        </w:rPr>
        <w:t xml:space="preserve">Staging first: </w:t>
      </w:r>
      <w:r>
        <w:t>Large partner imports such as price files should land in staging records before final normalized tables are updated.</w:t>
      </w:r>
    </w:p>
    <w:p>
      <w:pPr>
        <w:spacing w:after="60"/>
        <w:ind w:left="0"/>
      </w:pPr>
      <w:r>
        <w:rPr>
          <w:b/>
        </w:rPr>
        <w:t xml:space="preserve">• </w:t>
      </w:r>
      <w:r>
        <w:rPr>
          <w:b/>
        </w:rPr>
        <w:t xml:space="preserve">Immutable raw payloads: </w:t>
      </w:r>
      <w:r>
        <w:t>Never mutate the original partner payload; store generated, raw, and normalized forms separately.</w:t>
      </w:r>
    </w:p>
    <w:p>
      <w:pPr>
        <w:pStyle w:val="Heading1"/>
      </w:pPr>
      <w:r>
        <w:t>13. SPR-specific first implementation</w:t>
      </w:r>
    </w:p>
    <w:tbl>
      <w:tblPr>
        <w:tblStyle w:val="TableGrid"/>
        <w:tblW w:type="auto" w:w="0"/>
        <w:jc w:val="center"/>
        <w:tblLook w:firstColumn="1" w:firstRow="1" w:lastColumn="0" w:lastRow="0" w:noHBand="0" w:noVBand="1" w:val="04A0"/>
      </w:tblPr>
      <w:tblGrid>
        <w:gridCol w:w="4968"/>
        <w:gridCol w:w="4968"/>
      </w:tblGrid>
      <w:tr>
        <w:tc>
          <w:tcPr>
            <w:tcW w:type="dxa" w:w="2592"/>
            <w:vAlign w:val="center"/>
          </w:tcPr>
          <w:p>
            <w:pPr>
              <w:spacing w:after="0"/>
            </w:pPr>
            <w:r>
              <w:rPr>
                <w:b/>
                <w:sz w:val="18"/>
              </w:rPr>
              <w:t>Capability</w:t>
            </w:r>
          </w:p>
        </w:tc>
        <w:tc>
          <w:tcPr>
            <w:tcW w:type="dxa" w:w="7056"/>
            <w:vAlign w:val="center"/>
          </w:tcPr>
          <w:p>
            <w:pPr>
              <w:spacing w:after="0"/>
            </w:pPr>
            <w:r>
              <w:rPr>
                <w:b/>
                <w:sz w:val="18"/>
              </w:rPr>
              <w:t>v1 SPR approach</w:t>
            </w:r>
          </w:p>
        </w:tc>
      </w:tr>
      <w:tr>
        <w:tc>
          <w:tcPr>
            <w:tcW w:type="dxa" w:w="2592"/>
            <w:vAlign w:val="center"/>
          </w:tcPr>
          <w:p>
            <w:pPr>
              <w:spacing w:after="0"/>
            </w:pPr>
            <w:r>
              <w:rPr>
                <w:sz w:val="18"/>
              </w:rPr>
              <w:t>Transport</w:t>
            </w:r>
          </w:p>
        </w:tc>
        <w:tc>
          <w:tcPr>
            <w:tcW w:type="dxa" w:w="7056"/>
            <w:vAlign w:val="center"/>
          </w:tcPr>
          <w:p>
            <w:pPr>
              <w:spacing w:after="0"/>
            </w:pPr>
            <w:r>
              <w:rPr>
                <w:sz w:val="18"/>
              </w:rPr>
              <w:t>SFTP first</w:t>
            </w:r>
          </w:p>
        </w:tc>
      </w:tr>
      <w:tr>
        <w:tc>
          <w:tcPr>
            <w:tcW w:type="dxa" w:w="2592"/>
            <w:vAlign w:val="center"/>
          </w:tcPr>
          <w:p>
            <w:pPr>
              <w:spacing w:after="0"/>
            </w:pPr>
            <w:r>
              <w:rPr>
                <w:sz w:val="18"/>
              </w:rPr>
              <w:t>Outbound ordering</w:t>
            </w:r>
          </w:p>
        </w:tc>
        <w:tc>
          <w:tcPr>
            <w:tcW w:type="dxa" w:w="7056"/>
            <w:vAlign w:val="center"/>
          </w:tcPr>
          <w:p>
            <w:pPr>
              <w:spacing w:after="0"/>
            </w:pPr>
            <w:r>
              <w:rPr>
                <w:sz w:val="18"/>
              </w:rPr>
              <w:t>Canonical PurchaseOrder -&gt; SPR adapter -&gt; partner payload</w:t>
            </w:r>
          </w:p>
        </w:tc>
      </w:tr>
      <w:tr>
        <w:tc>
          <w:tcPr>
            <w:tcW w:type="dxa" w:w="2592"/>
            <w:vAlign w:val="center"/>
          </w:tcPr>
          <w:p>
            <w:pPr>
              <w:spacing w:after="0"/>
            </w:pPr>
            <w:r>
              <w:rPr>
                <w:sz w:val="18"/>
              </w:rPr>
              <w:t>Inbound acknowledgements</w:t>
            </w:r>
          </w:p>
        </w:tc>
        <w:tc>
          <w:tcPr>
            <w:tcW w:type="dxa" w:w="7056"/>
            <w:vAlign w:val="center"/>
          </w:tcPr>
          <w:p>
            <w:pPr>
              <w:spacing w:after="0"/>
            </w:pPr>
            <w:r>
              <w:rPr>
                <w:sz w:val="18"/>
              </w:rPr>
              <w:t>855 and 997 handled through inbound polling/parser workers</w:t>
            </w:r>
          </w:p>
        </w:tc>
      </w:tr>
      <w:tr>
        <w:tc>
          <w:tcPr>
            <w:tcW w:type="dxa" w:w="2592"/>
            <w:vAlign w:val="center"/>
          </w:tcPr>
          <w:p>
            <w:pPr>
              <w:spacing w:after="0"/>
            </w:pPr>
            <w:r>
              <w:rPr>
                <w:sz w:val="18"/>
              </w:rPr>
              <w:t>Inbound fulfillment</w:t>
            </w:r>
          </w:p>
        </w:tc>
        <w:tc>
          <w:tcPr>
            <w:tcW w:type="dxa" w:w="7056"/>
            <w:vAlign w:val="center"/>
          </w:tcPr>
          <w:p>
            <w:pPr>
              <w:spacing w:after="0"/>
            </w:pPr>
            <w:r>
              <w:rPr>
                <w:sz w:val="18"/>
              </w:rPr>
              <w:t>856 shipment notices normalized for Merchant360</w:t>
            </w:r>
          </w:p>
        </w:tc>
      </w:tr>
      <w:tr>
        <w:tc>
          <w:tcPr>
            <w:tcW w:type="dxa" w:w="2592"/>
            <w:vAlign w:val="center"/>
          </w:tcPr>
          <w:p>
            <w:pPr>
              <w:spacing w:after="0"/>
            </w:pPr>
            <w:r>
              <w:rPr>
                <w:sz w:val="18"/>
              </w:rPr>
              <w:t>Inbound invoices</w:t>
            </w:r>
          </w:p>
        </w:tc>
        <w:tc>
          <w:tcPr>
            <w:tcW w:type="dxa" w:w="7056"/>
            <w:vAlign w:val="center"/>
          </w:tcPr>
          <w:p>
            <w:pPr>
              <w:spacing w:after="0"/>
            </w:pPr>
            <w:r>
              <w:rPr>
                <w:sz w:val="18"/>
              </w:rPr>
              <w:t>810 normalized for Merchant360 finance workflows</w:t>
            </w:r>
          </w:p>
        </w:tc>
      </w:tr>
      <w:tr>
        <w:tc>
          <w:tcPr>
            <w:tcW w:type="dxa" w:w="2592"/>
            <w:vAlign w:val="center"/>
          </w:tcPr>
          <w:p>
            <w:pPr>
              <w:spacing w:after="0"/>
            </w:pPr>
            <w:r>
              <w:rPr>
                <w:sz w:val="18"/>
              </w:rPr>
              <w:t>Price import</w:t>
            </w:r>
          </w:p>
        </w:tc>
        <w:tc>
          <w:tcPr>
            <w:tcW w:type="dxa" w:w="7056"/>
            <w:vAlign w:val="center"/>
          </w:tcPr>
          <w:p>
            <w:pPr>
              <w:spacing w:after="0"/>
            </w:pPr>
            <w:r>
              <w:rPr>
                <w:sz w:val="18"/>
              </w:rPr>
              <w:t>Scheduled file import through staging tables</w:t>
            </w:r>
          </w:p>
        </w:tc>
      </w:tr>
      <w:tr>
        <w:tc>
          <w:tcPr>
            <w:tcW w:type="dxa" w:w="2592"/>
            <w:vAlign w:val="center"/>
          </w:tcPr>
          <w:p>
            <w:pPr>
              <w:spacing w:after="0"/>
            </w:pPr>
            <w:r>
              <w:rPr>
                <w:sz w:val="18"/>
              </w:rPr>
              <w:t>Inventory</w:t>
            </w:r>
          </w:p>
        </w:tc>
        <w:tc>
          <w:tcPr>
            <w:tcW w:type="dxa" w:w="7056"/>
            <w:vAlign w:val="center"/>
          </w:tcPr>
          <w:p>
            <w:pPr>
              <w:spacing w:after="0"/>
            </w:pPr>
            <w:r>
              <w:rPr>
                <w:sz w:val="18"/>
              </w:rPr>
              <w:t>Add later when SPR clarifies 846 vs web-service real-time stock checks</w:t>
            </w:r>
          </w:p>
        </w:tc>
      </w:tr>
      <w:tr>
        <w:tc>
          <w:tcPr>
            <w:tcW w:type="dxa" w:w="2592"/>
            <w:vAlign w:val="center"/>
          </w:tcPr>
          <w:p>
            <w:pPr>
              <w:spacing w:after="0"/>
            </w:pPr>
            <w:r>
              <w:rPr>
                <w:sz w:val="18"/>
              </w:rPr>
              <w:t>Source Complete</w:t>
            </w:r>
          </w:p>
        </w:tc>
        <w:tc>
          <w:tcPr>
            <w:tcW w:type="dxa" w:w="7056"/>
            <w:vAlign w:val="center"/>
          </w:tcPr>
          <w:p>
            <w:pPr>
              <w:spacing w:after="0"/>
            </w:pPr>
            <w:r>
              <w:rPr>
                <w:sz w:val="18"/>
              </w:rPr>
              <w:t>Treat as partner configuration once SPR clarifies integration behavior</w:t>
            </w:r>
          </w:p>
        </w:tc>
      </w:tr>
    </w:tbl>
    <w:p/>
    <w:p>
      <w:pPr>
        <w:pStyle w:val="Heading1"/>
      </w:pPr>
      <w:r>
        <w:t>14. Security architecture</w:t>
      </w:r>
    </w:p>
    <w:p>
      <w:pPr>
        <w:spacing w:after="60"/>
        <w:ind w:left="0"/>
      </w:pPr>
      <w:r>
        <w:rPr>
          <w:b/>
        </w:rPr>
        <w:t xml:space="preserve">• </w:t>
      </w:r>
      <w:r>
        <w:t>Use application identities and secret references instead of storing raw credentials in config tables.</w:t>
      </w:r>
    </w:p>
    <w:p>
      <w:pPr>
        <w:spacing w:after="60"/>
        <w:ind w:left="0"/>
      </w:pPr>
      <w:r>
        <w:rPr>
          <w:b/>
        </w:rPr>
        <w:t xml:space="preserve">• </w:t>
      </w:r>
      <w:r>
        <w:t>Encrypt secret values and sensitive partner identifiers at rest.</w:t>
      </w:r>
    </w:p>
    <w:p>
      <w:pPr>
        <w:spacing w:after="60"/>
        <w:ind w:left="0"/>
      </w:pPr>
      <w:r>
        <w:rPr>
          <w:b/>
        </w:rPr>
        <w:t xml:space="preserve">• </w:t>
      </w:r>
      <w:r>
        <w:t>Use role-based authorization for admin and support functions.</w:t>
      </w:r>
    </w:p>
    <w:p>
      <w:pPr>
        <w:spacing w:after="60"/>
        <w:ind w:left="0"/>
      </w:pPr>
      <w:r>
        <w:rPr>
          <w:b/>
        </w:rPr>
        <w:t xml:space="preserve">• </w:t>
      </w:r>
      <w:r>
        <w:t>Enforce tenant and dealer scoping in every query.</w:t>
      </w:r>
    </w:p>
    <w:p>
      <w:pPr>
        <w:spacing w:after="60"/>
        <w:ind w:left="0"/>
      </w:pPr>
      <w:r>
        <w:rPr>
          <w:b/>
        </w:rPr>
        <w:t xml:space="preserve">• </w:t>
      </w:r>
      <w:r>
        <w:t>Store document access audit events for payload downloads and retries.</w:t>
      </w:r>
    </w:p>
    <w:p>
      <w:pPr>
        <w:pStyle w:val="Heading1"/>
      </w:pPr>
      <w:r>
        <w:t>15. Deployment model</w:t>
      </w:r>
    </w:p>
    <w:p>
      <w:pPr>
        <w:spacing w:after="60"/>
        <w:ind w:left="0"/>
      </w:pPr>
      <w:r>
        <w:rPr>
          <w:b/>
        </w:rPr>
        <w:t xml:space="preserve">• </w:t>
      </w:r>
      <w:r>
        <w:t>Deploy as separate App Service / containerized API and worker services in Azure.</w:t>
      </w:r>
    </w:p>
    <w:p>
      <w:pPr>
        <w:spacing w:after="60"/>
        <w:ind w:left="0"/>
      </w:pPr>
      <w:r>
        <w:rPr>
          <w:b/>
        </w:rPr>
        <w:t xml:space="preserve">• </w:t>
      </w:r>
      <w:r>
        <w:t>Use a separate SQL Server database for the integration platform.</w:t>
      </w:r>
    </w:p>
    <w:p>
      <w:pPr>
        <w:spacing w:after="60"/>
        <w:ind w:left="0"/>
      </w:pPr>
      <w:r>
        <w:rPr>
          <w:b/>
        </w:rPr>
        <w:t xml:space="preserve">• </w:t>
      </w:r>
      <w:r>
        <w:t>Use Blob Storage or equivalent for raw document archives.</w:t>
      </w:r>
    </w:p>
    <w:p>
      <w:pPr>
        <w:spacing w:after="60"/>
        <w:ind w:left="0"/>
      </w:pPr>
      <w:r>
        <w:rPr>
          <w:b/>
        </w:rPr>
        <w:t xml:space="preserve">• </w:t>
      </w:r>
      <w:r>
        <w:t>Use separate environment settings and partner credentials for test and production.</w:t>
      </w:r>
    </w:p>
    <w:p>
      <w:pPr>
        <w:spacing w:after="60"/>
        <w:ind w:left="0"/>
      </w:pPr>
      <w:r>
        <w:rPr>
          <w:b/>
        </w:rPr>
        <w:t xml:space="preserve">• </w:t>
      </w:r>
      <w:r>
        <w:t>Release the EDI platform independently from Merchant360, but keep integration contract compatibility tightly managed.</w:t>
      </w:r>
    </w:p>
    <w:p>
      <w:pPr>
        <w:pStyle w:val="Heading1"/>
      </w:pPr>
      <w:r>
        <w:t>16. Suggested roadmap</w:t>
      </w:r>
    </w:p>
    <w:p>
      <w:pPr>
        <w:spacing w:after="60"/>
        <w:ind w:left="0"/>
      </w:pPr>
      <w:r>
        <w:rPr>
          <w:b/>
        </w:rPr>
        <w:t xml:space="preserve">1. </w:t>
      </w:r>
      <w:r>
        <w:t>Build core solution skeleton and shared contracts.</w:t>
      </w:r>
    </w:p>
    <w:p>
      <w:pPr>
        <w:spacing w:after="60"/>
        <w:ind w:left="0"/>
      </w:pPr>
      <w:r>
        <w:rPr>
          <w:b/>
        </w:rPr>
        <w:t xml:space="preserve">2. </w:t>
      </w:r>
      <w:r>
        <w:t>Implement dealer and partner configuration tables and APIs.</w:t>
      </w:r>
    </w:p>
    <w:p>
      <w:pPr>
        <w:spacing w:after="60"/>
        <w:ind w:left="0"/>
      </w:pPr>
      <w:r>
        <w:rPr>
          <w:b/>
        </w:rPr>
        <w:t xml:space="preserve">3. </w:t>
      </w:r>
      <w:r>
        <w:t>Implement raw document storage, lifecycle tracking, and support search.</w:t>
      </w:r>
    </w:p>
    <w:p>
      <w:pPr>
        <w:spacing w:after="60"/>
        <w:ind w:left="0"/>
      </w:pPr>
      <w:r>
        <w:rPr>
          <w:b/>
        </w:rPr>
        <w:t xml:space="preserve">4. </w:t>
      </w:r>
      <w:r>
        <w:t>Implement SPR adapter with outbound PO and inbound 855/856/810/997 handling.</w:t>
      </w:r>
    </w:p>
    <w:p>
      <w:pPr>
        <w:spacing w:after="60"/>
        <w:ind w:left="0"/>
      </w:pPr>
      <w:r>
        <w:rPr>
          <w:b/>
        </w:rPr>
        <w:t xml:space="preserve">5. </w:t>
      </w:r>
      <w:r>
        <w:t>Implement Merchant360 connector and end-to-end test flow for Gemini.</w:t>
      </w:r>
    </w:p>
    <w:p>
      <w:pPr>
        <w:spacing w:after="60"/>
        <w:ind w:left="0"/>
      </w:pPr>
      <w:r>
        <w:rPr>
          <w:b/>
        </w:rPr>
        <w:t xml:space="preserve">6. </w:t>
      </w:r>
      <w:r>
        <w:t>Implement price file import through staging and normalization.</w:t>
      </w:r>
    </w:p>
    <w:p>
      <w:pPr>
        <w:spacing w:after="60"/>
        <w:ind w:left="0"/>
      </w:pPr>
      <w:r>
        <w:rPr>
          <w:b/>
        </w:rPr>
        <w:t xml:space="preserve">7. </w:t>
      </w:r>
      <w:r>
        <w:t>Add metering capture and operational dashboard.</w:t>
      </w:r>
    </w:p>
    <w:p>
      <w:pPr>
        <w:spacing w:after="60"/>
        <w:ind w:left="0"/>
      </w:pPr>
      <w:r>
        <w:rPr>
          <w:b/>
        </w:rPr>
        <w:t xml:space="preserve">8. </w:t>
      </w:r>
      <w:r>
        <w:t>Add second dealer and second partner to prove generality.</w:t>
      </w:r>
    </w:p>
    <w:p>
      <w:pPr>
        <w:spacing w:after="60"/>
        <w:ind w:left="0"/>
      </w:pPr>
      <w:r>
        <w:rPr>
          <w:b/>
        </w:rPr>
        <w:t xml:space="preserve">9. </w:t>
      </w:r>
      <w:r>
        <w:t>Open external dealer onboarding only after the first two live integrations are stable.</w:t>
      </w:r>
    </w:p>
    <w:p>
      <w:pPr>
        <w:pStyle w:val="Heading1"/>
      </w:pPr>
      <w:r>
        <w:t>17. Final recommendation</w:t>
      </w:r>
    </w:p>
    <w:p>
      <w:pPr>
        <w:spacing w:after="80"/>
      </w:pPr>
      <w:r>
        <w:t>Yes, this should be a separate solution from Merchant360. Keep the same stack, keep shared contracts, but keep the service boundary clean. Merchant360 should consume the EDI platform. The EDI platform should own partner connectivity. That design gives you the shortest path to SPR for Gemini and the strongest path to a future metered dealer integration business.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eastAsia="Consolas"/>
      <w:sz w:val="18"/>
    </w:rPr>
  </w:style>
  <w:style w:type="paragraph" w:customStyle="1" w:styleId="Small">
    <w:name w:val="Small"/>
    <w:rPr>
      <w:rFonts w:ascii="Aptos" w:hAnsi="Aptos" w:eastAsia="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