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oarn47r7aak2" w:id="0"/>
      <w:bookmarkEnd w:id="0"/>
      <w:r w:rsidDel="00000000" w:rsidR="00000000" w:rsidRPr="00000000">
        <w:rPr>
          <w:rFonts w:ascii="Calibri" w:cs="Calibri" w:eastAsia="Calibri" w:hAnsi="Calibri"/>
          <w:b w:val="1"/>
          <w:bCs w:val="1"/>
          <w:color w:val="008dc3"/>
          <w:sz w:val="54"/>
          <w:szCs w:val="54"/>
        </w:rPr>
        <w:drawing>
          <wp:inline distB="0" distT="0" distL="0" distR="0">
            <wp:extent cx="5943600" cy="139700"/>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5943600" cy="139700"/>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k3w3u9rygjhl"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r w:rsidDel="00000000" w:rsidR="00000000" w:rsidRPr="00000000">
        <w:rPr>
          <w:rFonts w:ascii="Arial" w:cs="Arial" w:eastAsia="Arial" w:hAnsi="Arial"/>
          <w:b w:val="1"/>
          <w:bCs w:val="1"/>
          <w:rtl w:val="0"/>
        </w:rPr>
        <w:t xml:space="preserve">Bucket name: </w:t>
      </w:r>
      <w:r w:rsidDel="00000000" w:rsidR="00000000" w:rsidRPr="00000000">
        <w:rPr>
          <w:rFonts w:ascii="Arial" w:cs="Arial" w:eastAsia="Arial" w:hAnsi="Arial"/>
          <w:i w:val="1"/>
          <w:iCs w:val="1"/>
          <w:color w:val="ff0000"/>
          <w:rtl w:val="0"/>
        </w:rPr>
        <w:t xml:space="preserve">asap-raw-team-decamilli-invitro-ms-p-hek293-apex-atg2-silac</w:t>
      </w:r>
      <w:r w:rsidDel="00000000" w:rsidR="00000000" w:rsidRPr="00000000">
        <w:rPr>
          <w:rtl w:val="0"/>
        </w:rPr>
      </w:r>
    </w:p>
    <w:p w:rsidR="00000000" w:rsidDel="00000000" w:rsidP="00000000" w:rsidRDefault="00000000" w:rsidRPr="00000000" w14:paraId="00000006">
      <w:pPr>
        <w:pStyle w:val="Heading1"/>
        <w:rPr>
          <w:rFonts w:ascii="Arial" w:cs="Arial" w:eastAsia="Arial" w:hAnsi="Arial"/>
          <w:b w:val="1"/>
          <w:bCs w:val="1"/>
          <w:color w:val="008dc3"/>
          <w:sz w:val="32"/>
          <w:szCs w:val="32"/>
        </w:rPr>
      </w:pPr>
      <w:bookmarkStart w:colFirst="0" w:colLast="0" w:name="_5b0j54e3xs8p"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tbl>
      <w:tblPr>
        <w:tblStyle w:val="Table1"/>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490"/>
        <w:gridCol w:w="2490"/>
        <w:gridCol w:w="2205"/>
        <w:tblGridChange w:id="0">
          <w:tblGrid>
            <w:gridCol w:w="2190"/>
            <w:gridCol w:w="2490"/>
            <w:gridCol w:w="2490"/>
            <w:gridCol w:w="2205"/>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Affiliation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ORCID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Fuller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Devin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Yale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0000-0002-3049-7914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Melia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Thomas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Yale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0000-0002-5798-4624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r>
          </w:p>
        </w:tc>
      </w:tr>
    </w:tbl>
    <w:p w:rsidR="00000000" w:rsidDel="00000000" w:rsidP="00000000" w:rsidRDefault="00000000" w:rsidRPr="00000000" w14:paraId="00000020">
      <w:pPr>
        <w:pStyle w:val="Heading1"/>
        <w:rPr>
          <w:rFonts w:ascii="Arial" w:cs="Arial" w:eastAsia="Arial" w:hAnsi="Arial"/>
          <w:b w:val="1"/>
          <w:bCs w:val="1"/>
          <w:color w:val="008dc3"/>
          <w:sz w:val="32"/>
          <w:szCs w:val="32"/>
        </w:rPr>
      </w:pPr>
      <w:bookmarkStart w:colFirst="0" w:colLast="0" w:name="_jinnfbu5x4jm"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22">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both"/>
              <w:rPr>
                <w:rFonts w:ascii="Arial" w:cs="Arial" w:eastAsia="Arial" w:hAnsi="Arial"/>
                <w:color w:val="000000"/>
              </w:rPr>
            </w:pPr>
            <w:r w:rsidDel="00000000" w:rsidR="00000000" w:rsidRPr="00000000">
              <w:rPr>
                <w:rFonts w:ascii="Arial" w:cs="Arial" w:eastAsia="Arial" w:hAnsi="Arial"/>
                <w:color w:val="000000"/>
                <w:rtl w:val="0"/>
              </w:rPr>
              <w:t xml:space="preserve">APEX proximity labeling of autophagy protein ATG2A in complete media and starvation</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both"/>
              <w:rPr/>
            </w:pPr>
            <w:r w:rsidDel="00000000" w:rsidR="00000000" w:rsidRPr="00000000">
              <w:rPr>
                <w:rtl w:val="0"/>
              </w:rPr>
              <w:t xml:space="preserve">This dataset contains a proximity labeling experiment centered on the autophagy protein ATG2A. The APEX2 enzyme was fused to the N-terminus of GFP-ATG2A. Three conditions were assessed: a no labeling condition without hydrogen peroxide, a complete reaction in DMEM, and a complete reaction in starvation media (EBSS) with bafilomycin A1. The conditions were differentiated using SILAC labeling, with light, medium, and heavy isotopes for the respective conditions. Mass spectrometry and analysis was performed by the Yale Keck mass spectrometry core.</w:t>
            </w:r>
          </w:p>
        </w:tc>
      </w:tr>
    </w:tbl>
    <w:p w:rsidR="00000000" w:rsidDel="00000000" w:rsidP="00000000" w:rsidRDefault="00000000" w:rsidRPr="00000000" w14:paraId="00000027">
      <w:pPr>
        <w:jc w:val="both"/>
        <w:rPr>
          <w:rFonts w:ascii="Arial" w:cs="Arial" w:eastAsia="Arial" w:hAnsi="Arial"/>
        </w:rPr>
      </w:pPr>
      <w:r w:rsidDel="00000000" w:rsidR="00000000" w:rsidRPr="00000000">
        <w:rPr>
          <w:rtl w:val="0"/>
        </w:rPr>
      </w:r>
    </w:p>
    <w:p w:rsidR="00000000" w:rsidDel="00000000" w:rsidP="00000000" w:rsidRDefault="00000000" w:rsidRPr="00000000" w14:paraId="00000028">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8">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29">
      <w:pPr>
        <w:jc w:val="both"/>
        <w:rPr>
          <w:rFonts w:ascii="Arial" w:cs="Arial" w:eastAsia="Arial" w:hAnsi="Arial"/>
        </w:rPr>
      </w:pPr>
      <w:r w:rsidDel="00000000" w:rsidR="00000000" w:rsidRPr="00000000">
        <w:rPr>
          <w:rtl w:val="0"/>
        </w:rPr>
      </w:r>
    </w:p>
    <w:p w:rsidR="00000000" w:rsidDel="00000000" w:rsidP="00000000" w:rsidRDefault="00000000" w:rsidRPr="00000000" w14:paraId="0000002A">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9">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2B">
      <w:pPr>
        <w:pStyle w:val="Heading1"/>
        <w:jc w:val="both"/>
        <w:rPr>
          <w:rFonts w:ascii="Arial" w:cs="Arial" w:eastAsia="Arial" w:hAnsi="Arial"/>
          <w:b w:val="1"/>
          <w:bCs w:val="1"/>
          <w:color w:val="008dc3"/>
          <w:sz w:val="32"/>
          <w:szCs w:val="32"/>
        </w:rPr>
      </w:pPr>
      <w:bookmarkStart w:colFirst="0" w:colLast="0" w:name="_ry5epc95h16b"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2D">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Impaired integration of organelle function in Parkinson’s disease</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We hypothesize that the functions of multiple Parkinson’s disease genes converge on common biochemical pathways involving endocytic organelles and/or mitochondria within vulnerable cell types. We will use a comprehensive cell biology tool kit including cutting-edge biochemistry, structural biology, microscopy at different scales, and genome editing tools to elucidate the function of selected Parkinson’s disease genes and the effects produced by their dysfunction both in cellular models in vitro and in mouse and rat models. By defining the molecular and cellular networks in which the products of these genes operate, we hope to identify strategies for reversing the cellular vulnerabilities that cause Parkinson’s disease or increase disease risk.</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De Camilli</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ASAP-025173</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3A">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3B">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10">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n2eb0ldgcfl8"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41">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Arial" w:cs="Arial" w:eastAsia="Arial" w:hAnsi="Arial"/>
              </w:rPr>
            </w:pPr>
            <w:r w:rsidDel="00000000" w:rsidR="00000000" w:rsidRPr="00000000">
              <w:rPr>
                <w:rFonts w:ascii="Arial" w:cs="Arial" w:eastAsia="Arial" w:hAnsi="Arial"/>
                <w:rtl w:val="0"/>
              </w:rPr>
              <w:t xml:space="preserve">Pietro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Arial" w:cs="Arial" w:eastAsia="Arial" w:hAnsi="Arial"/>
              </w:rPr>
            </w:pPr>
            <w:r w:rsidDel="00000000" w:rsidR="00000000" w:rsidRPr="00000000">
              <w:rPr>
                <w:rFonts w:ascii="Arial" w:cs="Arial" w:eastAsia="Arial" w:hAnsi="Arial"/>
                <w:rtl w:val="0"/>
              </w:rPr>
              <w:t xml:space="preserve">De Camilli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Arial" w:cs="Arial" w:eastAsia="Arial" w:hAnsi="Arial"/>
              </w:rPr>
            </w:pPr>
            <w:r w:rsidDel="00000000" w:rsidR="00000000" w:rsidRPr="00000000">
              <w:rPr>
                <w:rFonts w:ascii="Arial" w:cs="Arial" w:eastAsia="Arial" w:hAnsi="Arial"/>
                <w:rtl w:val="0"/>
              </w:rPr>
              <w:t xml:space="preserve">pietro.decamilli@yale.edu</w:t>
            </w:r>
          </w:p>
        </w:tc>
      </w:tr>
      <w:tr>
        <w:trPr>
          <w:cantSplit w:val="0"/>
          <w:trHeight w:val="131.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Arial" w:cs="Arial" w:eastAsia="Arial" w:hAnsi="Arial"/>
              </w:rPr>
            </w:pPr>
            <w:r w:rsidDel="00000000" w:rsidR="00000000" w:rsidRPr="00000000">
              <w:rPr>
                <w:rFonts w:ascii="Arial" w:cs="Arial" w:eastAsia="Arial" w:hAnsi="Arial"/>
                <w:rtl w:val="0"/>
              </w:rPr>
              <w:t xml:space="preserve">Thomas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Arial" w:cs="Arial" w:eastAsia="Arial" w:hAnsi="Arial"/>
              </w:rPr>
            </w:pPr>
            <w:r w:rsidDel="00000000" w:rsidR="00000000" w:rsidRPr="00000000">
              <w:rPr>
                <w:rFonts w:ascii="Arial" w:cs="Arial" w:eastAsia="Arial" w:hAnsi="Arial"/>
                <w:rtl w:val="0"/>
              </w:rPr>
              <w:t xml:space="preserve">Melia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Arial" w:cs="Arial" w:eastAsia="Arial" w:hAnsi="Arial"/>
              </w:rPr>
            </w:pPr>
            <w:r w:rsidDel="00000000" w:rsidR="00000000" w:rsidRPr="00000000">
              <w:rPr>
                <w:rFonts w:ascii="Arial" w:cs="Arial" w:eastAsia="Arial" w:hAnsi="Arial"/>
                <w:rtl w:val="0"/>
              </w:rPr>
              <w:t xml:space="preserve">thomas.melia@yale.edu</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Arial" w:cs="Arial" w:eastAsia="Arial" w:hAnsi="Arial"/>
              </w:rPr>
            </w:pPr>
            <w:r w:rsidDel="00000000" w:rsidR="00000000" w:rsidRPr="00000000">
              <w:rPr>
                <w:rtl w:val="0"/>
              </w:rPr>
            </w:r>
          </w:p>
        </w:tc>
      </w:tr>
      <w:tr>
        <w:trPr>
          <w:cantSplit w:val="0"/>
          <w:trHeight w:val="35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Arial" w:cs="Arial" w:eastAsia="Arial" w:hAnsi="Arial"/>
              </w:rPr>
            </w:pPr>
            <w:r w:rsidDel="00000000" w:rsidR="00000000" w:rsidRPr="00000000">
              <w:rPr>
                <w:rFonts w:ascii="Arial" w:cs="Arial" w:eastAsia="Arial" w:hAnsi="Arial"/>
                <w:rtl w:val="0"/>
              </w:rPr>
              <w:t xml:space="preserve">Devin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Arial" w:cs="Arial" w:eastAsia="Arial" w:hAnsi="Arial"/>
              </w:rPr>
            </w:pPr>
            <w:r w:rsidDel="00000000" w:rsidR="00000000" w:rsidRPr="00000000">
              <w:rPr>
                <w:rFonts w:ascii="Arial" w:cs="Arial" w:eastAsia="Arial" w:hAnsi="Arial"/>
                <w:rtl w:val="0"/>
              </w:rPr>
              <w:t xml:space="preserve">Fuller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Arial" w:cs="Arial" w:eastAsia="Arial" w:hAnsi="Arial"/>
              </w:rPr>
            </w:pPr>
            <w:r w:rsidDel="00000000" w:rsidR="00000000" w:rsidRPr="00000000">
              <w:rPr>
                <w:rFonts w:ascii="Arial" w:cs="Arial" w:eastAsia="Arial" w:hAnsi="Arial"/>
                <w:rtl w:val="0"/>
              </w:rPr>
              <w:t xml:space="preserve">devin.fuller@yale.edu</w:t>
            </w:r>
          </w:p>
        </w:tc>
      </w:tr>
    </w:tbl>
    <w:p w:rsidR="00000000" w:rsidDel="00000000" w:rsidP="00000000" w:rsidRDefault="00000000" w:rsidRPr="00000000" w14:paraId="00000056">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hyperlink" Target="https://www.asapcrn.org/research-community/tea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parkinsonsroadmap.org/collections/searc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atthieu.darracq@dnastack.com" TargetMode="External"/><Relationship Id="rId8" Type="http://schemas.openxmlformats.org/officeDocument/2006/relationships/hyperlink" Target="https://cloud.parkinsonsroadmap.org/collections/search"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